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97"/>
        <w:gridCol w:w="5869"/>
        <w:gridCol w:w="1701"/>
      </w:tblGrid>
      <w:tr w:rsidR="00F41D41" w:rsidRPr="0017331B" w14:paraId="2BACE022" w14:textId="77777777" w:rsidTr="00F41D41">
        <w:tc>
          <w:tcPr>
            <w:tcW w:w="1497" w:type="dxa"/>
          </w:tcPr>
          <w:p w14:paraId="06A9DA3B" w14:textId="22248113" w:rsidR="00F41D41" w:rsidRPr="0017331B" w:rsidRDefault="00F41D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31B">
              <w:rPr>
                <w:rFonts w:ascii="Arial" w:hAnsi="Arial" w:cs="Arial"/>
                <w:b/>
                <w:bCs/>
                <w:sz w:val="24"/>
                <w:szCs w:val="24"/>
              </w:rPr>
              <w:t>Number &amp; Area</w:t>
            </w:r>
          </w:p>
        </w:tc>
        <w:tc>
          <w:tcPr>
            <w:tcW w:w="5869" w:type="dxa"/>
          </w:tcPr>
          <w:p w14:paraId="3D25C59A" w14:textId="10F16008" w:rsidR="00F41D41" w:rsidRPr="0017331B" w:rsidRDefault="00F41D41" w:rsidP="00A14A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31B">
              <w:rPr>
                <w:rFonts w:ascii="Arial" w:hAnsi="Arial" w:cs="Arial"/>
                <w:b/>
                <w:bCs/>
                <w:sz w:val="24"/>
                <w:szCs w:val="24"/>
              </w:rPr>
              <w:t>Recommendation</w:t>
            </w:r>
          </w:p>
        </w:tc>
        <w:tc>
          <w:tcPr>
            <w:tcW w:w="1701" w:type="dxa"/>
          </w:tcPr>
          <w:p w14:paraId="54B99862" w14:textId="438EBDEA" w:rsidR="00F41D41" w:rsidRPr="0017331B" w:rsidRDefault="00F41D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31B">
              <w:rPr>
                <w:rFonts w:ascii="Arial" w:hAnsi="Arial" w:cs="Arial"/>
                <w:b/>
                <w:bCs/>
                <w:sz w:val="24"/>
                <w:szCs w:val="24"/>
              </w:rPr>
              <w:t>Deadline</w:t>
            </w:r>
          </w:p>
        </w:tc>
      </w:tr>
      <w:tr w:rsidR="00F41D41" w:rsidRPr="0017331B" w14:paraId="09F7394B" w14:textId="77777777" w:rsidTr="00F41D41">
        <w:tc>
          <w:tcPr>
            <w:tcW w:w="1497" w:type="dxa"/>
          </w:tcPr>
          <w:p w14:paraId="5E45538A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361079F" w14:textId="4650846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Raising Concerns</w:t>
            </w:r>
          </w:p>
        </w:tc>
        <w:tc>
          <w:tcPr>
            <w:tcW w:w="5869" w:type="dxa"/>
          </w:tcPr>
          <w:p w14:paraId="12A2748B" w14:textId="185B7C1C" w:rsidR="00F41D41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October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make sure their services provide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confidential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way for staff to raise concerns and that staff are aware of whistleblowing processes.</w:t>
            </w:r>
          </w:p>
          <w:p w14:paraId="3C6DFE02" w14:textId="5C1E54A7" w:rsidR="00F41D41" w:rsidRPr="0017331B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D11542" w14:textId="71104704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1</w:t>
            </w:r>
            <w:r w:rsidRPr="0017331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1733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EE526C" w14:textId="52692F63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October</w:t>
            </w:r>
          </w:p>
          <w:p w14:paraId="7D31200C" w14:textId="0672F9A6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4735965F" w14:textId="77777777" w:rsidTr="00F41D41">
        <w:tc>
          <w:tcPr>
            <w:tcW w:w="1497" w:type="dxa"/>
          </w:tcPr>
          <w:p w14:paraId="78BCDA33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C5DA80B" w14:textId="000BCEA4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Raising Concerns</w:t>
            </w:r>
          </w:p>
        </w:tc>
        <w:tc>
          <w:tcPr>
            <w:tcW w:w="5869" w:type="dxa"/>
          </w:tcPr>
          <w:p w14:paraId="19BA0288" w14:textId="6BFE7D4E" w:rsidR="00F41D41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June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review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support available for those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who have raised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concerns and take any action needed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make sure these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provisions are suitable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0497DE" w14:textId="6F974835" w:rsidR="00F41D41" w:rsidRPr="0017331B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33E83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1</w:t>
            </w:r>
            <w:r w:rsidRPr="0017331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741CEFCF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June</w:t>
            </w:r>
          </w:p>
          <w:p w14:paraId="1189A73C" w14:textId="73E0DAB5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0094CFDA" w14:textId="77777777" w:rsidTr="00F41D41">
        <w:tc>
          <w:tcPr>
            <w:tcW w:w="1497" w:type="dxa"/>
          </w:tcPr>
          <w:p w14:paraId="737B6860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DD6880F" w14:textId="606026E1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Raising Concerns</w:t>
            </w:r>
          </w:p>
        </w:tc>
        <w:tc>
          <w:tcPr>
            <w:tcW w:w="5869" w:type="dxa"/>
          </w:tcPr>
          <w:p w14:paraId="742E27C7" w14:textId="77777777" w:rsidR="00F41D41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June 2023, </w:t>
            </w:r>
            <w:r>
              <w:rPr>
                <w:rFonts w:ascii="Arial" w:hAnsi="Arial" w:cs="Arial"/>
                <w:sz w:val="24"/>
                <w:szCs w:val="24"/>
              </w:rPr>
              <w:t>CFOs</w:t>
            </w:r>
            <w:r w:rsidRPr="0017331B">
              <w:rPr>
                <w:rFonts w:ascii="Arial" w:hAnsi="Arial" w:cs="Arial"/>
                <w:sz w:val="24"/>
                <w:szCs w:val="24"/>
              </w:rPr>
              <w:t xml:space="preserve"> should assure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themselves that updates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how concerns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are being handled are shared with those who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have raised them.</w:t>
            </w:r>
          </w:p>
          <w:p w14:paraId="379FD15E" w14:textId="77777777" w:rsidR="00F41D41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EDEE4" w14:textId="77777777" w:rsidR="00F41D41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The updates should be given in an accessible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way that encourages trust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confidence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the service response.</w:t>
            </w:r>
          </w:p>
          <w:p w14:paraId="6A2E19DE" w14:textId="77777777" w:rsidR="00F41D41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923AC" w14:textId="6319A725" w:rsidR="00F41D41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Consideration should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be given to creating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professional standards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function to handle conduct concerns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service (or from an external service) to have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oversight of cases, to make sure they are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conducted in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fair and transparent way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to act as a point of contact for all staff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involved.</w:t>
            </w:r>
          </w:p>
          <w:p w14:paraId="5A2EA793" w14:textId="15DAE829" w:rsidR="00F41D41" w:rsidRPr="0017331B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B23558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1</w:t>
            </w:r>
            <w:r w:rsidRPr="0017331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1733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0D4700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June</w:t>
            </w:r>
          </w:p>
          <w:p w14:paraId="2B4CBC32" w14:textId="3952C1A9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27CBA96D" w14:textId="77777777" w:rsidTr="00F41D41">
        <w:tc>
          <w:tcPr>
            <w:tcW w:w="1497" w:type="dxa"/>
          </w:tcPr>
          <w:p w14:paraId="69ABD991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7F67D70" w14:textId="00C69188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Raising Concerns</w:t>
            </w:r>
          </w:p>
        </w:tc>
        <w:tc>
          <w:tcPr>
            <w:tcW w:w="5869" w:type="dxa"/>
          </w:tcPr>
          <w:p w14:paraId="79627CFC" w14:textId="77777777" w:rsidR="00F41D41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June 2023, </w:t>
            </w:r>
            <w:r>
              <w:rPr>
                <w:rFonts w:ascii="Arial" w:hAnsi="Arial" w:cs="Arial"/>
                <w:sz w:val="24"/>
                <w:szCs w:val="24"/>
              </w:rPr>
              <w:t>CFOs</w:t>
            </w:r>
            <w:r w:rsidRPr="0017331B">
              <w:rPr>
                <w:rFonts w:ascii="Arial" w:hAnsi="Arial" w:cs="Arial"/>
                <w:sz w:val="24"/>
                <w:szCs w:val="24"/>
              </w:rPr>
              <w:t xml:space="preserve"> should make sure they provide accessible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information for 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staff and members of the public on how they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can raise concerns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and access confidential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support (including through external agencies).</w:t>
            </w:r>
          </w:p>
          <w:p w14:paraId="0F15375C" w14:textId="77777777" w:rsidR="00F41D41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36500" w14:textId="77777777" w:rsidR="00F41D41" w:rsidRDefault="00F41D41" w:rsidP="004B1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also make sure accessible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information is provided on how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concerns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allegations will be investigated in a way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ensures confidentiality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and is independent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the alleged perpetrator.</w:t>
            </w:r>
          </w:p>
          <w:p w14:paraId="76372813" w14:textId="1C91E10D" w:rsidR="00F41D41" w:rsidRPr="0017331B" w:rsidRDefault="00F41D41" w:rsidP="004B15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DDFA4B" w14:textId="77777777" w:rsidR="00F41D41" w:rsidRPr="0017331B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1</w:t>
            </w:r>
            <w:r w:rsidRPr="0017331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1733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D7D108" w14:textId="77777777" w:rsidR="00F41D41" w:rsidRPr="0017331B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June</w:t>
            </w:r>
          </w:p>
          <w:p w14:paraId="5C9B996D" w14:textId="167B0C2E" w:rsidR="00F41D41" w:rsidRPr="0017331B" w:rsidRDefault="00F41D41" w:rsidP="00A14ABE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74B3CFF6" w14:textId="77777777" w:rsidTr="00F41D41">
        <w:tc>
          <w:tcPr>
            <w:tcW w:w="1497" w:type="dxa"/>
          </w:tcPr>
          <w:p w14:paraId="55AC8F15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4B2F93C3" w14:textId="74487CB1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Background Checks</w:t>
            </w:r>
          </w:p>
        </w:tc>
        <w:tc>
          <w:tcPr>
            <w:tcW w:w="5869" w:type="dxa"/>
          </w:tcPr>
          <w:p w14:paraId="353B0DB9" w14:textId="77777777" w:rsidR="00F41D41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January 2024,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should:</w:t>
            </w:r>
          </w:p>
          <w:p w14:paraId="7A8C3C83" w14:textId="77777777" w:rsidR="00F41D41" w:rsidRDefault="00F41D41" w:rsidP="00A14A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F7855">
              <w:rPr>
                <w:rFonts w:ascii="Arial" w:hAnsi="Arial" w:cs="Arial"/>
                <w:sz w:val="24"/>
                <w:szCs w:val="24"/>
              </w:rPr>
              <w:t>immediately review their current background checks arrangements, and make sure that suitable and sufficient background checks are in place to safeguard their staff and communities they serve; and</w:t>
            </w:r>
          </w:p>
          <w:p w14:paraId="4369AD0B" w14:textId="77777777" w:rsidR="00F41D41" w:rsidRDefault="00F41D41" w:rsidP="001F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F7855">
              <w:rPr>
                <w:rFonts w:ascii="Arial" w:hAnsi="Arial" w:cs="Arial"/>
                <w:sz w:val="24"/>
                <w:szCs w:val="24"/>
              </w:rPr>
              <w:t>make sure that appropriate DBS check requests have been submitted for 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855">
              <w:rPr>
                <w:rFonts w:ascii="Arial" w:hAnsi="Arial" w:cs="Arial"/>
                <w:sz w:val="24"/>
                <w:szCs w:val="24"/>
              </w:rPr>
              <w:t>existing, new staff, and volunteers,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855">
              <w:rPr>
                <w:rFonts w:ascii="Arial" w:hAnsi="Arial" w:cs="Arial"/>
                <w:sz w:val="24"/>
                <w:szCs w:val="24"/>
              </w:rPr>
              <w:t>according to their roles as identified 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855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Fire Standards Board.</w:t>
            </w:r>
          </w:p>
          <w:p w14:paraId="7B447F85" w14:textId="617E3FFD" w:rsidR="00F41D41" w:rsidRPr="001F7855" w:rsidRDefault="00F41D41" w:rsidP="001F78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47372D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28F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3CA6498B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</w:t>
            </w:r>
          </w:p>
          <w:p w14:paraId="0ACE4074" w14:textId="286750AB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41D41" w:rsidRPr="0017331B" w14:paraId="14A5AA12" w14:textId="77777777" w:rsidTr="00F41D41">
        <w:tc>
          <w:tcPr>
            <w:tcW w:w="1497" w:type="dxa"/>
          </w:tcPr>
          <w:p w14:paraId="087B09F0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  <w:p w14:paraId="313DFBD1" w14:textId="42FF055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Misconduct</w:t>
            </w:r>
          </w:p>
        </w:tc>
        <w:tc>
          <w:tcPr>
            <w:tcW w:w="5869" w:type="dxa"/>
          </w:tcPr>
          <w:p w14:paraId="7201507F" w14:textId="77777777" w:rsidR="00F41D41" w:rsidRDefault="00F41D41" w:rsidP="009E1A39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March 2024,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assurances to HMICFRS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that they have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implemented the standard on staff disclosure,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complaint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grievance handling.</w:t>
            </w:r>
          </w:p>
          <w:p w14:paraId="31F246AF" w14:textId="5DB7DF60" w:rsidR="00F41D41" w:rsidRPr="0017331B" w:rsidRDefault="00F41D41" w:rsidP="009E1A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1B4F3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28F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26D6865B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</w:p>
          <w:p w14:paraId="6C88C9C4" w14:textId="4555DDA2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41D41" w:rsidRPr="0017331B" w14:paraId="7457FBFD" w14:textId="77777777" w:rsidTr="00F41D41">
        <w:tc>
          <w:tcPr>
            <w:tcW w:w="1497" w:type="dxa"/>
          </w:tcPr>
          <w:p w14:paraId="40622885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327A2B17" w14:textId="10B940F3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Misconduct</w:t>
            </w:r>
          </w:p>
        </w:tc>
        <w:tc>
          <w:tcPr>
            <w:tcW w:w="5869" w:type="dxa"/>
          </w:tcPr>
          <w:p w14:paraId="10EEF489" w14:textId="77777777" w:rsidR="00F41D41" w:rsidRDefault="00F41D41" w:rsidP="009B57A4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March 2024,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assurances to HMICFRS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that they have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implemented the standard on misconduct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allegations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outcomes handling.</w:t>
            </w:r>
          </w:p>
          <w:p w14:paraId="13D3CDD3" w14:textId="6B7209CD" w:rsidR="00F41D41" w:rsidRPr="0017331B" w:rsidRDefault="00F41D41" w:rsidP="009B5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5F0F86" w14:textId="77777777" w:rsidR="00F41D41" w:rsidRDefault="00F41D41" w:rsidP="00C12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128F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6EE34485" w14:textId="77777777" w:rsidR="00F41D41" w:rsidRDefault="00F41D41" w:rsidP="00C12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</w:p>
          <w:p w14:paraId="6EA7D8A0" w14:textId="1FC88F0A" w:rsidR="00F41D41" w:rsidRPr="0017331B" w:rsidRDefault="00F41D41" w:rsidP="00C12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41D41" w:rsidRPr="0017331B" w14:paraId="5BD44373" w14:textId="77777777" w:rsidTr="00F41D41">
        <w:tc>
          <w:tcPr>
            <w:tcW w:w="1497" w:type="dxa"/>
          </w:tcPr>
          <w:p w14:paraId="6B840C79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6E6B1417" w14:textId="43DF7338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Misconduct</w:t>
            </w:r>
          </w:p>
        </w:tc>
        <w:tc>
          <w:tcPr>
            <w:tcW w:w="5869" w:type="dxa"/>
          </w:tcPr>
          <w:p w14:paraId="655B038A" w14:textId="77777777" w:rsidR="00F41D41" w:rsidRDefault="00F41D41" w:rsidP="00A14ABE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With immediate effect,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notify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HMICFRS of any allegations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that have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potential to constitute staff gross misconduct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that:</w:t>
            </w:r>
          </w:p>
          <w:p w14:paraId="39319C63" w14:textId="77777777" w:rsidR="00F41D41" w:rsidRDefault="00F41D41" w:rsidP="00A14A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57A4">
              <w:rPr>
                <w:rFonts w:ascii="Arial" w:hAnsi="Arial" w:cs="Arial"/>
                <w:sz w:val="24"/>
                <w:szCs w:val="24"/>
              </w:rPr>
              <w:t>involve allegations of a criminal nature that have the potential to affect public confidence in FRSs;</w:t>
            </w:r>
          </w:p>
          <w:p w14:paraId="1C1DCDD6" w14:textId="77777777" w:rsidR="00F41D41" w:rsidRDefault="00F41D41" w:rsidP="009B57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57A4">
              <w:rPr>
                <w:rFonts w:ascii="Arial" w:hAnsi="Arial" w:cs="Arial"/>
                <w:sz w:val="24"/>
                <w:szCs w:val="24"/>
              </w:rPr>
              <w:t>are of a serious nature; or</w:t>
            </w:r>
          </w:p>
          <w:p w14:paraId="13092873" w14:textId="77777777" w:rsidR="00F41D41" w:rsidRDefault="00F41D41" w:rsidP="009B57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relate to assistant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or those at equivalent or higher grades</w:t>
            </w:r>
          </w:p>
          <w:p w14:paraId="1CEEA7E0" w14:textId="75DBF9C0" w:rsidR="00F41D41" w:rsidRPr="009B57A4" w:rsidRDefault="00F41D41" w:rsidP="009B5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357A39" w14:textId="734949D7" w:rsidR="00F41D41" w:rsidRPr="00CD6674" w:rsidRDefault="00F41D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667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Immediate</w:t>
            </w:r>
          </w:p>
        </w:tc>
      </w:tr>
      <w:tr w:rsidR="00F41D41" w:rsidRPr="0017331B" w14:paraId="4753C2C8" w14:textId="77777777" w:rsidTr="00F41D41">
        <w:tc>
          <w:tcPr>
            <w:tcW w:w="1497" w:type="dxa"/>
          </w:tcPr>
          <w:p w14:paraId="29E45BE7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56C10409" w14:textId="38A666B0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Misconduct</w:t>
            </w:r>
          </w:p>
        </w:tc>
        <w:tc>
          <w:tcPr>
            <w:tcW w:w="5869" w:type="dxa"/>
          </w:tcPr>
          <w:p w14:paraId="482E8C99" w14:textId="77777777" w:rsidR="00F41D41" w:rsidRDefault="00F41D41" w:rsidP="006C25B7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August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assurances to HMICFRS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all parties are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supported in relation to ongoing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17331B">
              <w:rPr>
                <w:rFonts w:ascii="Arial" w:hAnsi="Arial" w:cs="Arial"/>
                <w:sz w:val="24"/>
                <w:szCs w:val="24"/>
              </w:rPr>
              <w:t>nvestigations.</w:t>
            </w:r>
          </w:p>
          <w:p w14:paraId="45C4AD54" w14:textId="23C142DB" w:rsidR="00F41D41" w:rsidRPr="0017331B" w:rsidRDefault="00F41D41" w:rsidP="006C2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0D0537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66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3B8DC335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</w:p>
          <w:p w14:paraId="7700CEA6" w14:textId="488692E2" w:rsidR="00F41D41" w:rsidRPr="0017331B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4666F99D" w14:textId="77777777" w:rsidTr="00F41D41">
        <w:tc>
          <w:tcPr>
            <w:tcW w:w="1497" w:type="dxa"/>
          </w:tcPr>
          <w:p w14:paraId="29F69FC9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368B5F93" w14:textId="1793404B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  <w:tc>
          <w:tcPr>
            <w:tcW w:w="5869" w:type="dxa"/>
          </w:tcPr>
          <w:p w14:paraId="13B196F2" w14:textId="77777777" w:rsidR="00F41D41" w:rsidRDefault="00F41D41" w:rsidP="006C25B7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June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have plans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place to ensure they meet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the Fire Standards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Board’s leading the service standard and its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leading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developing people standard.</w:t>
            </w:r>
          </w:p>
          <w:p w14:paraId="1BDE5D5A" w14:textId="08111DD1" w:rsidR="00F41D41" w:rsidRPr="0017331B" w:rsidRDefault="00F41D41" w:rsidP="006C2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F6B00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66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68489DA3" w14:textId="04C3FACB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</w:p>
          <w:p w14:paraId="524D3A37" w14:textId="44D470B9" w:rsidR="00F41D41" w:rsidRPr="0017331B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2A303520" w14:textId="77777777" w:rsidTr="00F41D41">
        <w:tc>
          <w:tcPr>
            <w:tcW w:w="1497" w:type="dxa"/>
          </w:tcPr>
          <w:p w14:paraId="7A748E13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6C80DCE5" w14:textId="48933B80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  <w:tc>
          <w:tcPr>
            <w:tcW w:w="5869" w:type="dxa"/>
          </w:tcPr>
          <w:p w14:paraId="1BF25FD2" w14:textId="77777777" w:rsidR="00F41D41" w:rsidRDefault="00F41D41" w:rsidP="006C25B7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June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make sure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there is a full, 360-degree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feedback process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in place for all senior leaders and managers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ACFO </w:t>
            </w:r>
            <w:r w:rsidRPr="0017331B">
              <w:rPr>
                <w:rFonts w:ascii="Arial" w:hAnsi="Arial" w:cs="Arial"/>
                <w:sz w:val="24"/>
                <w:szCs w:val="24"/>
              </w:rPr>
              <w:t>equivalent and above) in service.</w:t>
            </w:r>
          </w:p>
          <w:p w14:paraId="26A731C8" w14:textId="4BE143C9" w:rsidR="00F41D41" w:rsidRPr="0017331B" w:rsidRDefault="00F41D41" w:rsidP="006C2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33633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66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7AB310C0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</w:p>
          <w:p w14:paraId="7C77A62A" w14:textId="429687DE" w:rsidR="00F41D41" w:rsidRPr="0017331B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17DBA1FC" w14:textId="77777777" w:rsidTr="00F41D41">
        <w:tc>
          <w:tcPr>
            <w:tcW w:w="1497" w:type="dxa"/>
          </w:tcPr>
          <w:p w14:paraId="3E505E6B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22</w:t>
            </w:r>
          </w:p>
          <w:p w14:paraId="61427B8F" w14:textId="2C4315AD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  <w:tc>
          <w:tcPr>
            <w:tcW w:w="5869" w:type="dxa"/>
          </w:tcPr>
          <w:p w14:paraId="1DC827B2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September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make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sure there is a full, 360-degree feedback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process in place for all other leaders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managers in service. The process should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include gathering feedback from a wide range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of sources including colleagues and direct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reports.</w:t>
            </w:r>
          </w:p>
          <w:p w14:paraId="4E8B02C7" w14:textId="5FC182EA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B36570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66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20476955" w14:textId="1D548230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  <w:p w14:paraId="35F62A4F" w14:textId="6EA0AE3A" w:rsidR="00F41D41" w:rsidRPr="0017331B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658AEE51" w14:textId="77777777" w:rsidTr="00F41D41">
        <w:tc>
          <w:tcPr>
            <w:tcW w:w="1497" w:type="dxa"/>
          </w:tcPr>
          <w:p w14:paraId="274450DC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696147E2" w14:textId="02DECA3D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  <w:tc>
          <w:tcPr>
            <w:tcW w:w="5869" w:type="dxa"/>
          </w:tcPr>
          <w:p w14:paraId="07D8BA2A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June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seek regular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feedback from staff about values, culture,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fairness and diversity, with due regard to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leading and developing people standard.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They should show how they act on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feedback.</w:t>
            </w:r>
          </w:p>
          <w:p w14:paraId="540F8796" w14:textId="7B65B4DF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468CB9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66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31917CD6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</w:p>
          <w:p w14:paraId="0AD0B45B" w14:textId="356ED93C" w:rsidR="00F41D41" w:rsidRPr="0017331B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745D2901" w14:textId="77777777" w:rsidTr="00F41D41">
        <w:tc>
          <w:tcPr>
            <w:tcW w:w="1497" w:type="dxa"/>
          </w:tcPr>
          <w:p w14:paraId="209FE451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465ED334" w14:textId="3106B3BF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  <w:tc>
          <w:tcPr>
            <w:tcW w:w="5869" w:type="dxa"/>
          </w:tcPr>
          <w:p w14:paraId="73E358BB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October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put plans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place to monitor, including through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gathering and analysis of staff feedback,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 xml:space="preserve">watch and team cultures </w:t>
            </w:r>
            <w:r w:rsidRPr="0017331B">
              <w:rPr>
                <w:rFonts w:ascii="Arial" w:hAnsi="Arial" w:cs="Arial"/>
                <w:sz w:val="24"/>
                <w:szCs w:val="24"/>
              </w:rPr>
              <w:lastRenderedPageBreak/>
              <w:t>and provide prompt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remedial action for any issues they identify.</w:t>
            </w:r>
          </w:p>
          <w:p w14:paraId="3ED9413D" w14:textId="5C84F622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4E4C42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CD66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0ED04DE8" w14:textId="57E823D4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</w:t>
            </w:r>
          </w:p>
          <w:p w14:paraId="3D1DB596" w14:textId="68496D29" w:rsidR="00F41D41" w:rsidRPr="0017331B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52A8449F" w14:textId="77777777" w:rsidTr="00F41D41">
        <w:tc>
          <w:tcPr>
            <w:tcW w:w="1497" w:type="dxa"/>
          </w:tcPr>
          <w:p w14:paraId="182BBA0A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27</w:t>
            </w:r>
          </w:p>
          <w:p w14:paraId="1DD887A7" w14:textId="28460B80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Diversity Data</w:t>
            </w:r>
          </w:p>
        </w:tc>
        <w:tc>
          <w:tcPr>
            <w:tcW w:w="5869" w:type="dxa"/>
          </w:tcPr>
          <w:p w14:paraId="16A5FDF5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June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make sure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their equality impact assessments are fit 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purpose and, as a minimum, meet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 xml:space="preserve">requirements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NFCC </w:t>
            </w:r>
            <w:r w:rsidRPr="0017331B">
              <w:rPr>
                <w:rFonts w:ascii="Arial" w:hAnsi="Arial" w:cs="Arial"/>
                <w:sz w:val="24"/>
                <w:szCs w:val="24"/>
              </w:rPr>
              <w:t>equality impact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assessment toolkit.</w:t>
            </w:r>
          </w:p>
          <w:p w14:paraId="16D8C7D8" w14:textId="75068840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66BCD6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66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3167473E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</w:p>
          <w:p w14:paraId="15776976" w14:textId="6224E5C5" w:rsidR="00F41D41" w:rsidRPr="0017331B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34EA8C7F" w14:textId="77777777" w:rsidTr="00F41D41">
        <w:tc>
          <w:tcPr>
            <w:tcW w:w="1497" w:type="dxa"/>
          </w:tcPr>
          <w:p w14:paraId="7141FB1E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28</w:t>
            </w:r>
          </w:p>
          <w:p w14:paraId="6CE90FDA" w14:textId="1FC5E377" w:rsidR="00F41D41" w:rsidRPr="0017331B" w:rsidRDefault="00F41D41" w:rsidP="005E2CF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Diversity Data</w:t>
            </w:r>
          </w:p>
        </w:tc>
        <w:tc>
          <w:tcPr>
            <w:tcW w:w="5869" w:type="dxa"/>
          </w:tcPr>
          <w:p w14:paraId="112232BA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June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review how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they gather and use equality and diversity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data to improve their understanding of their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staff demographics, including applying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 xml:space="preserve">meeting the requirements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NFCC </w:t>
            </w:r>
            <w:r w:rsidRPr="0017331B">
              <w:rPr>
                <w:rFonts w:ascii="Arial" w:hAnsi="Arial" w:cs="Arial"/>
                <w:sz w:val="24"/>
                <w:szCs w:val="24"/>
              </w:rPr>
              <w:t>equality, diversity and inclusion data toolkit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121BC6" w14:textId="0F8C36E2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6A6613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66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30DAE48F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</w:p>
          <w:p w14:paraId="05C06542" w14:textId="587F0CF4" w:rsidR="00F41D41" w:rsidRPr="0017331B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5EC977D3" w14:textId="77777777" w:rsidTr="00F41D41">
        <w:tc>
          <w:tcPr>
            <w:tcW w:w="1497" w:type="dxa"/>
          </w:tcPr>
          <w:p w14:paraId="3B701871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32</w:t>
            </w:r>
          </w:p>
          <w:p w14:paraId="61EA992F" w14:textId="127F3ABA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Improving Diversity</w:t>
            </w:r>
          </w:p>
        </w:tc>
        <w:tc>
          <w:tcPr>
            <w:tcW w:w="5869" w:type="dxa"/>
          </w:tcPr>
          <w:p w14:paraId="00DE3532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June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should, as a priority,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specify in succession plans how they intend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to improve diversity across all levels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service. This should include offering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increased direct-entry opportunities.</w:t>
            </w:r>
          </w:p>
          <w:p w14:paraId="00039065" w14:textId="6E45A52A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A54789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66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4CB64064" w14:textId="77777777" w:rsidR="00F41D41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</w:p>
          <w:p w14:paraId="23C730E2" w14:textId="06D10C35" w:rsidR="00F41D41" w:rsidRPr="0017331B" w:rsidRDefault="00F41D41" w:rsidP="00CD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11D8591F" w14:textId="77777777" w:rsidTr="00F41D41">
        <w:tc>
          <w:tcPr>
            <w:tcW w:w="1497" w:type="dxa"/>
          </w:tcPr>
          <w:p w14:paraId="4728C298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33</w:t>
            </w:r>
          </w:p>
          <w:p w14:paraId="1AFA5ADA" w14:textId="4C2E06D9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Improving Diversity</w:t>
            </w:r>
          </w:p>
        </w:tc>
        <w:tc>
          <w:tcPr>
            <w:tcW w:w="5869" w:type="dxa"/>
          </w:tcPr>
          <w:p w14:paraId="53CD7E9D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By 1 August 2023,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develop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plans to promote progression paths 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existing staff in non-operational roles and put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plans in place to reduce any inequalities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opportunity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7C1A57" w14:textId="65B45FD6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3F9195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66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14:paraId="1C666EB0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</w:p>
          <w:p w14:paraId="610B3779" w14:textId="06F15175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41D41" w:rsidRPr="0017331B" w14:paraId="3DCC681F" w14:textId="77777777" w:rsidTr="00F41D41">
        <w:tc>
          <w:tcPr>
            <w:tcW w:w="1497" w:type="dxa"/>
          </w:tcPr>
          <w:p w14:paraId="7EEDB5B9" w14:textId="77777777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34</w:t>
            </w:r>
          </w:p>
          <w:p w14:paraId="4981B97B" w14:textId="0531F1C5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>Core Code of Ethics</w:t>
            </w:r>
          </w:p>
        </w:tc>
        <w:tc>
          <w:tcPr>
            <w:tcW w:w="5869" w:type="dxa"/>
          </w:tcPr>
          <w:p w14:paraId="030E8C60" w14:textId="77777777" w:rsidR="00F41D41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17331B">
              <w:rPr>
                <w:rFonts w:ascii="Arial" w:hAnsi="Arial" w:cs="Arial"/>
                <w:sz w:val="24"/>
                <w:szCs w:val="24"/>
              </w:rPr>
              <w:t xml:space="preserve">With immediate effect, </w:t>
            </w:r>
            <w:r>
              <w:rPr>
                <w:rFonts w:ascii="Arial" w:hAnsi="Arial" w:cs="Arial"/>
                <w:sz w:val="24"/>
                <w:szCs w:val="24"/>
              </w:rPr>
              <w:t xml:space="preserve">CFOs </w:t>
            </w:r>
            <w:r w:rsidRPr="0017331B">
              <w:rPr>
                <w:rFonts w:ascii="Arial" w:hAnsi="Arial" w:cs="Arial"/>
                <w:sz w:val="24"/>
                <w:szCs w:val="24"/>
              </w:rPr>
              <w:t>should review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their implementation of the Core Code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Ethics and make sure it is being applied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31B">
              <w:rPr>
                <w:rFonts w:ascii="Arial" w:hAnsi="Arial" w:cs="Arial"/>
                <w:sz w:val="24"/>
                <w:szCs w:val="24"/>
              </w:rPr>
              <w:t>across their services.</w:t>
            </w:r>
          </w:p>
          <w:p w14:paraId="10B57AE7" w14:textId="1061628E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38B3E1" w14:textId="1BFC8B0C" w:rsidR="00F41D41" w:rsidRPr="0017331B" w:rsidRDefault="00F41D41">
            <w:pPr>
              <w:rPr>
                <w:rFonts w:ascii="Arial" w:hAnsi="Arial" w:cs="Arial"/>
                <w:sz w:val="24"/>
                <w:szCs w:val="24"/>
              </w:rPr>
            </w:pPr>
            <w:r w:rsidRPr="00CD667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Immediate</w:t>
            </w:r>
          </w:p>
        </w:tc>
      </w:tr>
    </w:tbl>
    <w:p w14:paraId="56A7B075" w14:textId="77777777" w:rsidR="00A901C8" w:rsidRPr="0017331B" w:rsidRDefault="00F41D41">
      <w:pPr>
        <w:rPr>
          <w:rFonts w:ascii="Arial" w:hAnsi="Arial" w:cs="Arial"/>
          <w:sz w:val="24"/>
          <w:szCs w:val="24"/>
        </w:rPr>
      </w:pPr>
    </w:p>
    <w:sectPr w:rsidR="00A901C8" w:rsidRPr="001733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3ED8" w14:textId="77777777" w:rsidR="00763E7D" w:rsidRDefault="00763E7D" w:rsidP="00763E7D">
      <w:pPr>
        <w:spacing w:after="0" w:line="240" w:lineRule="auto"/>
      </w:pPr>
      <w:r>
        <w:separator/>
      </w:r>
    </w:p>
  </w:endnote>
  <w:endnote w:type="continuationSeparator" w:id="0">
    <w:p w14:paraId="365538C4" w14:textId="77777777" w:rsidR="00763E7D" w:rsidRDefault="00763E7D" w:rsidP="0076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97A1" w14:textId="77777777" w:rsidR="00763E7D" w:rsidRDefault="00763E7D" w:rsidP="00763E7D">
      <w:pPr>
        <w:spacing w:after="0" w:line="240" w:lineRule="auto"/>
      </w:pPr>
      <w:r>
        <w:separator/>
      </w:r>
    </w:p>
  </w:footnote>
  <w:footnote w:type="continuationSeparator" w:id="0">
    <w:p w14:paraId="249FB474" w14:textId="77777777" w:rsidR="00763E7D" w:rsidRDefault="00763E7D" w:rsidP="0076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B534" w14:textId="3D548939" w:rsidR="00763E7D" w:rsidRPr="00763E7D" w:rsidRDefault="00763E7D" w:rsidP="00763E7D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763E7D">
      <w:rPr>
        <w:rFonts w:ascii="Arial" w:hAnsi="Arial" w:cs="Arial"/>
        <w:b/>
        <w:bCs/>
        <w:sz w:val="24"/>
        <w:szCs w:val="24"/>
      </w:rPr>
      <w:t>HMICFRS Values &amp; Culture</w:t>
    </w:r>
  </w:p>
  <w:p w14:paraId="66B6AC5B" w14:textId="17934A9B" w:rsidR="00763E7D" w:rsidRDefault="00763E7D" w:rsidP="00763E7D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763E7D">
      <w:rPr>
        <w:rFonts w:ascii="Arial" w:hAnsi="Arial" w:cs="Arial"/>
        <w:b/>
        <w:bCs/>
        <w:sz w:val="24"/>
        <w:szCs w:val="24"/>
      </w:rPr>
      <w:t>Recommendations for CFO’s</w:t>
    </w:r>
  </w:p>
  <w:p w14:paraId="785125A6" w14:textId="77777777" w:rsidR="0017331B" w:rsidRPr="00763E7D" w:rsidRDefault="0017331B" w:rsidP="00763E7D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3269"/>
    <w:multiLevelType w:val="hybridMultilevel"/>
    <w:tmpl w:val="E91087E2"/>
    <w:lvl w:ilvl="0" w:tplc="0570E766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36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BE"/>
    <w:rsid w:val="000434D7"/>
    <w:rsid w:val="000B24AB"/>
    <w:rsid w:val="000D530D"/>
    <w:rsid w:val="000F44D2"/>
    <w:rsid w:val="0017331B"/>
    <w:rsid w:val="001F7855"/>
    <w:rsid w:val="002F0FB8"/>
    <w:rsid w:val="0042615C"/>
    <w:rsid w:val="00454173"/>
    <w:rsid w:val="004879FA"/>
    <w:rsid w:val="004B15E8"/>
    <w:rsid w:val="004F6946"/>
    <w:rsid w:val="005E2CF1"/>
    <w:rsid w:val="006C25B7"/>
    <w:rsid w:val="00763E7D"/>
    <w:rsid w:val="00841144"/>
    <w:rsid w:val="008F7EAF"/>
    <w:rsid w:val="009B57A4"/>
    <w:rsid w:val="009E1A39"/>
    <w:rsid w:val="00A14ABE"/>
    <w:rsid w:val="00A442D2"/>
    <w:rsid w:val="00B0397A"/>
    <w:rsid w:val="00BD0A43"/>
    <w:rsid w:val="00C128FB"/>
    <w:rsid w:val="00CD6674"/>
    <w:rsid w:val="00D12135"/>
    <w:rsid w:val="00E96EE1"/>
    <w:rsid w:val="00F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BA00"/>
  <w15:chartTrackingRefBased/>
  <w15:docId w15:val="{E314170C-0506-4582-911F-CCF8A0B8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7D"/>
  </w:style>
  <w:style w:type="paragraph" w:styleId="Footer">
    <w:name w:val="footer"/>
    <w:basedOn w:val="Normal"/>
    <w:link w:val="FooterChar"/>
    <w:uiPriority w:val="99"/>
    <w:unhideWhenUsed/>
    <w:rsid w:val="00763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7D"/>
  </w:style>
  <w:style w:type="paragraph" w:styleId="ListParagraph">
    <w:name w:val="List Paragraph"/>
    <w:basedOn w:val="Normal"/>
    <w:uiPriority w:val="34"/>
    <w:qFormat/>
    <w:rsid w:val="004B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Nash</dc:creator>
  <cp:keywords/>
  <dc:description/>
  <cp:lastModifiedBy>Jack Grasby</cp:lastModifiedBy>
  <cp:revision>23</cp:revision>
  <dcterms:created xsi:type="dcterms:W3CDTF">2023-03-31T13:49:00Z</dcterms:created>
  <dcterms:modified xsi:type="dcterms:W3CDTF">2023-06-09T11:54:00Z</dcterms:modified>
</cp:coreProperties>
</file>