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webSettings.xml" ContentType="application/vnd.openxmlformats-officedocument.wordprocessingml.webSetting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D16A" w14:textId="77777777" w:rsidR="00044118" w:rsidRPr="00B44354" w:rsidRDefault="00906302" w:rsidP="00044118">
      <w:pPr>
        <w:rPr>
          <w:rFonts w:eastAsia="Calibri"/>
          <w:b/>
          <w:sz w:val="24"/>
          <w:szCs w:val="24"/>
        </w:rPr>
      </w:pPr>
      <w:r w:rsidRPr="00B44354">
        <w:rPr>
          <w:noProof/>
          <w:sz w:val="24"/>
          <w:szCs w:val="24"/>
          <w:lang w:eastAsia="en-GB"/>
        </w:rPr>
        <w:drawing>
          <wp:anchor distT="0" distB="0" distL="114300" distR="114300" simplePos="0" relativeHeight="251657728" behindDoc="1" locked="0" layoutInCell="1" allowOverlap="1" wp14:anchorId="25630234" wp14:editId="62583A50">
            <wp:simplePos x="0" y="0"/>
            <wp:positionH relativeFrom="page">
              <wp:posOffset>3816985</wp:posOffset>
            </wp:positionH>
            <wp:positionV relativeFrom="paragraph">
              <wp:posOffset>0</wp:posOffset>
            </wp:positionV>
            <wp:extent cx="3181350" cy="875665"/>
            <wp:effectExtent l="0" t="0" r="0" b="0"/>
            <wp:wrapTight wrapText="bothSides">
              <wp:wrapPolygon edited="0">
                <wp:start x="0" y="0"/>
                <wp:lineTo x="0" y="21146"/>
                <wp:lineTo x="21471" y="21146"/>
                <wp:lineTo x="21471" y="0"/>
                <wp:lineTo x="0" y="0"/>
              </wp:wrapPolygon>
            </wp:wrapTight>
            <wp:docPr id="10" name="Picture 1" descr="nfrs_logo_landscap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s_logo_landscape_sm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1350" cy="87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4354">
        <w:rPr>
          <w:noProof/>
          <w:sz w:val="24"/>
          <w:szCs w:val="24"/>
          <w:lang w:eastAsia="en-GB"/>
        </w:rPr>
        <mc:AlternateContent>
          <mc:Choice Requires="wps">
            <w:drawing>
              <wp:anchor distT="0" distB="0" distL="114300" distR="114300" simplePos="0" relativeHeight="251658752" behindDoc="0" locked="0" layoutInCell="1" allowOverlap="1" wp14:anchorId="6DC1FC75" wp14:editId="45FEF5D6">
                <wp:simplePos x="0" y="0"/>
                <wp:positionH relativeFrom="column">
                  <wp:posOffset>-162560</wp:posOffset>
                </wp:positionH>
                <wp:positionV relativeFrom="paragraph">
                  <wp:posOffset>-47625</wp:posOffset>
                </wp:positionV>
                <wp:extent cx="2872105" cy="76835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768350"/>
                        </a:xfrm>
                        <a:prstGeom prst="rect">
                          <a:avLst/>
                        </a:prstGeom>
                        <a:solidFill>
                          <a:srgbClr val="FFFFFF"/>
                        </a:solidFill>
                        <a:ln w="9525">
                          <a:solidFill>
                            <a:srgbClr val="000000"/>
                          </a:solidFill>
                          <a:miter lim="800000"/>
                          <a:headEnd/>
                          <a:tailEnd/>
                        </a:ln>
                      </wps:spPr>
                      <wps:txbx>
                        <w:txbxContent>
                          <w:p w14:paraId="04CEBAC2" w14:textId="77777777" w:rsidR="00044118" w:rsidRPr="004E2169" w:rsidRDefault="00044118" w:rsidP="00044118">
                            <w:pPr>
                              <w:jc w:val="center"/>
                              <w:rPr>
                                <w:b/>
                                <w:sz w:val="24"/>
                                <w:szCs w:val="24"/>
                              </w:rPr>
                            </w:pPr>
                            <w:r w:rsidRPr="004E2169">
                              <w:rPr>
                                <w:b/>
                                <w:sz w:val="24"/>
                                <w:szCs w:val="24"/>
                              </w:rPr>
                              <w:t>Wholetime Firefighter</w:t>
                            </w:r>
                          </w:p>
                          <w:p w14:paraId="09DF60A6" w14:textId="77777777" w:rsidR="00044118" w:rsidRPr="004E2169" w:rsidRDefault="00044118" w:rsidP="00044118">
                            <w:pPr>
                              <w:jc w:val="center"/>
                              <w:rPr>
                                <w:b/>
                                <w:sz w:val="24"/>
                                <w:szCs w:val="24"/>
                              </w:rPr>
                            </w:pPr>
                            <w:r w:rsidRPr="004E2169">
                              <w:rPr>
                                <w:b/>
                                <w:sz w:val="24"/>
                                <w:szCs w:val="24"/>
                              </w:rPr>
                              <w:t xml:space="preserve">Recruitment and positive action case study – </w:t>
                            </w:r>
                            <w:r w:rsidR="0073199D" w:rsidRPr="004E2169">
                              <w:rPr>
                                <w:b/>
                                <w:sz w:val="24"/>
                                <w:szCs w:val="24"/>
                              </w:rPr>
                              <w:t>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DC1FC75">
                <v:stroke joinstyle="miter"/>
                <v:path gradientshapeok="t" o:connecttype="rect"/>
              </v:shapetype>
              <v:shape id="Text Box 2" style="position:absolute;margin-left:-12.8pt;margin-top:-3.75pt;width:226.15pt;height: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">
                <v:textbox>
                  <w:txbxContent>
                    <w:p w:rsidRPr="004E2169" w:rsidR="00044118" w:rsidP="00044118" w:rsidRDefault="00044118" w14:paraId="04CEBAC2" w14:textId="77777777">
                      <w:pPr>
                        <w:jc w:val="center"/>
                        <w:rPr>
                          <w:b/>
                          <w:sz w:val="24"/>
                          <w:szCs w:val="24"/>
                        </w:rPr>
                      </w:pPr>
                      <w:r w:rsidRPr="004E2169">
                        <w:rPr>
                          <w:b/>
                          <w:sz w:val="24"/>
                          <w:szCs w:val="24"/>
                        </w:rPr>
                        <w:t>Wholetime Firefighter</w:t>
                      </w:r>
                    </w:p>
                    <w:p w:rsidRPr="004E2169" w:rsidR="00044118" w:rsidP="00044118" w:rsidRDefault="00044118" w14:paraId="09DF60A6" w14:textId="77777777">
                      <w:pPr>
                        <w:jc w:val="center"/>
                        <w:rPr>
                          <w:b/>
                          <w:sz w:val="24"/>
                          <w:szCs w:val="24"/>
                        </w:rPr>
                      </w:pPr>
                      <w:r w:rsidRPr="004E2169">
                        <w:rPr>
                          <w:b/>
                          <w:sz w:val="24"/>
                          <w:szCs w:val="24"/>
                        </w:rPr>
                        <w:t xml:space="preserve">Recruitment and positive action case study – </w:t>
                      </w:r>
                      <w:r w:rsidRPr="004E2169" w:rsidR="0073199D">
                        <w:rPr>
                          <w:b/>
                          <w:sz w:val="24"/>
                          <w:szCs w:val="24"/>
                        </w:rPr>
                        <w:t>2020</w:t>
                      </w:r>
                    </w:p>
                  </w:txbxContent>
                </v:textbox>
              </v:shape>
            </w:pict>
          </mc:Fallback>
        </mc:AlternateContent>
      </w:r>
    </w:p>
    <w:p w14:paraId="07288EAD" w14:textId="77777777" w:rsidR="00044118" w:rsidRPr="00B44354" w:rsidRDefault="00044118" w:rsidP="00044118">
      <w:pPr>
        <w:rPr>
          <w:rFonts w:eastAsia="Calibri"/>
          <w:b/>
          <w:sz w:val="24"/>
          <w:szCs w:val="24"/>
        </w:rPr>
      </w:pPr>
    </w:p>
    <w:p w14:paraId="39F63B0C" w14:textId="77777777" w:rsidR="00044118" w:rsidRPr="00B44354" w:rsidRDefault="00044118" w:rsidP="00044118">
      <w:pPr>
        <w:rPr>
          <w:rFonts w:eastAsia="Calibri"/>
          <w:b/>
          <w:sz w:val="24"/>
          <w:szCs w:val="24"/>
        </w:rPr>
      </w:pPr>
    </w:p>
    <w:p w14:paraId="36440583" w14:textId="77777777" w:rsidR="00044118" w:rsidRPr="00B44354" w:rsidRDefault="00044118" w:rsidP="00044118">
      <w:pPr>
        <w:rPr>
          <w:rFonts w:eastAsia="Calibri"/>
          <w:b/>
          <w:sz w:val="24"/>
          <w:szCs w:val="24"/>
        </w:rPr>
      </w:pPr>
    </w:p>
    <w:p w14:paraId="6A943E44" w14:textId="77777777" w:rsidR="00044118" w:rsidRPr="00B44354" w:rsidRDefault="00044118" w:rsidP="00044118">
      <w:pPr>
        <w:rPr>
          <w:rFonts w:eastAsia="Calibri"/>
          <w:b/>
          <w:sz w:val="24"/>
          <w:szCs w:val="24"/>
        </w:rPr>
      </w:pPr>
    </w:p>
    <w:p w14:paraId="5425A213" w14:textId="77777777" w:rsidR="00044118" w:rsidRPr="00BD5440" w:rsidRDefault="00044118" w:rsidP="00044118">
      <w:pPr>
        <w:rPr>
          <w:rFonts w:eastAsia="Calibri"/>
          <w:b/>
          <w:sz w:val="24"/>
          <w:szCs w:val="24"/>
        </w:rPr>
      </w:pPr>
      <w:r w:rsidRPr="00BD5440">
        <w:rPr>
          <w:rFonts w:eastAsia="Calibri"/>
          <w:b/>
          <w:sz w:val="24"/>
          <w:szCs w:val="24"/>
        </w:rPr>
        <w:t>Introduction</w:t>
      </w:r>
    </w:p>
    <w:p w14:paraId="42C797E8" w14:textId="77777777" w:rsidR="0073199D" w:rsidRPr="00BD5440" w:rsidRDefault="0073199D" w:rsidP="0073199D">
      <w:pPr>
        <w:pStyle w:val="Default"/>
        <w:rPr>
          <w:color w:val="auto"/>
        </w:rPr>
      </w:pPr>
    </w:p>
    <w:p w14:paraId="7E1B736C" w14:textId="77777777" w:rsidR="0073199D" w:rsidRPr="00BD5440" w:rsidRDefault="0073199D" w:rsidP="0073199D">
      <w:pPr>
        <w:pStyle w:val="Default"/>
        <w:rPr>
          <w:color w:val="auto"/>
        </w:rPr>
      </w:pPr>
      <w:r w:rsidRPr="00BD5440">
        <w:rPr>
          <w:color w:val="auto"/>
        </w:rPr>
        <w:t xml:space="preserve">During 2020 the Service undertook a selection process to recruit wholetime firefighters for entry </w:t>
      </w:r>
      <w:proofErr w:type="gramStart"/>
      <w:r w:rsidRPr="00BD5440">
        <w:rPr>
          <w:color w:val="auto"/>
        </w:rPr>
        <w:t>in to</w:t>
      </w:r>
      <w:proofErr w:type="gramEnd"/>
      <w:r w:rsidRPr="00BD5440">
        <w:rPr>
          <w:color w:val="auto"/>
        </w:rPr>
        <w:t xml:space="preserve"> the organisation from April 2021. The last such process took place in 2017/18. Planning for this work began shortly after the national lockdown was instigated, which made the management of the process and positive action campaign even more challenging than in previous years. </w:t>
      </w:r>
    </w:p>
    <w:p w14:paraId="7E27F5C2" w14:textId="77777777" w:rsidR="00145E02" w:rsidRPr="00BD5440" w:rsidRDefault="00145E02" w:rsidP="0073199D">
      <w:pPr>
        <w:pStyle w:val="Default"/>
        <w:rPr>
          <w:color w:val="auto"/>
        </w:rPr>
      </w:pPr>
    </w:p>
    <w:p w14:paraId="5E0C19AC" w14:textId="77777777" w:rsidR="00145E02" w:rsidRPr="00BD5440" w:rsidRDefault="00145E02" w:rsidP="0073199D">
      <w:pPr>
        <w:pStyle w:val="Default"/>
        <w:rPr>
          <w:color w:val="auto"/>
        </w:rPr>
      </w:pPr>
      <w:r w:rsidRPr="00BD5440">
        <w:rPr>
          <w:rFonts w:eastAsia="Calibri"/>
        </w:rPr>
        <w:t xml:space="preserve">As a result of this work, 28 new firefighters (including 2 transfers from other Fire and Rescue Services (FRSs) and </w:t>
      </w:r>
      <w:r w:rsidR="00B44354" w:rsidRPr="00BD5440">
        <w:rPr>
          <w:rFonts w:eastAsia="Calibri"/>
        </w:rPr>
        <w:t xml:space="preserve">an employee from an NFRS </w:t>
      </w:r>
      <w:proofErr w:type="spellStart"/>
      <w:r w:rsidR="00693983" w:rsidRPr="00BD5440">
        <w:rPr>
          <w:rFonts w:eastAsia="Calibri"/>
        </w:rPr>
        <w:t>oncall</w:t>
      </w:r>
      <w:proofErr w:type="spellEnd"/>
      <w:r w:rsidR="00B44354" w:rsidRPr="00BD5440">
        <w:rPr>
          <w:rFonts w:eastAsia="Calibri"/>
        </w:rPr>
        <w:t xml:space="preserve"> </w:t>
      </w:r>
      <w:proofErr w:type="gramStart"/>
      <w:r w:rsidR="00B44354" w:rsidRPr="00BD5440">
        <w:rPr>
          <w:rFonts w:eastAsia="Calibri"/>
        </w:rPr>
        <w:t xml:space="preserve">section </w:t>
      </w:r>
      <w:r w:rsidRPr="00BD5440">
        <w:rPr>
          <w:rFonts w:eastAsia="Calibri"/>
        </w:rPr>
        <w:t>)</w:t>
      </w:r>
      <w:proofErr w:type="gramEnd"/>
      <w:r w:rsidRPr="00BD5440">
        <w:rPr>
          <w:rFonts w:eastAsia="Calibri"/>
        </w:rPr>
        <w:t xml:space="preserve"> will be entering the workforce over the next 18 months; </w:t>
      </w:r>
      <w:r w:rsidR="00693983" w:rsidRPr="00BD5440">
        <w:rPr>
          <w:rFonts w:eastAsia="Calibri"/>
        </w:rPr>
        <w:t>14</w:t>
      </w:r>
      <w:r w:rsidRPr="00BD5440">
        <w:rPr>
          <w:rFonts w:eastAsia="Calibri"/>
        </w:rPr>
        <w:t>.2</w:t>
      </w:r>
      <w:r w:rsidR="00693983" w:rsidRPr="00BD5440">
        <w:rPr>
          <w:rFonts w:eastAsia="Calibri"/>
        </w:rPr>
        <w:t>8</w:t>
      </w:r>
      <w:r w:rsidRPr="00BD5440">
        <w:rPr>
          <w:rFonts w:eastAsia="Calibri"/>
        </w:rPr>
        <w:t xml:space="preserve">% of these new starters will be from BAME backgrounds and </w:t>
      </w:r>
      <w:r w:rsidR="00693983" w:rsidRPr="00BD5440">
        <w:rPr>
          <w:rFonts w:eastAsia="Calibri"/>
        </w:rPr>
        <w:t>17</w:t>
      </w:r>
      <w:r w:rsidRPr="00BD5440">
        <w:rPr>
          <w:rFonts w:eastAsia="Calibri"/>
        </w:rPr>
        <w:t>.</w:t>
      </w:r>
      <w:r w:rsidR="00693983" w:rsidRPr="00BD5440">
        <w:rPr>
          <w:rFonts w:eastAsia="Calibri"/>
        </w:rPr>
        <w:t>86</w:t>
      </w:r>
      <w:r w:rsidRPr="00BD5440">
        <w:rPr>
          <w:rFonts w:eastAsia="Calibri"/>
        </w:rPr>
        <w:t>% will be women</w:t>
      </w:r>
    </w:p>
    <w:p w14:paraId="1141C19D" w14:textId="77777777" w:rsidR="0073199D" w:rsidRPr="00BD5440" w:rsidRDefault="0073199D" w:rsidP="0073199D">
      <w:pPr>
        <w:pStyle w:val="Default"/>
        <w:rPr>
          <w:color w:val="auto"/>
        </w:rPr>
      </w:pPr>
    </w:p>
    <w:p w14:paraId="22AD6D9E" w14:textId="77777777" w:rsidR="002C54B4" w:rsidRPr="00BD5440" w:rsidRDefault="002C54B4" w:rsidP="002C54B4">
      <w:pPr>
        <w:rPr>
          <w:rFonts w:eastAsia="Calibri"/>
          <w:b/>
          <w:sz w:val="24"/>
          <w:szCs w:val="24"/>
        </w:rPr>
      </w:pPr>
      <w:r w:rsidRPr="00BD5440">
        <w:rPr>
          <w:rFonts w:eastAsia="Calibri"/>
          <w:b/>
          <w:sz w:val="24"/>
          <w:szCs w:val="24"/>
        </w:rPr>
        <w:t>Planning</w:t>
      </w:r>
    </w:p>
    <w:p w14:paraId="7253081C" w14:textId="77777777" w:rsidR="002C54B4" w:rsidRPr="00BD5440" w:rsidRDefault="002C54B4" w:rsidP="002C54B4">
      <w:pPr>
        <w:rPr>
          <w:rFonts w:eastAsia="Calibri"/>
          <w:b/>
          <w:sz w:val="24"/>
          <w:szCs w:val="24"/>
        </w:rPr>
      </w:pPr>
    </w:p>
    <w:p w14:paraId="766AFF79" w14:textId="77777777" w:rsidR="002C54B4" w:rsidRPr="00BD5440" w:rsidRDefault="002C54B4" w:rsidP="00324C20">
      <w:pPr>
        <w:rPr>
          <w:sz w:val="24"/>
          <w:szCs w:val="24"/>
        </w:rPr>
      </w:pPr>
      <w:proofErr w:type="gramStart"/>
      <w:r w:rsidRPr="00BD5440">
        <w:rPr>
          <w:rFonts w:eastAsia="Calibri"/>
          <w:sz w:val="24"/>
          <w:szCs w:val="24"/>
        </w:rPr>
        <w:t>The planning and execution of the Service’s positive action campaign,</w:t>
      </w:r>
      <w:proofErr w:type="gramEnd"/>
      <w:r w:rsidRPr="00BD5440">
        <w:rPr>
          <w:rFonts w:eastAsia="Calibri"/>
          <w:sz w:val="24"/>
          <w:szCs w:val="24"/>
        </w:rPr>
        <w:t xml:space="preserve"> took place from May, in conjunction with plann</w:t>
      </w:r>
      <w:r w:rsidR="00324C20" w:rsidRPr="00BD5440">
        <w:rPr>
          <w:rFonts w:eastAsia="Calibri"/>
          <w:sz w:val="24"/>
          <w:szCs w:val="24"/>
        </w:rPr>
        <w:t xml:space="preserve">ing of the recruitment process. </w:t>
      </w:r>
      <w:r w:rsidRPr="00BD5440">
        <w:rPr>
          <w:sz w:val="24"/>
          <w:szCs w:val="24"/>
        </w:rPr>
        <w:t xml:space="preserve">Due to COVID-19 restrictions, the Service worked with an external consultant to deliver on-line testing for mechanical reasoning, literacy and numeracy and </w:t>
      </w:r>
      <w:r w:rsidR="005A56DC" w:rsidRPr="00BD5440">
        <w:rPr>
          <w:sz w:val="24"/>
          <w:szCs w:val="24"/>
        </w:rPr>
        <w:t>s</w:t>
      </w:r>
      <w:r w:rsidRPr="00BD5440">
        <w:rPr>
          <w:sz w:val="24"/>
          <w:szCs w:val="24"/>
        </w:rPr>
        <w:t xml:space="preserve">ituational </w:t>
      </w:r>
      <w:r w:rsidR="005A56DC" w:rsidRPr="00BD5440">
        <w:rPr>
          <w:sz w:val="24"/>
          <w:szCs w:val="24"/>
        </w:rPr>
        <w:t>j</w:t>
      </w:r>
      <w:r w:rsidRPr="00BD5440">
        <w:rPr>
          <w:sz w:val="24"/>
          <w:szCs w:val="24"/>
        </w:rPr>
        <w:t xml:space="preserve">udgement. </w:t>
      </w:r>
    </w:p>
    <w:p w14:paraId="01D7B4FB" w14:textId="77777777" w:rsidR="00693983" w:rsidRPr="00BD5440" w:rsidRDefault="00693983" w:rsidP="002C54B4">
      <w:pPr>
        <w:rPr>
          <w:rFonts w:eastAsia="Calibri"/>
          <w:sz w:val="24"/>
          <w:szCs w:val="24"/>
        </w:rPr>
      </w:pPr>
    </w:p>
    <w:p w14:paraId="4B46A393" w14:textId="4C0FD4C5" w:rsidR="002C54B4" w:rsidRPr="00BD5440" w:rsidRDefault="2A4DA1CB" w:rsidP="002C54B4">
      <w:pPr>
        <w:rPr>
          <w:rFonts w:eastAsia="Calibri"/>
          <w:sz w:val="24"/>
          <w:szCs w:val="24"/>
        </w:rPr>
      </w:pPr>
      <w:r w:rsidRPr="4DCBB081">
        <w:rPr>
          <w:rFonts w:eastAsia="Calibri"/>
          <w:sz w:val="24"/>
          <w:szCs w:val="24"/>
        </w:rPr>
        <w:t xml:space="preserve">The branding used in advertising wholetime firefighter positions was an important factor to consider.  The Service built on a previous </w:t>
      </w:r>
      <w:r w:rsidR="3E447B4F" w:rsidRPr="4DCBB081">
        <w:rPr>
          <w:rFonts w:eastAsia="Calibri"/>
          <w:sz w:val="24"/>
          <w:szCs w:val="24"/>
        </w:rPr>
        <w:t xml:space="preserve">campaign </w:t>
      </w:r>
      <w:r w:rsidRPr="4DCBB081">
        <w:rPr>
          <w:rFonts w:eastAsia="Calibri"/>
          <w:sz w:val="24"/>
          <w:szCs w:val="24"/>
        </w:rPr>
        <w:t xml:space="preserve">it had developed </w:t>
      </w:r>
      <w:r w:rsidR="3E447B4F" w:rsidRPr="4DCBB081">
        <w:rPr>
          <w:rFonts w:eastAsia="Calibri"/>
          <w:sz w:val="24"/>
          <w:szCs w:val="24"/>
        </w:rPr>
        <w:t>using the slogan</w:t>
      </w:r>
      <w:r w:rsidRPr="4DCBB081">
        <w:rPr>
          <w:rFonts w:eastAsia="Calibri"/>
          <w:sz w:val="24"/>
          <w:szCs w:val="24"/>
        </w:rPr>
        <w:t xml:space="preserve"> ‘Yes You Can’ </w:t>
      </w:r>
      <w:r w:rsidR="3E447B4F" w:rsidRPr="4DCBB081">
        <w:rPr>
          <w:rFonts w:eastAsia="Calibri"/>
          <w:sz w:val="24"/>
          <w:szCs w:val="24"/>
        </w:rPr>
        <w:t xml:space="preserve">which </w:t>
      </w:r>
      <w:r w:rsidRPr="4DCBB081">
        <w:rPr>
          <w:rFonts w:eastAsia="Calibri"/>
          <w:sz w:val="24"/>
          <w:szCs w:val="24"/>
        </w:rPr>
        <w:t>was used on the Service’s recruitment advertising and literature.   Role models from a diverse range of backgr</w:t>
      </w:r>
      <w:r w:rsidR="3E447B4F" w:rsidRPr="4DCBB081">
        <w:rPr>
          <w:rFonts w:eastAsia="Calibri"/>
          <w:sz w:val="24"/>
          <w:szCs w:val="24"/>
        </w:rPr>
        <w:t xml:space="preserve">ounds were recruited to feature </w:t>
      </w:r>
      <w:r w:rsidRPr="4DCBB081">
        <w:rPr>
          <w:rFonts w:eastAsia="Calibri"/>
          <w:sz w:val="24"/>
          <w:szCs w:val="24"/>
        </w:rPr>
        <w:t>within the campaign</w:t>
      </w:r>
      <w:r w:rsidR="7113A8FA" w:rsidRPr="4DCBB081">
        <w:rPr>
          <w:rFonts w:eastAsia="Calibri"/>
          <w:sz w:val="24"/>
          <w:szCs w:val="24"/>
        </w:rPr>
        <w:t>. These people comprised of</w:t>
      </w:r>
      <w:r w:rsidRPr="4DCBB081">
        <w:rPr>
          <w:rFonts w:eastAsia="Calibri"/>
          <w:sz w:val="24"/>
          <w:szCs w:val="24"/>
        </w:rPr>
        <w:t xml:space="preserve"> firefighter</w:t>
      </w:r>
      <w:r w:rsidRPr="4DCBB081">
        <w:rPr>
          <w:rFonts w:eastAsia="Arial"/>
          <w:sz w:val="24"/>
          <w:szCs w:val="24"/>
        </w:rPr>
        <w:t>s</w:t>
      </w:r>
      <w:r w:rsidR="3B1B3F54" w:rsidRPr="4DCBB081">
        <w:rPr>
          <w:rFonts w:eastAsia="Arial"/>
          <w:sz w:val="24"/>
          <w:szCs w:val="24"/>
        </w:rPr>
        <w:t>,</w:t>
      </w:r>
      <w:r w:rsidR="3E447B4F" w:rsidRPr="4DCBB081">
        <w:rPr>
          <w:rFonts w:eastAsia="Arial"/>
          <w:sz w:val="24"/>
          <w:szCs w:val="24"/>
        </w:rPr>
        <w:t xml:space="preserve"> </w:t>
      </w:r>
      <w:r w:rsidR="53FFF5E3" w:rsidRPr="4DCBB081">
        <w:rPr>
          <w:rFonts w:eastAsia="Arial"/>
          <w:sz w:val="24"/>
          <w:szCs w:val="24"/>
        </w:rPr>
        <w:t>C</w:t>
      </w:r>
      <w:r w:rsidRPr="4DCBB081">
        <w:rPr>
          <w:rFonts w:eastAsia="Arial"/>
          <w:sz w:val="24"/>
          <w:szCs w:val="24"/>
        </w:rPr>
        <w:t>re</w:t>
      </w:r>
      <w:r w:rsidRPr="4DCBB081">
        <w:rPr>
          <w:rFonts w:eastAsia="Calibri"/>
          <w:sz w:val="24"/>
          <w:szCs w:val="24"/>
        </w:rPr>
        <w:t xml:space="preserve">w and </w:t>
      </w:r>
      <w:r w:rsidR="48C2E6F5" w:rsidRPr="4DCBB081">
        <w:rPr>
          <w:rFonts w:eastAsia="Calibri"/>
          <w:sz w:val="24"/>
          <w:szCs w:val="24"/>
        </w:rPr>
        <w:t>W</w:t>
      </w:r>
      <w:r w:rsidRPr="4DCBB081">
        <w:rPr>
          <w:rFonts w:eastAsia="Calibri"/>
          <w:sz w:val="24"/>
          <w:szCs w:val="24"/>
        </w:rPr>
        <w:t xml:space="preserve">atch </w:t>
      </w:r>
      <w:r w:rsidR="7775C4E8" w:rsidRPr="4DCBB081">
        <w:rPr>
          <w:rFonts w:eastAsia="Calibri"/>
          <w:sz w:val="24"/>
          <w:szCs w:val="24"/>
        </w:rPr>
        <w:t>M</w:t>
      </w:r>
      <w:r w:rsidRPr="4DCBB081">
        <w:rPr>
          <w:rFonts w:eastAsia="Calibri"/>
          <w:sz w:val="24"/>
          <w:szCs w:val="24"/>
        </w:rPr>
        <w:t>anagers across the Service.</w:t>
      </w:r>
    </w:p>
    <w:p w14:paraId="6FFE268D" w14:textId="77777777" w:rsidR="00693983" w:rsidRPr="00BD5440" w:rsidRDefault="00693983" w:rsidP="002C54B4">
      <w:pPr>
        <w:rPr>
          <w:sz w:val="24"/>
          <w:szCs w:val="24"/>
        </w:rPr>
      </w:pPr>
    </w:p>
    <w:p w14:paraId="0419F280" w14:textId="77777777" w:rsidR="00044118" w:rsidRPr="00BD5440" w:rsidRDefault="00044118" w:rsidP="00044118">
      <w:pPr>
        <w:rPr>
          <w:rFonts w:eastAsia="Calibri"/>
          <w:b/>
          <w:sz w:val="24"/>
          <w:szCs w:val="24"/>
        </w:rPr>
      </w:pPr>
      <w:r w:rsidRPr="00BD5440">
        <w:rPr>
          <w:rFonts w:eastAsia="Calibri"/>
          <w:b/>
          <w:sz w:val="24"/>
          <w:szCs w:val="24"/>
        </w:rPr>
        <w:t>Resourcing</w:t>
      </w:r>
    </w:p>
    <w:p w14:paraId="7278D4F7" w14:textId="77777777" w:rsidR="0073199D" w:rsidRPr="00BD5440" w:rsidRDefault="0073199D" w:rsidP="00044118">
      <w:pPr>
        <w:rPr>
          <w:rFonts w:eastAsia="Calibri"/>
          <w:b/>
          <w:sz w:val="24"/>
          <w:szCs w:val="24"/>
        </w:rPr>
      </w:pPr>
    </w:p>
    <w:p w14:paraId="208EF7FA" w14:textId="77777777" w:rsidR="00324C20" w:rsidRPr="00D7280F" w:rsidRDefault="00EE36F0" w:rsidP="00B44354">
      <w:pPr>
        <w:pStyle w:val="Default"/>
        <w:rPr>
          <w:rFonts w:eastAsia="Calibri"/>
        </w:rPr>
      </w:pPr>
      <w:r w:rsidRPr="00BD5440">
        <w:rPr>
          <w:color w:val="auto"/>
        </w:rPr>
        <w:t xml:space="preserve">Further to advertising a secondment opportunity, a crew manager was temporarily </w:t>
      </w:r>
      <w:r w:rsidR="005A56DC" w:rsidRPr="00BD5440">
        <w:rPr>
          <w:color w:val="auto"/>
        </w:rPr>
        <w:t xml:space="preserve">deployed to </w:t>
      </w:r>
      <w:r w:rsidR="0073199D" w:rsidRPr="00BD5440">
        <w:rPr>
          <w:color w:val="auto"/>
        </w:rPr>
        <w:t xml:space="preserve">the Organisational Development and Inclusion (ODI) team to help manage the positive action process. </w:t>
      </w:r>
      <w:r w:rsidR="00CE0D6F" w:rsidRPr="00D7280F">
        <w:rPr>
          <w:rFonts w:eastAsia="Calibri"/>
          <w:color w:val="auto"/>
        </w:rPr>
        <w:t>The Service’s positive action activity was designed around the stages of recruitment</w:t>
      </w:r>
      <w:r w:rsidR="005A56DC" w:rsidRPr="00D7280F">
        <w:rPr>
          <w:rFonts w:eastAsia="Calibri"/>
          <w:color w:val="auto"/>
        </w:rPr>
        <w:t xml:space="preserve">.  </w:t>
      </w:r>
    </w:p>
    <w:p w14:paraId="27CBE932" w14:textId="77777777" w:rsidR="00324C20" w:rsidRPr="00D7280F" w:rsidRDefault="00324C20" w:rsidP="005A56DC">
      <w:pPr>
        <w:rPr>
          <w:rFonts w:eastAsia="Calibri"/>
          <w:sz w:val="24"/>
          <w:szCs w:val="24"/>
        </w:rPr>
      </w:pPr>
    </w:p>
    <w:p w14:paraId="54BDDF8E" w14:textId="77777777" w:rsidR="00324C20" w:rsidRPr="00D7280F" w:rsidRDefault="00324C20" w:rsidP="005A56DC">
      <w:pPr>
        <w:rPr>
          <w:rFonts w:eastAsia="Calibri"/>
          <w:b/>
          <w:sz w:val="24"/>
          <w:szCs w:val="24"/>
        </w:rPr>
      </w:pPr>
      <w:r w:rsidRPr="00D7280F">
        <w:rPr>
          <w:rFonts w:eastAsia="Calibri"/>
          <w:b/>
          <w:sz w:val="24"/>
          <w:szCs w:val="24"/>
        </w:rPr>
        <w:t>Awareness events</w:t>
      </w:r>
    </w:p>
    <w:p w14:paraId="133633DD" w14:textId="77777777" w:rsidR="00324C20" w:rsidRPr="00D7280F" w:rsidRDefault="00324C20" w:rsidP="005A56DC">
      <w:pPr>
        <w:rPr>
          <w:rFonts w:eastAsia="Calibri"/>
          <w:sz w:val="24"/>
          <w:szCs w:val="24"/>
        </w:rPr>
      </w:pPr>
    </w:p>
    <w:p w14:paraId="217060A1" w14:textId="24BD219B" w:rsidR="00CE0D6F" w:rsidRPr="00D7280F" w:rsidRDefault="3BFBFEEF" w:rsidP="005A56DC">
      <w:pPr>
        <w:rPr>
          <w:rFonts w:eastAsia="Calibri"/>
          <w:sz w:val="24"/>
          <w:szCs w:val="24"/>
        </w:rPr>
      </w:pPr>
      <w:r w:rsidRPr="4DCBB081">
        <w:rPr>
          <w:rFonts w:eastAsia="Calibri"/>
          <w:sz w:val="24"/>
          <w:szCs w:val="24"/>
        </w:rPr>
        <w:t>A</w:t>
      </w:r>
      <w:r w:rsidR="6306B42A" w:rsidRPr="4DCBB081">
        <w:rPr>
          <w:rFonts w:eastAsia="Calibri"/>
          <w:sz w:val="24"/>
          <w:szCs w:val="24"/>
        </w:rPr>
        <w:t>wareness</w:t>
      </w:r>
      <w:r w:rsidR="7C5049B5" w:rsidRPr="4DCBB081">
        <w:rPr>
          <w:rFonts w:eastAsia="Calibri"/>
          <w:sz w:val="24"/>
          <w:szCs w:val="24"/>
        </w:rPr>
        <w:t xml:space="preserve"> events</w:t>
      </w:r>
      <w:r w:rsidR="6306B42A" w:rsidRPr="4DCBB081">
        <w:rPr>
          <w:rFonts w:eastAsia="Calibri"/>
          <w:sz w:val="24"/>
          <w:szCs w:val="24"/>
        </w:rPr>
        <w:t xml:space="preserve"> </w:t>
      </w:r>
      <w:r w:rsidRPr="4DCBB081">
        <w:rPr>
          <w:rFonts w:eastAsia="Calibri"/>
          <w:sz w:val="24"/>
          <w:szCs w:val="24"/>
        </w:rPr>
        <w:t xml:space="preserve">were delivered </w:t>
      </w:r>
      <w:r w:rsidR="6306B42A" w:rsidRPr="4DCBB081">
        <w:rPr>
          <w:rFonts w:eastAsia="Calibri"/>
          <w:sz w:val="24"/>
          <w:szCs w:val="24"/>
        </w:rPr>
        <w:t xml:space="preserve">to increase understanding of the role of a firefighter, the job-related test standards and the recruitment process, both providing the opportunity for participants to find out more and to deselect </w:t>
      </w:r>
      <w:r w:rsidR="5E6F3D2C" w:rsidRPr="4DCBB081">
        <w:rPr>
          <w:rFonts w:eastAsia="Calibri"/>
          <w:sz w:val="24"/>
          <w:szCs w:val="24"/>
        </w:rPr>
        <w:t xml:space="preserve">themselves </w:t>
      </w:r>
      <w:r w:rsidR="6306B42A" w:rsidRPr="4DCBB081">
        <w:rPr>
          <w:rFonts w:eastAsia="Calibri"/>
          <w:sz w:val="24"/>
          <w:szCs w:val="24"/>
        </w:rPr>
        <w:t xml:space="preserve">if aspects of the role did not </w:t>
      </w:r>
      <w:proofErr w:type="gramStart"/>
      <w:r w:rsidR="6306B42A" w:rsidRPr="4DCBB081">
        <w:rPr>
          <w:rFonts w:eastAsia="Calibri"/>
          <w:sz w:val="24"/>
          <w:szCs w:val="24"/>
        </w:rPr>
        <w:t>suit</w:t>
      </w:r>
      <w:proofErr w:type="gramEnd"/>
    </w:p>
    <w:p w14:paraId="6F37D4EE" w14:textId="77777777" w:rsidR="00CE0D6F" w:rsidRPr="00D7280F" w:rsidRDefault="00CE0D6F" w:rsidP="00CE0D6F">
      <w:pPr>
        <w:pStyle w:val="Default"/>
        <w:rPr>
          <w:rFonts w:eastAsia="Calibri"/>
          <w:color w:val="auto"/>
        </w:rPr>
      </w:pPr>
    </w:p>
    <w:p w14:paraId="4BF0A380" w14:textId="77777777" w:rsidR="0073199D" w:rsidRPr="00D7280F" w:rsidRDefault="0073199D" w:rsidP="00CE0D6F">
      <w:pPr>
        <w:pStyle w:val="Default"/>
        <w:rPr>
          <w:color w:val="auto"/>
        </w:rPr>
      </w:pPr>
      <w:r w:rsidRPr="00D7280F">
        <w:rPr>
          <w:color w:val="auto"/>
        </w:rPr>
        <w:t xml:space="preserve">A large proportion of the positive action activities were open to all but targeted to improve the diversity of attendees. Based upon feedback from previous recruitment campaigns, which highlighted the stages at which different groups of applicants were least successful, </w:t>
      </w:r>
      <w:r w:rsidR="00324C20" w:rsidRPr="00D7280F">
        <w:rPr>
          <w:color w:val="auto"/>
        </w:rPr>
        <w:t>activities</w:t>
      </w:r>
      <w:r w:rsidRPr="00D7280F">
        <w:rPr>
          <w:color w:val="auto"/>
        </w:rPr>
        <w:t xml:space="preserve"> took place </w:t>
      </w:r>
      <w:r w:rsidR="00324C20" w:rsidRPr="00D7280F">
        <w:rPr>
          <w:color w:val="auto"/>
        </w:rPr>
        <w:t xml:space="preserve">prior </w:t>
      </w:r>
      <w:r w:rsidRPr="00D7280F">
        <w:rPr>
          <w:color w:val="auto"/>
        </w:rPr>
        <w:t>to the recruitment process</w:t>
      </w:r>
      <w:r w:rsidR="00324C20" w:rsidRPr="00D7280F">
        <w:rPr>
          <w:color w:val="auto"/>
        </w:rPr>
        <w:t xml:space="preserve">: These </w:t>
      </w:r>
      <w:r w:rsidRPr="00D7280F">
        <w:rPr>
          <w:color w:val="auto"/>
        </w:rPr>
        <w:t xml:space="preserve">included - </w:t>
      </w:r>
    </w:p>
    <w:p w14:paraId="69BD34D9" w14:textId="77777777" w:rsidR="0073199D" w:rsidRPr="00D7280F" w:rsidRDefault="0073199D" w:rsidP="0073199D">
      <w:pPr>
        <w:pStyle w:val="Default"/>
        <w:rPr>
          <w:color w:val="auto"/>
        </w:rPr>
      </w:pPr>
    </w:p>
    <w:p w14:paraId="1AA15063" w14:textId="77777777" w:rsidR="0073199D" w:rsidRPr="00D7280F" w:rsidRDefault="0073199D" w:rsidP="004916C2">
      <w:pPr>
        <w:pStyle w:val="Default"/>
        <w:numPr>
          <w:ilvl w:val="0"/>
          <w:numId w:val="24"/>
        </w:numPr>
        <w:rPr>
          <w:color w:val="auto"/>
        </w:rPr>
      </w:pPr>
      <w:r w:rsidRPr="00D7280F">
        <w:rPr>
          <w:color w:val="auto"/>
        </w:rPr>
        <w:t>Zoom webinars (x 8 sessions approximately 170 people attended</w:t>
      </w:r>
      <w:proofErr w:type="gramStart"/>
      <w:r w:rsidRPr="00D7280F">
        <w:rPr>
          <w:color w:val="auto"/>
        </w:rPr>
        <w:t>);</w:t>
      </w:r>
      <w:proofErr w:type="gramEnd"/>
      <w:r w:rsidRPr="00D7280F">
        <w:rPr>
          <w:color w:val="auto"/>
        </w:rPr>
        <w:t xml:space="preserve"> </w:t>
      </w:r>
    </w:p>
    <w:p w14:paraId="39959A7E" w14:textId="77777777" w:rsidR="0073199D" w:rsidRPr="00D7280F" w:rsidRDefault="0073199D" w:rsidP="00A37A7F">
      <w:pPr>
        <w:pStyle w:val="Default"/>
        <w:numPr>
          <w:ilvl w:val="1"/>
          <w:numId w:val="24"/>
        </w:numPr>
        <w:spacing w:after="33"/>
        <w:rPr>
          <w:color w:val="auto"/>
        </w:rPr>
      </w:pPr>
      <w:r w:rsidRPr="00D7280F">
        <w:rPr>
          <w:color w:val="auto"/>
        </w:rPr>
        <w:t xml:space="preserve">Familiarisation with the role </w:t>
      </w:r>
    </w:p>
    <w:p w14:paraId="3B5493EA" w14:textId="77777777" w:rsidR="0073199D" w:rsidRPr="00D7280F" w:rsidRDefault="0073199D" w:rsidP="00A37A7F">
      <w:pPr>
        <w:pStyle w:val="Default"/>
        <w:numPr>
          <w:ilvl w:val="1"/>
          <w:numId w:val="24"/>
        </w:numPr>
        <w:spacing w:after="33"/>
        <w:rPr>
          <w:color w:val="auto"/>
        </w:rPr>
      </w:pPr>
      <w:r w:rsidRPr="00D7280F">
        <w:rPr>
          <w:color w:val="auto"/>
        </w:rPr>
        <w:t xml:space="preserve">Overview of the process </w:t>
      </w:r>
    </w:p>
    <w:p w14:paraId="36BB3E11" w14:textId="71838FEE" w:rsidR="0073199D" w:rsidRPr="00D7280F" w:rsidRDefault="00A37A7F" w:rsidP="00A37A7F">
      <w:pPr>
        <w:pStyle w:val="Default"/>
        <w:numPr>
          <w:ilvl w:val="1"/>
          <w:numId w:val="24"/>
        </w:numPr>
        <w:rPr>
          <w:color w:val="auto"/>
        </w:rPr>
      </w:pPr>
      <w:r>
        <w:rPr>
          <w:color w:val="auto"/>
        </w:rPr>
        <w:t>F</w:t>
      </w:r>
      <w:r w:rsidR="0073199D" w:rsidRPr="00D7280F">
        <w:rPr>
          <w:color w:val="auto"/>
        </w:rPr>
        <w:t xml:space="preserve">itness and strength education </w:t>
      </w:r>
    </w:p>
    <w:p w14:paraId="4848E5A5" w14:textId="77777777" w:rsidR="0073199D" w:rsidRPr="00D7280F" w:rsidRDefault="0073199D" w:rsidP="004916C2">
      <w:pPr>
        <w:pStyle w:val="Default"/>
        <w:numPr>
          <w:ilvl w:val="0"/>
          <w:numId w:val="24"/>
        </w:numPr>
        <w:rPr>
          <w:color w:val="auto"/>
        </w:rPr>
      </w:pPr>
      <w:r w:rsidRPr="00D7280F">
        <w:rPr>
          <w:color w:val="auto"/>
        </w:rPr>
        <w:t>Interview mentoring sessions (x 3 sessions app</w:t>
      </w:r>
      <w:r w:rsidR="00145E02" w:rsidRPr="00D7280F">
        <w:rPr>
          <w:color w:val="auto"/>
        </w:rPr>
        <w:t>roximately 120 people attended)</w:t>
      </w:r>
      <w:r w:rsidRPr="00D7280F">
        <w:rPr>
          <w:color w:val="auto"/>
        </w:rPr>
        <w:t xml:space="preserve"> </w:t>
      </w:r>
    </w:p>
    <w:p w14:paraId="2F9ED21E" w14:textId="77777777" w:rsidR="0073199D" w:rsidRPr="00D7280F" w:rsidRDefault="0073199D" w:rsidP="004916C2">
      <w:pPr>
        <w:pStyle w:val="Default"/>
        <w:numPr>
          <w:ilvl w:val="0"/>
          <w:numId w:val="24"/>
        </w:numPr>
        <w:rPr>
          <w:color w:val="auto"/>
        </w:rPr>
      </w:pPr>
      <w:r w:rsidRPr="00D7280F">
        <w:rPr>
          <w:color w:val="auto"/>
        </w:rPr>
        <w:t>Literacy/numeracy practice sessions x 6 sessions (BAME candidates only</w:t>
      </w:r>
      <w:proofErr w:type="gramStart"/>
      <w:r w:rsidRPr="00D7280F">
        <w:rPr>
          <w:color w:val="auto"/>
        </w:rPr>
        <w:t>);</w:t>
      </w:r>
      <w:proofErr w:type="gramEnd"/>
      <w:r w:rsidRPr="00D7280F">
        <w:rPr>
          <w:color w:val="auto"/>
        </w:rPr>
        <w:t xml:space="preserve"> </w:t>
      </w:r>
    </w:p>
    <w:p w14:paraId="7AEFA74E" w14:textId="77777777" w:rsidR="0073199D" w:rsidRPr="00D7280F" w:rsidRDefault="005B4780" w:rsidP="00842868">
      <w:pPr>
        <w:pStyle w:val="Default"/>
        <w:numPr>
          <w:ilvl w:val="0"/>
          <w:numId w:val="24"/>
        </w:numPr>
        <w:rPr>
          <w:color w:val="auto"/>
        </w:rPr>
      </w:pPr>
      <w:r w:rsidRPr="00D7280F">
        <w:rPr>
          <w:color w:val="auto"/>
        </w:rPr>
        <w:t>Face-</w:t>
      </w:r>
      <w:r w:rsidR="0073199D" w:rsidRPr="00D7280F">
        <w:rPr>
          <w:color w:val="auto"/>
        </w:rPr>
        <w:t>to</w:t>
      </w:r>
      <w:r w:rsidRPr="00D7280F">
        <w:rPr>
          <w:color w:val="auto"/>
        </w:rPr>
        <w:t>-</w:t>
      </w:r>
      <w:r w:rsidR="0073199D" w:rsidRPr="00D7280F">
        <w:rPr>
          <w:color w:val="auto"/>
        </w:rPr>
        <w:t>face fitness sessions (x 10)</w:t>
      </w:r>
      <w:r w:rsidR="00842868" w:rsidRPr="00D7280F">
        <w:rPr>
          <w:color w:val="auto"/>
        </w:rPr>
        <w:t xml:space="preserve"> </w:t>
      </w:r>
    </w:p>
    <w:p w14:paraId="56F25671" w14:textId="77777777" w:rsidR="00324C20" w:rsidRPr="00D7280F" w:rsidRDefault="00324C20" w:rsidP="0073199D">
      <w:pPr>
        <w:pStyle w:val="Default"/>
        <w:rPr>
          <w:color w:val="auto"/>
        </w:rPr>
      </w:pPr>
    </w:p>
    <w:p w14:paraId="29EB17AD" w14:textId="77777777" w:rsidR="00905390" w:rsidRPr="00D7280F" w:rsidRDefault="00905390" w:rsidP="0073199D">
      <w:pPr>
        <w:pStyle w:val="Default"/>
        <w:rPr>
          <w:b/>
          <w:color w:val="auto"/>
        </w:rPr>
      </w:pPr>
      <w:r w:rsidRPr="00D7280F">
        <w:rPr>
          <w:b/>
          <w:color w:val="auto"/>
        </w:rPr>
        <w:t>Marketing and communication</w:t>
      </w:r>
    </w:p>
    <w:p w14:paraId="7A91C7D8" w14:textId="023111C7" w:rsidR="00BD5440" w:rsidRDefault="00BD5440" w:rsidP="0073199D">
      <w:pPr>
        <w:pStyle w:val="Default"/>
        <w:rPr>
          <w:b/>
          <w:color w:val="auto"/>
        </w:rPr>
      </w:pPr>
    </w:p>
    <w:p w14:paraId="6B222099" w14:textId="3FE2BDA8" w:rsidR="001F39AB" w:rsidRDefault="3E447B4F" w:rsidP="0073199D">
      <w:pPr>
        <w:pStyle w:val="Default"/>
        <w:rPr>
          <w:color w:val="auto"/>
        </w:rPr>
      </w:pPr>
      <w:r w:rsidRPr="4DCBB081">
        <w:rPr>
          <w:color w:val="auto"/>
        </w:rPr>
        <w:t xml:space="preserve">The Service used a range of </w:t>
      </w:r>
      <w:r w:rsidR="33C098A0" w:rsidRPr="4DCBB081">
        <w:rPr>
          <w:color w:val="auto"/>
        </w:rPr>
        <w:t xml:space="preserve">methods to attract interest in its positive action activity, including </w:t>
      </w:r>
      <w:proofErr w:type="spellStart"/>
      <w:r w:rsidR="33C098A0" w:rsidRPr="4DCBB081">
        <w:rPr>
          <w:color w:val="auto"/>
        </w:rPr>
        <w:t>facebook</w:t>
      </w:r>
      <w:proofErr w:type="spellEnd"/>
      <w:r w:rsidR="33C098A0" w:rsidRPr="4DCBB081">
        <w:rPr>
          <w:color w:val="auto"/>
        </w:rPr>
        <w:t xml:space="preserve"> live interviews, radio interviews/advertising, social media advertising</w:t>
      </w:r>
      <w:r w:rsidR="1137CBAA" w:rsidRPr="4DCBB081">
        <w:rPr>
          <w:color w:val="auto"/>
        </w:rPr>
        <w:t xml:space="preserve"> (</w:t>
      </w:r>
      <w:r w:rsidR="64FF461F" w:rsidRPr="4DCBB081">
        <w:rPr>
          <w:color w:val="auto"/>
        </w:rPr>
        <w:t xml:space="preserve">messages created to reach target groups </w:t>
      </w:r>
      <w:r w:rsidR="1137CBAA" w:rsidRPr="4DCBB081">
        <w:rPr>
          <w:color w:val="auto"/>
        </w:rPr>
        <w:t xml:space="preserve">based on the demographics selected), </w:t>
      </w:r>
      <w:r w:rsidR="33C098A0" w:rsidRPr="4DCBB081">
        <w:rPr>
          <w:color w:val="auto"/>
        </w:rPr>
        <w:t>mail shots, posters placed in targeted locations and YouTube films.</w:t>
      </w:r>
      <w:r w:rsidR="1137CBAA" w:rsidRPr="4DCBB081">
        <w:rPr>
          <w:color w:val="auto"/>
        </w:rPr>
        <w:t xml:space="preserve"> The Service also used its community contacts to share and promote its careers advertising through their social media channels</w:t>
      </w:r>
      <w:r w:rsidR="64FF461F" w:rsidRPr="4DCBB081">
        <w:rPr>
          <w:color w:val="auto"/>
        </w:rPr>
        <w:t xml:space="preserve">.  It should be noted both the </w:t>
      </w:r>
      <w:r w:rsidR="50A7B0A3" w:rsidRPr="4DCBB081">
        <w:rPr>
          <w:color w:val="auto"/>
        </w:rPr>
        <w:t>social</w:t>
      </w:r>
      <w:r w:rsidR="64FF461F" w:rsidRPr="4DCBB081">
        <w:rPr>
          <w:color w:val="auto"/>
        </w:rPr>
        <w:t xml:space="preserve"> media posts and the use of community contacts and groups were powerful means of attracting the </w:t>
      </w:r>
      <w:r w:rsidR="6E51C889" w:rsidRPr="4DCBB081">
        <w:rPr>
          <w:color w:val="auto"/>
        </w:rPr>
        <w:t>S</w:t>
      </w:r>
      <w:r w:rsidR="64FF461F" w:rsidRPr="4DCBB081">
        <w:rPr>
          <w:color w:val="auto"/>
        </w:rPr>
        <w:t>ervice</w:t>
      </w:r>
      <w:r w:rsidR="47A1532B" w:rsidRPr="4DCBB081">
        <w:rPr>
          <w:color w:val="auto"/>
        </w:rPr>
        <w:t>’</w:t>
      </w:r>
      <w:r w:rsidR="64FF461F" w:rsidRPr="4DCBB081">
        <w:rPr>
          <w:color w:val="auto"/>
        </w:rPr>
        <w:t>s target groups to its positive action activit</w:t>
      </w:r>
      <w:r w:rsidR="587908C8" w:rsidRPr="4DCBB081">
        <w:rPr>
          <w:color w:val="auto"/>
        </w:rPr>
        <w:t xml:space="preserve">ies. </w:t>
      </w:r>
      <w:r w:rsidR="33C098A0" w:rsidRPr="4DCBB081">
        <w:rPr>
          <w:color w:val="auto"/>
        </w:rPr>
        <w:t xml:space="preserve"> </w:t>
      </w:r>
    </w:p>
    <w:p w14:paraId="76C683E8" w14:textId="77777777" w:rsidR="001F39AB" w:rsidRDefault="001F39AB" w:rsidP="0073199D">
      <w:pPr>
        <w:pStyle w:val="Default"/>
        <w:rPr>
          <w:color w:val="auto"/>
        </w:rPr>
      </w:pPr>
    </w:p>
    <w:p w14:paraId="592BF166" w14:textId="17496C25" w:rsidR="0073199D" w:rsidRPr="00D7280F" w:rsidRDefault="00324C20" w:rsidP="0073199D">
      <w:pPr>
        <w:pStyle w:val="Default"/>
        <w:rPr>
          <w:color w:val="auto"/>
        </w:rPr>
      </w:pPr>
      <w:r w:rsidRPr="00D7280F">
        <w:rPr>
          <w:color w:val="auto"/>
        </w:rPr>
        <w:t>T</w:t>
      </w:r>
      <w:r w:rsidR="0073199D" w:rsidRPr="00D7280F">
        <w:rPr>
          <w:color w:val="auto"/>
        </w:rPr>
        <w:t>he festivals</w:t>
      </w:r>
      <w:r w:rsidR="000E6382" w:rsidRPr="00D7280F">
        <w:rPr>
          <w:color w:val="auto"/>
        </w:rPr>
        <w:t xml:space="preserve"> the Service would usually attend including local Pride events and Carnivals were cancelled due to </w:t>
      </w:r>
      <w:r w:rsidR="00C61A0F" w:rsidRPr="00D7280F">
        <w:rPr>
          <w:color w:val="auto"/>
        </w:rPr>
        <w:t>Covid</w:t>
      </w:r>
      <w:r w:rsidR="00842868" w:rsidRPr="00D7280F">
        <w:rPr>
          <w:color w:val="auto"/>
        </w:rPr>
        <w:t>-19</w:t>
      </w:r>
      <w:r w:rsidR="00C61A0F" w:rsidRPr="00D7280F">
        <w:rPr>
          <w:color w:val="auto"/>
        </w:rPr>
        <w:t xml:space="preserve"> restrictions </w:t>
      </w:r>
      <w:r w:rsidR="00905390" w:rsidRPr="00D7280F">
        <w:rPr>
          <w:color w:val="auto"/>
        </w:rPr>
        <w:t xml:space="preserve">thus </w:t>
      </w:r>
      <w:r w:rsidR="0073199D" w:rsidRPr="00D7280F">
        <w:rPr>
          <w:color w:val="auto"/>
        </w:rPr>
        <w:t xml:space="preserve">it was necessary to use more direct marketing strategies. </w:t>
      </w:r>
    </w:p>
    <w:p w14:paraId="05D8AB7A" w14:textId="77777777" w:rsidR="0073199D" w:rsidRPr="00D7280F" w:rsidRDefault="0073199D" w:rsidP="0073199D">
      <w:pPr>
        <w:pStyle w:val="Default"/>
        <w:rPr>
          <w:color w:val="auto"/>
        </w:rPr>
      </w:pPr>
    </w:p>
    <w:p w14:paraId="64371D7E" w14:textId="7169D459" w:rsidR="006F4CF0" w:rsidRPr="00B44354" w:rsidRDefault="00D7280F" w:rsidP="006F4CF0">
      <w:pPr>
        <w:rPr>
          <w:rFonts w:eastAsia="Calibri"/>
          <w:sz w:val="24"/>
          <w:szCs w:val="24"/>
        </w:rPr>
      </w:pPr>
      <w:r>
        <w:rPr>
          <w:rFonts w:eastAsia="Calibri"/>
          <w:sz w:val="24"/>
          <w:szCs w:val="24"/>
        </w:rPr>
        <w:t xml:space="preserve">Advertising took place with </w:t>
      </w:r>
      <w:r w:rsidR="006F4CF0" w:rsidRPr="00D7280F">
        <w:rPr>
          <w:rFonts w:eastAsia="Calibri"/>
          <w:sz w:val="24"/>
          <w:szCs w:val="24"/>
        </w:rPr>
        <w:t>Radio Kemet</w:t>
      </w:r>
      <w:r>
        <w:rPr>
          <w:rFonts w:eastAsia="Calibri"/>
          <w:sz w:val="24"/>
          <w:szCs w:val="24"/>
        </w:rPr>
        <w:t>,</w:t>
      </w:r>
      <w:r w:rsidR="006F4CF0" w:rsidRPr="00D7280F">
        <w:rPr>
          <w:rFonts w:eastAsia="Calibri"/>
          <w:sz w:val="24"/>
          <w:szCs w:val="24"/>
        </w:rPr>
        <w:t xml:space="preserve"> Radio Dawn and Radio </w:t>
      </w:r>
      <w:proofErr w:type="spellStart"/>
      <w:r w:rsidR="006F4CF0" w:rsidRPr="00D7280F">
        <w:rPr>
          <w:rFonts w:eastAsia="Calibri"/>
          <w:sz w:val="24"/>
          <w:szCs w:val="24"/>
        </w:rPr>
        <w:t>Faza</w:t>
      </w:r>
      <w:proofErr w:type="spellEnd"/>
      <w:r w:rsidR="006F4CF0" w:rsidRPr="00D7280F">
        <w:rPr>
          <w:rFonts w:eastAsia="Calibri"/>
          <w:sz w:val="24"/>
          <w:szCs w:val="24"/>
        </w:rPr>
        <w:t xml:space="preserve"> (all aimed at ethnic minority audiences). </w:t>
      </w:r>
      <w:r w:rsidR="006F4CF0" w:rsidRPr="00B44354">
        <w:rPr>
          <w:rFonts w:eastAsia="Calibri"/>
          <w:sz w:val="24"/>
          <w:szCs w:val="24"/>
        </w:rPr>
        <w:t xml:space="preserve">Personal messages from firefighters about their experiences were used as part of the adverts. </w:t>
      </w:r>
      <w:r>
        <w:rPr>
          <w:rFonts w:eastAsia="Calibri"/>
          <w:sz w:val="24"/>
          <w:szCs w:val="24"/>
        </w:rPr>
        <w:t xml:space="preserve"> Interviews also took place on these radio stations about the reasons for undertaking positive action, dispelling </w:t>
      </w:r>
      <w:proofErr w:type="gramStart"/>
      <w:r>
        <w:rPr>
          <w:rFonts w:eastAsia="Calibri"/>
          <w:sz w:val="24"/>
          <w:szCs w:val="24"/>
        </w:rPr>
        <w:t>myths</w:t>
      </w:r>
      <w:proofErr w:type="gramEnd"/>
      <w:r>
        <w:rPr>
          <w:rFonts w:eastAsia="Calibri"/>
          <w:sz w:val="24"/>
          <w:szCs w:val="24"/>
        </w:rPr>
        <w:t xml:space="preserve"> and promoting the Service’s careers.  </w:t>
      </w:r>
    </w:p>
    <w:p w14:paraId="31735120" w14:textId="77777777" w:rsidR="006F4CF0" w:rsidRPr="00B44354" w:rsidRDefault="006F4CF0" w:rsidP="006F4CF0">
      <w:pPr>
        <w:rPr>
          <w:rFonts w:eastAsia="Calibri"/>
          <w:sz w:val="24"/>
          <w:szCs w:val="24"/>
        </w:rPr>
      </w:pPr>
    </w:p>
    <w:p w14:paraId="2FFC171C" w14:textId="51FCAE27" w:rsidR="00905390" w:rsidRPr="00B44354" w:rsidRDefault="002E0EA4" w:rsidP="006F4CF0">
      <w:pPr>
        <w:rPr>
          <w:rFonts w:eastAsia="Calibri"/>
          <w:sz w:val="24"/>
          <w:szCs w:val="24"/>
        </w:rPr>
      </w:pPr>
      <w:r w:rsidRPr="00B44354">
        <w:rPr>
          <w:rFonts w:eastAsia="Calibri"/>
          <w:sz w:val="24"/>
          <w:szCs w:val="24"/>
        </w:rPr>
        <w:t>Short films were also</w:t>
      </w:r>
      <w:r w:rsidR="00905390" w:rsidRPr="00B44354">
        <w:rPr>
          <w:rFonts w:eastAsia="Calibri"/>
          <w:sz w:val="24"/>
          <w:szCs w:val="24"/>
        </w:rPr>
        <w:t xml:space="preserve"> produced of a diverse range of internal </w:t>
      </w:r>
      <w:r w:rsidRPr="00B44354">
        <w:rPr>
          <w:rFonts w:eastAsia="Calibri"/>
          <w:sz w:val="24"/>
          <w:szCs w:val="24"/>
        </w:rPr>
        <w:t xml:space="preserve">role models discussing their careers, </w:t>
      </w:r>
      <w:proofErr w:type="gramStart"/>
      <w:r w:rsidRPr="00B44354">
        <w:rPr>
          <w:rFonts w:eastAsia="Calibri"/>
          <w:sz w:val="24"/>
          <w:szCs w:val="24"/>
        </w:rPr>
        <w:t>advice</w:t>
      </w:r>
      <w:proofErr w:type="gramEnd"/>
      <w:r w:rsidRPr="00B44354">
        <w:rPr>
          <w:rFonts w:eastAsia="Calibri"/>
          <w:sz w:val="24"/>
          <w:szCs w:val="24"/>
        </w:rPr>
        <w:t xml:space="preserve"> and experiences, these were uploaded to YouTube and shared through the Service’s social media channels.</w:t>
      </w:r>
    </w:p>
    <w:p w14:paraId="750F68E2" w14:textId="77777777" w:rsidR="00905390" w:rsidRPr="00B44354" w:rsidRDefault="00905390" w:rsidP="00905390">
      <w:pPr>
        <w:pStyle w:val="Default"/>
        <w:rPr>
          <w:rFonts w:eastAsia="Calibri"/>
          <w:color w:val="auto"/>
        </w:rPr>
      </w:pPr>
    </w:p>
    <w:p w14:paraId="6B378C87" w14:textId="77777777" w:rsidR="006F4CF0" w:rsidRPr="00B44354" w:rsidRDefault="00905390" w:rsidP="00905390">
      <w:pPr>
        <w:pStyle w:val="Default"/>
        <w:rPr>
          <w:rFonts w:eastAsia="Calibri"/>
          <w:color w:val="auto"/>
        </w:rPr>
      </w:pPr>
      <w:r w:rsidRPr="00B44354">
        <w:rPr>
          <w:color w:val="auto"/>
        </w:rPr>
        <w:t xml:space="preserve">WhatsApp groups were also used during this campaign to assist candidates and provide a platform for answering questions or concerns.  </w:t>
      </w:r>
      <w:r w:rsidRPr="00B44354">
        <w:rPr>
          <w:rFonts w:eastAsia="Calibri"/>
          <w:color w:val="auto"/>
        </w:rPr>
        <w:t xml:space="preserve">Through this group, the candidates had been able to share ideas, motivate one another and answer each other’s questions. </w:t>
      </w:r>
    </w:p>
    <w:p w14:paraId="158972FA" w14:textId="77777777" w:rsidR="00CE5F41" w:rsidRDefault="00CE5F41" w:rsidP="0073199D">
      <w:pPr>
        <w:pStyle w:val="Default"/>
        <w:rPr>
          <w:b/>
          <w:bCs/>
          <w:color w:val="auto"/>
        </w:rPr>
      </w:pPr>
    </w:p>
    <w:p w14:paraId="550C8B01" w14:textId="77777777" w:rsidR="0073199D" w:rsidRPr="00B44354" w:rsidRDefault="0073199D" w:rsidP="0073199D">
      <w:pPr>
        <w:pStyle w:val="Default"/>
        <w:rPr>
          <w:b/>
          <w:bCs/>
          <w:color w:val="auto"/>
        </w:rPr>
      </w:pPr>
      <w:r w:rsidRPr="00B44354">
        <w:rPr>
          <w:b/>
          <w:bCs/>
          <w:color w:val="auto"/>
        </w:rPr>
        <w:t xml:space="preserve">RECRUITMENT PROCESS </w:t>
      </w:r>
    </w:p>
    <w:p w14:paraId="5D3D8951" w14:textId="77777777" w:rsidR="004916C2" w:rsidRPr="00B44354" w:rsidRDefault="004916C2" w:rsidP="0073199D">
      <w:pPr>
        <w:pStyle w:val="Default"/>
        <w:rPr>
          <w:color w:val="auto"/>
        </w:rPr>
      </w:pPr>
    </w:p>
    <w:p w14:paraId="1CC9CE1B" w14:textId="77777777" w:rsidR="002C54B4" w:rsidRPr="00B44354" w:rsidRDefault="002C54B4" w:rsidP="002C54B4">
      <w:pPr>
        <w:rPr>
          <w:rFonts w:eastAsia="Calibri"/>
          <w:sz w:val="24"/>
          <w:szCs w:val="24"/>
        </w:rPr>
      </w:pPr>
      <w:r w:rsidRPr="00B44354">
        <w:rPr>
          <w:rFonts w:eastAsia="Calibri"/>
          <w:sz w:val="24"/>
          <w:szCs w:val="24"/>
        </w:rPr>
        <w:t>The process took the form of an application form</w:t>
      </w:r>
      <w:r w:rsidR="00CE0D6F" w:rsidRPr="00B44354">
        <w:rPr>
          <w:rFonts w:eastAsia="Calibri"/>
          <w:sz w:val="24"/>
          <w:szCs w:val="24"/>
        </w:rPr>
        <w:t>,</w:t>
      </w:r>
      <w:r w:rsidRPr="00B44354">
        <w:rPr>
          <w:rFonts w:eastAsia="Calibri"/>
          <w:sz w:val="24"/>
          <w:szCs w:val="24"/>
        </w:rPr>
        <w:t xml:space="preserve"> literacy and numeracy tests, job related tests</w:t>
      </w:r>
      <w:r w:rsidR="00324C20" w:rsidRPr="00B44354">
        <w:rPr>
          <w:rFonts w:eastAsia="Calibri"/>
          <w:sz w:val="24"/>
          <w:szCs w:val="24"/>
        </w:rPr>
        <w:t xml:space="preserve"> (JRTs)</w:t>
      </w:r>
      <w:r w:rsidRPr="00B44354">
        <w:rPr>
          <w:rFonts w:eastAsia="Calibri"/>
          <w:sz w:val="24"/>
          <w:szCs w:val="24"/>
        </w:rPr>
        <w:t xml:space="preserve">, assessment centre and references, criminal records checks and a swimming test.  It was decided to test </w:t>
      </w:r>
      <w:proofErr w:type="gramStart"/>
      <w:r w:rsidRPr="00B44354">
        <w:rPr>
          <w:rFonts w:eastAsia="Calibri"/>
          <w:sz w:val="24"/>
          <w:szCs w:val="24"/>
        </w:rPr>
        <w:t>that applicants</w:t>
      </w:r>
      <w:proofErr w:type="gramEnd"/>
      <w:r w:rsidRPr="00B44354">
        <w:rPr>
          <w:rFonts w:eastAsia="Calibri"/>
          <w:sz w:val="24"/>
          <w:szCs w:val="24"/>
        </w:rPr>
        <w:t xml:space="preserve"> can swim 25 metres (untimed) to ensure water confidence.  </w:t>
      </w:r>
    </w:p>
    <w:p w14:paraId="04F4A7F2" w14:textId="77777777" w:rsidR="002C54B4" w:rsidRPr="00B44354" w:rsidRDefault="002C54B4" w:rsidP="0073199D">
      <w:pPr>
        <w:pStyle w:val="Default"/>
        <w:rPr>
          <w:color w:val="auto"/>
        </w:rPr>
      </w:pPr>
    </w:p>
    <w:p w14:paraId="38DBA2FD" w14:textId="77777777" w:rsidR="0073199D" w:rsidRPr="00B44354" w:rsidRDefault="0073199D" w:rsidP="0073199D">
      <w:pPr>
        <w:pStyle w:val="Default"/>
        <w:rPr>
          <w:color w:val="auto"/>
        </w:rPr>
      </w:pPr>
      <w:r w:rsidRPr="00B44354">
        <w:rPr>
          <w:color w:val="auto"/>
        </w:rPr>
        <w:t>The recruitment process itself opened on 24 August 2020. Within less than a week, over 600 applications were received</w:t>
      </w:r>
      <w:r w:rsidR="00905390" w:rsidRPr="00B44354">
        <w:rPr>
          <w:color w:val="auto"/>
        </w:rPr>
        <w:t xml:space="preserve"> at which point the application process was closed. </w:t>
      </w:r>
      <w:r w:rsidRPr="00B44354">
        <w:rPr>
          <w:color w:val="auto"/>
        </w:rPr>
        <w:t xml:space="preserve"> Candidates were directed to complete the online tests. The next stage included the </w:t>
      </w:r>
      <w:r w:rsidR="00145E02" w:rsidRPr="00B44354">
        <w:rPr>
          <w:color w:val="auto"/>
        </w:rPr>
        <w:t xml:space="preserve">JRTs </w:t>
      </w:r>
      <w:r w:rsidRPr="00B44354">
        <w:rPr>
          <w:color w:val="auto"/>
        </w:rPr>
        <w:t xml:space="preserve">which took place </w:t>
      </w:r>
      <w:r w:rsidR="00905390" w:rsidRPr="00B44354">
        <w:rPr>
          <w:color w:val="auto"/>
        </w:rPr>
        <w:t xml:space="preserve">internally </w:t>
      </w:r>
      <w:r w:rsidRPr="00B44354">
        <w:rPr>
          <w:color w:val="auto"/>
        </w:rPr>
        <w:t xml:space="preserve">over three weeks. </w:t>
      </w:r>
    </w:p>
    <w:p w14:paraId="5D08A6F7" w14:textId="77777777" w:rsidR="0073199D" w:rsidRPr="00B44354" w:rsidRDefault="0073199D" w:rsidP="0073199D">
      <w:pPr>
        <w:pStyle w:val="Default"/>
        <w:rPr>
          <w:color w:val="auto"/>
        </w:rPr>
      </w:pPr>
    </w:p>
    <w:p w14:paraId="2FFA3084" w14:textId="77777777" w:rsidR="0073199D" w:rsidRPr="00B44354" w:rsidRDefault="0073199D" w:rsidP="0073199D">
      <w:pPr>
        <w:pStyle w:val="Default"/>
        <w:rPr>
          <w:color w:val="auto"/>
        </w:rPr>
      </w:pPr>
      <w:r w:rsidRPr="00B44354">
        <w:rPr>
          <w:color w:val="auto"/>
        </w:rPr>
        <w:t>An assessment centre was originally planned to be face-to-face, but this was changed to a Zoom presentation and interview due to limitations resulting from COVID-19. Over 120 interviews took place</w:t>
      </w:r>
      <w:r w:rsidR="00C61A0F" w:rsidRPr="00B44354">
        <w:rPr>
          <w:color w:val="auto"/>
        </w:rPr>
        <w:t>.</w:t>
      </w:r>
      <w:r w:rsidRPr="00B44354">
        <w:rPr>
          <w:color w:val="auto"/>
        </w:rPr>
        <w:t xml:space="preserve"> 95% of the interviews were balanced in terms of gender and 30% were represented by BAME panel members.</w:t>
      </w:r>
      <w:r w:rsidR="00842868" w:rsidRPr="00B44354">
        <w:rPr>
          <w:color w:val="auto"/>
        </w:rPr>
        <w:t xml:space="preserve"> </w:t>
      </w:r>
      <w:r w:rsidRPr="00B44354">
        <w:rPr>
          <w:color w:val="auto"/>
        </w:rPr>
        <w:t xml:space="preserve"> </w:t>
      </w:r>
      <w:r w:rsidR="00842868" w:rsidRPr="00B44354">
        <w:rPr>
          <w:color w:val="auto"/>
        </w:rPr>
        <w:t>T</w:t>
      </w:r>
      <w:r w:rsidRPr="00B44354">
        <w:rPr>
          <w:color w:val="auto"/>
        </w:rPr>
        <w:t>he latter number</w:t>
      </w:r>
      <w:r w:rsidR="00842868" w:rsidRPr="00B44354">
        <w:rPr>
          <w:color w:val="auto"/>
        </w:rPr>
        <w:t xml:space="preserve"> was not as high as the service would like and</w:t>
      </w:r>
      <w:r w:rsidRPr="00B44354">
        <w:rPr>
          <w:color w:val="auto"/>
        </w:rPr>
        <w:t xml:space="preserve"> is</w:t>
      </w:r>
      <w:r w:rsidR="00842868" w:rsidRPr="00B44354">
        <w:rPr>
          <w:color w:val="auto"/>
        </w:rPr>
        <w:t xml:space="preserve"> an area the </w:t>
      </w:r>
      <w:r w:rsidRPr="00B44354">
        <w:rPr>
          <w:color w:val="auto"/>
        </w:rPr>
        <w:t xml:space="preserve">organisation will seek to improve for </w:t>
      </w:r>
      <w:r w:rsidR="00842868" w:rsidRPr="00B44354">
        <w:rPr>
          <w:color w:val="auto"/>
        </w:rPr>
        <w:t xml:space="preserve">future </w:t>
      </w:r>
      <w:r w:rsidRPr="00B44354">
        <w:rPr>
          <w:color w:val="auto"/>
        </w:rPr>
        <w:t xml:space="preserve">interview panels. </w:t>
      </w:r>
    </w:p>
    <w:p w14:paraId="2C24092D" w14:textId="77777777" w:rsidR="002C54B4" w:rsidRPr="00B44354" w:rsidRDefault="002C54B4" w:rsidP="002C54B4">
      <w:pPr>
        <w:rPr>
          <w:rFonts w:eastAsia="Calibri"/>
          <w:sz w:val="24"/>
          <w:szCs w:val="24"/>
        </w:rPr>
      </w:pPr>
    </w:p>
    <w:p w14:paraId="7D80D949" w14:textId="77777777" w:rsidR="0073199D" w:rsidRPr="00B44354" w:rsidRDefault="0073199D" w:rsidP="0073199D">
      <w:pPr>
        <w:pStyle w:val="Default"/>
        <w:rPr>
          <w:color w:val="auto"/>
        </w:rPr>
      </w:pPr>
      <w:r w:rsidRPr="00B44354">
        <w:rPr>
          <w:b/>
          <w:bCs/>
          <w:color w:val="auto"/>
        </w:rPr>
        <w:t xml:space="preserve">RECRUITMENT FIGURES </w:t>
      </w:r>
    </w:p>
    <w:p w14:paraId="531CD2D5" w14:textId="77777777" w:rsidR="006F4CF0" w:rsidRPr="00B44354" w:rsidRDefault="006F4CF0" w:rsidP="0073199D">
      <w:pPr>
        <w:pStyle w:val="Default"/>
        <w:rPr>
          <w:color w:val="auto"/>
        </w:rPr>
      </w:pPr>
    </w:p>
    <w:tbl>
      <w:tblPr>
        <w:tblW w:w="92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79"/>
        <w:gridCol w:w="709"/>
        <w:gridCol w:w="980"/>
        <w:gridCol w:w="12"/>
        <w:gridCol w:w="992"/>
        <w:gridCol w:w="19"/>
        <w:gridCol w:w="974"/>
        <w:gridCol w:w="49"/>
        <w:gridCol w:w="1085"/>
        <w:gridCol w:w="992"/>
        <w:gridCol w:w="992"/>
        <w:gridCol w:w="1025"/>
      </w:tblGrid>
      <w:tr w:rsidR="000E6382" w:rsidRPr="00B44354" w14:paraId="073E4ACE" w14:textId="77777777" w:rsidTr="00905390">
        <w:trPr>
          <w:trHeight w:val="388"/>
        </w:trPr>
        <w:tc>
          <w:tcPr>
            <w:tcW w:w="2088" w:type="dxa"/>
            <w:gridSpan w:val="2"/>
          </w:tcPr>
          <w:p w14:paraId="13D12566" w14:textId="77777777" w:rsidR="0073199D" w:rsidRPr="00B44354" w:rsidRDefault="0073199D">
            <w:pPr>
              <w:pStyle w:val="Default"/>
              <w:rPr>
                <w:color w:val="auto"/>
              </w:rPr>
            </w:pPr>
            <w:r w:rsidRPr="00B44354">
              <w:rPr>
                <w:color w:val="auto"/>
              </w:rPr>
              <w:t xml:space="preserve">                All </w:t>
            </w:r>
          </w:p>
        </w:tc>
        <w:tc>
          <w:tcPr>
            <w:tcW w:w="992" w:type="dxa"/>
            <w:gridSpan w:val="2"/>
          </w:tcPr>
          <w:p w14:paraId="599482BC" w14:textId="77777777" w:rsidR="0073199D" w:rsidRPr="00B44354" w:rsidRDefault="0073199D">
            <w:pPr>
              <w:pStyle w:val="Default"/>
              <w:rPr>
                <w:color w:val="auto"/>
              </w:rPr>
            </w:pPr>
            <w:r w:rsidRPr="00B44354">
              <w:rPr>
                <w:color w:val="auto"/>
              </w:rPr>
              <w:t xml:space="preserve">White British </w:t>
            </w:r>
          </w:p>
        </w:tc>
        <w:tc>
          <w:tcPr>
            <w:tcW w:w="992" w:type="dxa"/>
          </w:tcPr>
          <w:p w14:paraId="3168477B" w14:textId="77777777" w:rsidR="0073199D" w:rsidRPr="00B44354" w:rsidRDefault="0073199D">
            <w:pPr>
              <w:pStyle w:val="Default"/>
              <w:rPr>
                <w:color w:val="auto"/>
              </w:rPr>
            </w:pPr>
            <w:r w:rsidRPr="00B44354">
              <w:rPr>
                <w:color w:val="auto"/>
              </w:rPr>
              <w:t xml:space="preserve">BAME </w:t>
            </w:r>
          </w:p>
        </w:tc>
        <w:tc>
          <w:tcPr>
            <w:tcW w:w="993" w:type="dxa"/>
            <w:gridSpan w:val="2"/>
          </w:tcPr>
          <w:p w14:paraId="088B03B7" w14:textId="77777777" w:rsidR="0073199D" w:rsidRPr="00B44354" w:rsidRDefault="0073199D">
            <w:pPr>
              <w:pStyle w:val="Default"/>
              <w:rPr>
                <w:color w:val="auto"/>
              </w:rPr>
            </w:pPr>
            <w:r w:rsidRPr="00B44354">
              <w:rPr>
                <w:color w:val="auto"/>
              </w:rPr>
              <w:t xml:space="preserve">Prefer not to say </w:t>
            </w:r>
          </w:p>
        </w:tc>
        <w:tc>
          <w:tcPr>
            <w:tcW w:w="1134" w:type="dxa"/>
            <w:gridSpan w:val="2"/>
          </w:tcPr>
          <w:p w14:paraId="581A48A3" w14:textId="77777777" w:rsidR="0073199D" w:rsidRPr="00B44354" w:rsidRDefault="0073199D">
            <w:pPr>
              <w:pStyle w:val="Default"/>
              <w:rPr>
                <w:color w:val="auto"/>
              </w:rPr>
            </w:pPr>
            <w:r w:rsidRPr="00B44354">
              <w:rPr>
                <w:color w:val="auto"/>
              </w:rPr>
              <w:t xml:space="preserve">Female </w:t>
            </w:r>
          </w:p>
        </w:tc>
        <w:tc>
          <w:tcPr>
            <w:tcW w:w="992" w:type="dxa"/>
          </w:tcPr>
          <w:p w14:paraId="03618829" w14:textId="77777777" w:rsidR="0073199D" w:rsidRPr="00B44354" w:rsidRDefault="0073199D">
            <w:pPr>
              <w:pStyle w:val="Default"/>
              <w:rPr>
                <w:color w:val="auto"/>
              </w:rPr>
            </w:pPr>
            <w:r w:rsidRPr="00B44354">
              <w:rPr>
                <w:color w:val="auto"/>
              </w:rPr>
              <w:t xml:space="preserve">Male </w:t>
            </w:r>
          </w:p>
        </w:tc>
        <w:tc>
          <w:tcPr>
            <w:tcW w:w="992" w:type="dxa"/>
          </w:tcPr>
          <w:p w14:paraId="4FB1326F" w14:textId="77777777" w:rsidR="0073199D" w:rsidRPr="00B44354" w:rsidRDefault="0073199D">
            <w:pPr>
              <w:pStyle w:val="Default"/>
              <w:rPr>
                <w:color w:val="auto"/>
              </w:rPr>
            </w:pPr>
            <w:r w:rsidRPr="00B44354">
              <w:rPr>
                <w:color w:val="auto"/>
              </w:rPr>
              <w:t xml:space="preserve">LGBT </w:t>
            </w:r>
          </w:p>
        </w:tc>
        <w:tc>
          <w:tcPr>
            <w:tcW w:w="1025" w:type="dxa"/>
          </w:tcPr>
          <w:p w14:paraId="5BE8A63D" w14:textId="77777777" w:rsidR="0073199D" w:rsidRPr="00B44354" w:rsidRDefault="0073199D">
            <w:pPr>
              <w:pStyle w:val="Default"/>
              <w:rPr>
                <w:color w:val="auto"/>
              </w:rPr>
            </w:pPr>
            <w:r w:rsidRPr="00B44354">
              <w:rPr>
                <w:color w:val="auto"/>
              </w:rPr>
              <w:t xml:space="preserve">Disability </w:t>
            </w:r>
          </w:p>
        </w:tc>
      </w:tr>
      <w:tr w:rsidR="000E6382" w:rsidRPr="00B44354" w14:paraId="6F2E9F1F" w14:textId="77777777" w:rsidTr="00CE5F41">
        <w:trPr>
          <w:trHeight w:val="112"/>
        </w:trPr>
        <w:tc>
          <w:tcPr>
            <w:tcW w:w="1379" w:type="dxa"/>
          </w:tcPr>
          <w:p w14:paraId="7BC86FBD" w14:textId="77777777" w:rsidR="0073199D" w:rsidRPr="00B44354" w:rsidRDefault="0073199D">
            <w:pPr>
              <w:pStyle w:val="Default"/>
              <w:rPr>
                <w:color w:val="auto"/>
              </w:rPr>
            </w:pPr>
            <w:r w:rsidRPr="00B44354">
              <w:rPr>
                <w:color w:val="auto"/>
              </w:rPr>
              <w:t xml:space="preserve">Applications </w:t>
            </w:r>
          </w:p>
        </w:tc>
        <w:tc>
          <w:tcPr>
            <w:tcW w:w="709" w:type="dxa"/>
          </w:tcPr>
          <w:p w14:paraId="53739A9F" w14:textId="77777777" w:rsidR="0073199D" w:rsidRPr="00B44354" w:rsidRDefault="0073199D">
            <w:pPr>
              <w:pStyle w:val="Default"/>
              <w:rPr>
                <w:color w:val="auto"/>
              </w:rPr>
            </w:pPr>
            <w:r w:rsidRPr="00B44354">
              <w:rPr>
                <w:color w:val="auto"/>
              </w:rPr>
              <w:t xml:space="preserve">646 </w:t>
            </w:r>
          </w:p>
        </w:tc>
        <w:tc>
          <w:tcPr>
            <w:tcW w:w="980" w:type="dxa"/>
          </w:tcPr>
          <w:p w14:paraId="14FFB46F" w14:textId="77777777" w:rsidR="0073199D" w:rsidRPr="00B44354" w:rsidRDefault="0073199D">
            <w:pPr>
              <w:pStyle w:val="Default"/>
              <w:rPr>
                <w:color w:val="auto"/>
              </w:rPr>
            </w:pPr>
            <w:r w:rsidRPr="00B44354">
              <w:rPr>
                <w:color w:val="auto"/>
              </w:rPr>
              <w:t xml:space="preserve">481 </w:t>
            </w:r>
          </w:p>
        </w:tc>
        <w:tc>
          <w:tcPr>
            <w:tcW w:w="1023" w:type="dxa"/>
            <w:gridSpan w:val="3"/>
          </w:tcPr>
          <w:p w14:paraId="30B9C4AA" w14:textId="77777777" w:rsidR="0073199D" w:rsidRPr="00B44354" w:rsidRDefault="0073199D">
            <w:pPr>
              <w:pStyle w:val="Default"/>
              <w:rPr>
                <w:color w:val="auto"/>
              </w:rPr>
            </w:pPr>
            <w:r w:rsidRPr="00B44354">
              <w:rPr>
                <w:color w:val="auto"/>
              </w:rPr>
              <w:t xml:space="preserve">99 </w:t>
            </w:r>
          </w:p>
        </w:tc>
        <w:tc>
          <w:tcPr>
            <w:tcW w:w="1023" w:type="dxa"/>
            <w:gridSpan w:val="2"/>
          </w:tcPr>
          <w:p w14:paraId="61BA8C64" w14:textId="77777777" w:rsidR="0073199D" w:rsidRPr="00B44354" w:rsidRDefault="0073199D">
            <w:pPr>
              <w:pStyle w:val="Default"/>
              <w:rPr>
                <w:color w:val="auto"/>
              </w:rPr>
            </w:pPr>
            <w:r w:rsidRPr="00B44354">
              <w:rPr>
                <w:color w:val="auto"/>
              </w:rPr>
              <w:t xml:space="preserve">66 </w:t>
            </w:r>
          </w:p>
        </w:tc>
        <w:tc>
          <w:tcPr>
            <w:tcW w:w="1085" w:type="dxa"/>
          </w:tcPr>
          <w:p w14:paraId="4CA8C1FA" w14:textId="77777777" w:rsidR="0073199D" w:rsidRPr="00B44354" w:rsidRDefault="0073199D">
            <w:pPr>
              <w:pStyle w:val="Default"/>
              <w:rPr>
                <w:color w:val="auto"/>
              </w:rPr>
            </w:pPr>
            <w:r w:rsidRPr="00B44354">
              <w:rPr>
                <w:color w:val="auto"/>
              </w:rPr>
              <w:t xml:space="preserve">78 </w:t>
            </w:r>
          </w:p>
        </w:tc>
        <w:tc>
          <w:tcPr>
            <w:tcW w:w="992" w:type="dxa"/>
          </w:tcPr>
          <w:p w14:paraId="01267202" w14:textId="77777777" w:rsidR="0073199D" w:rsidRPr="00B44354" w:rsidRDefault="0073199D">
            <w:pPr>
              <w:pStyle w:val="Default"/>
              <w:rPr>
                <w:color w:val="auto"/>
              </w:rPr>
            </w:pPr>
            <w:r w:rsidRPr="00B44354">
              <w:rPr>
                <w:color w:val="auto"/>
              </w:rPr>
              <w:t xml:space="preserve">568 </w:t>
            </w:r>
          </w:p>
        </w:tc>
        <w:tc>
          <w:tcPr>
            <w:tcW w:w="992" w:type="dxa"/>
          </w:tcPr>
          <w:p w14:paraId="3AF07691" w14:textId="77777777" w:rsidR="0073199D" w:rsidRPr="00B44354" w:rsidRDefault="0073199D">
            <w:pPr>
              <w:pStyle w:val="Default"/>
              <w:rPr>
                <w:color w:val="auto"/>
              </w:rPr>
            </w:pPr>
            <w:r w:rsidRPr="00B44354">
              <w:rPr>
                <w:color w:val="auto"/>
              </w:rPr>
              <w:t xml:space="preserve">52 </w:t>
            </w:r>
          </w:p>
        </w:tc>
        <w:tc>
          <w:tcPr>
            <w:tcW w:w="1025" w:type="dxa"/>
          </w:tcPr>
          <w:p w14:paraId="3601693A" w14:textId="77777777" w:rsidR="0073199D" w:rsidRPr="00B44354" w:rsidRDefault="0073199D">
            <w:pPr>
              <w:pStyle w:val="Default"/>
              <w:rPr>
                <w:color w:val="auto"/>
              </w:rPr>
            </w:pPr>
            <w:r w:rsidRPr="00B44354">
              <w:rPr>
                <w:color w:val="auto"/>
              </w:rPr>
              <w:t xml:space="preserve">27 </w:t>
            </w:r>
          </w:p>
        </w:tc>
      </w:tr>
      <w:tr w:rsidR="000E6382" w:rsidRPr="00B44354" w14:paraId="5451B463" w14:textId="77777777" w:rsidTr="00CE5F41">
        <w:trPr>
          <w:trHeight w:val="250"/>
        </w:trPr>
        <w:tc>
          <w:tcPr>
            <w:tcW w:w="1379" w:type="dxa"/>
          </w:tcPr>
          <w:p w14:paraId="6A9B6C48" w14:textId="77777777" w:rsidR="0073199D" w:rsidRPr="00B44354" w:rsidRDefault="0073199D">
            <w:pPr>
              <w:pStyle w:val="Default"/>
              <w:rPr>
                <w:color w:val="auto"/>
              </w:rPr>
            </w:pPr>
            <w:r w:rsidRPr="00B44354">
              <w:rPr>
                <w:color w:val="auto"/>
              </w:rPr>
              <w:t xml:space="preserve">Online Tests </w:t>
            </w:r>
          </w:p>
        </w:tc>
        <w:tc>
          <w:tcPr>
            <w:tcW w:w="709" w:type="dxa"/>
          </w:tcPr>
          <w:p w14:paraId="67960874" w14:textId="77777777" w:rsidR="0073199D" w:rsidRPr="00B44354" w:rsidRDefault="0073199D">
            <w:pPr>
              <w:pStyle w:val="Default"/>
              <w:rPr>
                <w:color w:val="auto"/>
              </w:rPr>
            </w:pPr>
            <w:r w:rsidRPr="00B44354">
              <w:rPr>
                <w:color w:val="auto"/>
              </w:rPr>
              <w:t xml:space="preserve">563 </w:t>
            </w:r>
          </w:p>
        </w:tc>
        <w:tc>
          <w:tcPr>
            <w:tcW w:w="980" w:type="dxa"/>
          </w:tcPr>
          <w:p w14:paraId="01CF457A" w14:textId="77777777" w:rsidR="0073199D" w:rsidRPr="00B44354" w:rsidRDefault="0073199D">
            <w:pPr>
              <w:pStyle w:val="Default"/>
              <w:rPr>
                <w:color w:val="auto"/>
              </w:rPr>
            </w:pPr>
            <w:r w:rsidRPr="00B44354">
              <w:rPr>
                <w:color w:val="auto"/>
              </w:rPr>
              <w:t xml:space="preserve">425 </w:t>
            </w:r>
          </w:p>
        </w:tc>
        <w:tc>
          <w:tcPr>
            <w:tcW w:w="1023" w:type="dxa"/>
            <w:gridSpan w:val="3"/>
          </w:tcPr>
          <w:p w14:paraId="07A90C0D" w14:textId="77777777" w:rsidR="0073199D" w:rsidRPr="00B44354" w:rsidRDefault="0073199D">
            <w:pPr>
              <w:pStyle w:val="Default"/>
              <w:rPr>
                <w:color w:val="auto"/>
              </w:rPr>
            </w:pPr>
            <w:r w:rsidRPr="00B44354">
              <w:rPr>
                <w:color w:val="auto"/>
              </w:rPr>
              <w:t xml:space="preserve">86 </w:t>
            </w:r>
          </w:p>
        </w:tc>
        <w:tc>
          <w:tcPr>
            <w:tcW w:w="1023" w:type="dxa"/>
            <w:gridSpan w:val="2"/>
          </w:tcPr>
          <w:p w14:paraId="7B400113" w14:textId="77777777" w:rsidR="0073199D" w:rsidRPr="00B44354" w:rsidRDefault="0073199D">
            <w:pPr>
              <w:pStyle w:val="Default"/>
              <w:rPr>
                <w:color w:val="auto"/>
              </w:rPr>
            </w:pPr>
            <w:r w:rsidRPr="00B44354">
              <w:rPr>
                <w:color w:val="auto"/>
              </w:rPr>
              <w:t xml:space="preserve">52 </w:t>
            </w:r>
          </w:p>
        </w:tc>
        <w:tc>
          <w:tcPr>
            <w:tcW w:w="1085" w:type="dxa"/>
          </w:tcPr>
          <w:p w14:paraId="61762922" w14:textId="77777777" w:rsidR="0073199D" w:rsidRPr="00B44354" w:rsidRDefault="0073199D">
            <w:pPr>
              <w:pStyle w:val="Default"/>
              <w:rPr>
                <w:color w:val="auto"/>
              </w:rPr>
            </w:pPr>
            <w:r w:rsidRPr="00B44354">
              <w:rPr>
                <w:color w:val="auto"/>
              </w:rPr>
              <w:t xml:space="preserve">63 </w:t>
            </w:r>
          </w:p>
        </w:tc>
        <w:tc>
          <w:tcPr>
            <w:tcW w:w="992" w:type="dxa"/>
          </w:tcPr>
          <w:p w14:paraId="0D14D5FF" w14:textId="77777777" w:rsidR="0073199D" w:rsidRPr="00B44354" w:rsidRDefault="0073199D">
            <w:pPr>
              <w:pStyle w:val="Default"/>
              <w:rPr>
                <w:color w:val="auto"/>
              </w:rPr>
            </w:pPr>
            <w:r w:rsidRPr="00B44354">
              <w:rPr>
                <w:color w:val="auto"/>
              </w:rPr>
              <w:t xml:space="preserve">500 </w:t>
            </w:r>
          </w:p>
        </w:tc>
        <w:tc>
          <w:tcPr>
            <w:tcW w:w="992" w:type="dxa"/>
          </w:tcPr>
          <w:p w14:paraId="7362468A" w14:textId="77777777" w:rsidR="0073199D" w:rsidRPr="00B44354" w:rsidRDefault="0073199D">
            <w:pPr>
              <w:pStyle w:val="Default"/>
              <w:rPr>
                <w:color w:val="auto"/>
              </w:rPr>
            </w:pPr>
            <w:r w:rsidRPr="00B44354">
              <w:rPr>
                <w:color w:val="auto"/>
              </w:rPr>
              <w:t xml:space="preserve">44 </w:t>
            </w:r>
          </w:p>
        </w:tc>
        <w:tc>
          <w:tcPr>
            <w:tcW w:w="1025" w:type="dxa"/>
          </w:tcPr>
          <w:p w14:paraId="1C391119" w14:textId="77777777" w:rsidR="0073199D" w:rsidRPr="00B44354" w:rsidRDefault="0073199D">
            <w:pPr>
              <w:pStyle w:val="Default"/>
              <w:rPr>
                <w:color w:val="auto"/>
              </w:rPr>
            </w:pPr>
            <w:r w:rsidRPr="00B44354">
              <w:rPr>
                <w:color w:val="auto"/>
              </w:rPr>
              <w:t xml:space="preserve">27 </w:t>
            </w:r>
          </w:p>
        </w:tc>
      </w:tr>
      <w:tr w:rsidR="000E6382" w:rsidRPr="00B44354" w14:paraId="743D2132" w14:textId="77777777" w:rsidTr="00CE5F41">
        <w:trPr>
          <w:trHeight w:val="112"/>
        </w:trPr>
        <w:tc>
          <w:tcPr>
            <w:tcW w:w="1379" w:type="dxa"/>
          </w:tcPr>
          <w:p w14:paraId="5D821EAB" w14:textId="77777777" w:rsidR="0073199D" w:rsidRPr="00B44354" w:rsidRDefault="00842868" w:rsidP="00842868">
            <w:pPr>
              <w:pStyle w:val="Default"/>
              <w:rPr>
                <w:color w:val="auto"/>
              </w:rPr>
            </w:pPr>
            <w:r w:rsidRPr="00B44354">
              <w:rPr>
                <w:color w:val="auto"/>
              </w:rPr>
              <w:t>JRTs</w:t>
            </w:r>
          </w:p>
        </w:tc>
        <w:tc>
          <w:tcPr>
            <w:tcW w:w="709" w:type="dxa"/>
          </w:tcPr>
          <w:p w14:paraId="63DF64C1" w14:textId="77777777" w:rsidR="0073199D" w:rsidRPr="00B44354" w:rsidRDefault="0073199D">
            <w:pPr>
              <w:pStyle w:val="Default"/>
              <w:rPr>
                <w:color w:val="auto"/>
              </w:rPr>
            </w:pPr>
            <w:r w:rsidRPr="00B44354">
              <w:rPr>
                <w:color w:val="auto"/>
              </w:rPr>
              <w:t xml:space="preserve">242 </w:t>
            </w:r>
          </w:p>
        </w:tc>
        <w:tc>
          <w:tcPr>
            <w:tcW w:w="980" w:type="dxa"/>
          </w:tcPr>
          <w:p w14:paraId="0C2929C4" w14:textId="77777777" w:rsidR="0073199D" w:rsidRPr="00B44354" w:rsidRDefault="0073199D">
            <w:pPr>
              <w:pStyle w:val="Default"/>
              <w:rPr>
                <w:color w:val="auto"/>
              </w:rPr>
            </w:pPr>
            <w:r w:rsidRPr="00B44354">
              <w:rPr>
                <w:color w:val="auto"/>
              </w:rPr>
              <w:t xml:space="preserve">199 </w:t>
            </w:r>
          </w:p>
        </w:tc>
        <w:tc>
          <w:tcPr>
            <w:tcW w:w="1023" w:type="dxa"/>
            <w:gridSpan w:val="3"/>
          </w:tcPr>
          <w:p w14:paraId="2233FC07" w14:textId="77777777" w:rsidR="0073199D" w:rsidRPr="00B44354" w:rsidRDefault="0073199D">
            <w:pPr>
              <w:pStyle w:val="Default"/>
              <w:rPr>
                <w:color w:val="auto"/>
              </w:rPr>
            </w:pPr>
            <w:r w:rsidRPr="00B44354">
              <w:rPr>
                <w:color w:val="auto"/>
              </w:rPr>
              <w:t xml:space="preserve">32 </w:t>
            </w:r>
          </w:p>
        </w:tc>
        <w:tc>
          <w:tcPr>
            <w:tcW w:w="1023" w:type="dxa"/>
            <w:gridSpan w:val="2"/>
          </w:tcPr>
          <w:p w14:paraId="3F585862" w14:textId="77777777" w:rsidR="0073199D" w:rsidRPr="00B44354" w:rsidRDefault="0073199D">
            <w:pPr>
              <w:pStyle w:val="Default"/>
              <w:rPr>
                <w:color w:val="auto"/>
              </w:rPr>
            </w:pPr>
            <w:r w:rsidRPr="00B44354">
              <w:rPr>
                <w:color w:val="auto"/>
              </w:rPr>
              <w:t xml:space="preserve">11 </w:t>
            </w:r>
          </w:p>
        </w:tc>
        <w:tc>
          <w:tcPr>
            <w:tcW w:w="1085" w:type="dxa"/>
          </w:tcPr>
          <w:p w14:paraId="3B437826" w14:textId="77777777" w:rsidR="0073199D" w:rsidRPr="00B44354" w:rsidRDefault="0073199D">
            <w:pPr>
              <w:pStyle w:val="Default"/>
              <w:rPr>
                <w:color w:val="auto"/>
              </w:rPr>
            </w:pPr>
            <w:r w:rsidRPr="00B44354">
              <w:rPr>
                <w:color w:val="auto"/>
              </w:rPr>
              <w:t xml:space="preserve">20 </w:t>
            </w:r>
          </w:p>
        </w:tc>
        <w:tc>
          <w:tcPr>
            <w:tcW w:w="992" w:type="dxa"/>
          </w:tcPr>
          <w:p w14:paraId="26652DC3" w14:textId="77777777" w:rsidR="0073199D" w:rsidRPr="00B44354" w:rsidRDefault="0073199D">
            <w:pPr>
              <w:pStyle w:val="Default"/>
              <w:rPr>
                <w:color w:val="auto"/>
              </w:rPr>
            </w:pPr>
            <w:r w:rsidRPr="00B44354">
              <w:rPr>
                <w:color w:val="auto"/>
              </w:rPr>
              <w:t xml:space="preserve">222 </w:t>
            </w:r>
          </w:p>
        </w:tc>
        <w:tc>
          <w:tcPr>
            <w:tcW w:w="992" w:type="dxa"/>
          </w:tcPr>
          <w:p w14:paraId="12995128" w14:textId="77777777" w:rsidR="0073199D" w:rsidRPr="00B44354" w:rsidRDefault="0073199D">
            <w:pPr>
              <w:pStyle w:val="Default"/>
              <w:rPr>
                <w:color w:val="auto"/>
              </w:rPr>
            </w:pPr>
            <w:r w:rsidRPr="00B44354">
              <w:rPr>
                <w:color w:val="auto"/>
              </w:rPr>
              <w:t xml:space="preserve">22 </w:t>
            </w:r>
          </w:p>
        </w:tc>
        <w:tc>
          <w:tcPr>
            <w:tcW w:w="1025" w:type="dxa"/>
          </w:tcPr>
          <w:p w14:paraId="1ECB31AB" w14:textId="77777777" w:rsidR="0073199D" w:rsidRPr="00B44354" w:rsidRDefault="0073199D">
            <w:pPr>
              <w:pStyle w:val="Default"/>
              <w:rPr>
                <w:color w:val="auto"/>
              </w:rPr>
            </w:pPr>
            <w:r w:rsidRPr="00B44354">
              <w:rPr>
                <w:color w:val="auto"/>
              </w:rPr>
              <w:t xml:space="preserve">15 </w:t>
            </w:r>
          </w:p>
        </w:tc>
      </w:tr>
      <w:tr w:rsidR="000E6382" w:rsidRPr="00B44354" w14:paraId="2DF5CE7C" w14:textId="77777777" w:rsidTr="00CE5F41">
        <w:trPr>
          <w:trHeight w:val="112"/>
        </w:trPr>
        <w:tc>
          <w:tcPr>
            <w:tcW w:w="1379" w:type="dxa"/>
            <w:tcBorders>
              <w:top w:val="single" w:sz="6" w:space="0" w:color="auto"/>
              <w:left w:val="single" w:sz="4" w:space="0" w:color="auto"/>
              <w:bottom w:val="single" w:sz="6" w:space="0" w:color="auto"/>
              <w:right w:val="single" w:sz="6" w:space="0" w:color="auto"/>
            </w:tcBorders>
          </w:tcPr>
          <w:p w14:paraId="682F5E38" w14:textId="77777777" w:rsidR="002E0EA4" w:rsidRPr="00B44354" w:rsidRDefault="002E0EA4">
            <w:pPr>
              <w:pStyle w:val="Default"/>
              <w:rPr>
                <w:color w:val="auto"/>
              </w:rPr>
            </w:pPr>
            <w:r w:rsidRPr="00B44354">
              <w:rPr>
                <w:color w:val="auto"/>
              </w:rPr>
              <w:t xml:space="preserve">Interview </w:t>
            </w:r>
          </w:p>
          <w:p w14:paraId="7C3E6946" w14:textId="77777777" w:rsidR="00905390" w:rsidRPr="00B44354" w:rsidRDefault="00905390">
            <w:pPr>
              <w:pStyle w:val="Default"/>
              <w:rPr>
                <w:color w:val="auto"/>
              </w:rPr>
            </w:pPr>
          </w:p>
        </w:tc>
        <w:tc>
          <w:tcPr>
            <w:tcW w:w="709" w:type="dxa"/>
            <w:tcBorders>
              <w:top w:val="single" w:sz="6" w:space="0" w:color="auto"/>
              <w:left w:val="single" w:sz="6" w:space="0" w:color="auto"/>
              <w:bottom w:val="single" w:sz="6" w:space="0" w:color="auto"/>
              <w:right w:val="single" w:sz="6" w:space="0" w:color="auto"/>
            </w:tcBorders>
          </w:tcPr>
          <w:p w14:paraId="0159A7F5" w14:textId="77777777" w:rsidR="002E0EA4" w:rsidRPr="00B44354" w:rsidRDefault="002E0EA4" w:rsidP="00905390">
            <w:pPr>
              <w:pStyle w:val="Default"/>
              <w:rPr>
                <w:color w:val="auto"/>
              </w:rPr>
            </w:pPr>
            <w:r w:rsidRPr="00B44354">
              <w:rPr>
                <w:color w:val="auto"/>
              </w:rPr>
              <w:t>132</w:t>
            </w:r>
            <w:r w:rsidR="00B10089" w:rsidRPr="00B44354">
              <w:rPr>
                <w:color w:val="auto"/>
              </w:rPr>
              <w:t>*</w:t>
            </w:r>
            <w:r w:rsidRPr="00B44354">
              <w:rPr>
                <w:color w:val="auto"/>
              </w:rPr>
              <w:t xml:space="preserve"> </w:t>
            </w:r>
          </w:p>
        </w:tc>
        <w:tc>
          <w:tcPr>
            <w:tcW w:w="980" w:type="dxa"/>
            <w:tcBorders>
              <w:top w:val="single" w:sz="6" w:space="0" w:color="auto"/>
              <w:left w:val="single" w:sz="6" w:space="0" w:color="auto"/>
              <w:bottom w:val="single" w:sz="6" w:space="0" w:color="auto"/>
              <w:right w:val="single" w:sz="6" w:space="0" w:color="auto"/>
            </w:tcBorders>
          </w:tcPr>
          <w:p w14:paraId="678D097D" w14:textId="77777777" w:rsidR="002E0EA4" w:rsidRPr="00B44354" w:rsidRDefault="002E0EA4">
            <w:pPr>
              <w:pStyle w:val="Default"/>
              <w:rPr>
                <w:color w:val="auto"/>
              </w:rPr>
            </w:pPr>
            <w:r w:rsidRPr="00B44354">
              <w:rPr>
                <w:color w:val="auto"/>
              </w:rPr>
              <w:t xml:space="preserve">107 </w:t>
            </w:r>
          </w:p>
        </w:tc>
        <w:tc>
          <w:tcPr>
            <w:tcW w:w="1023" w:type="dxa"/>
            <w:gridSpan w:val="3"/>
            <w:tcBorders>
              <w:top w:val="single" w:sz="6" w:space="0" w:color="auto"/>
              <w:left w:val="single" w:sz="6" w:space="0" w:color="auto"/>
              <w:bottom w:val="single" w:sz="6" w:space="0" w:color="auto"/>
              <w:right w:val="single" w:sz="6" w:space="0" w:color="auto"/>
            </w:tcBorders>
          </w:tcPr>
          <w:p w14:paraId="28B1F60D" w14:textId="77777777" w:rsidR="002E0EA4" w:rsidRPr="00B44354" w:rsidRDefault="002E0EA4">
            <w:pPr>
              <w:pStyle w:val="Default"/>
              <w:rPr>
                <w:color w:val="auto"/>
              </w:rPr>
            </w:pPr>
            <w:r w:rsidRPr="00B44354">
              <w:rPr>
                <w:color w:val="auto"/>
              </w:rPr>
              <w:t xml:space="preserve">16 </w:t>
            </w:r>
          </w:p>
        </w:tc>
        <w:tc>
          <w:tcPr>
            <w:tcW w:w="1023" w:type="dxa"/>
            <w:gridSpan w:val="2"/>
            <w:tcBorders>
              <w:top w:val="single" w:sz="6" w:space="0" w:color="auto"/>
              <w:left w:val="single" w:sz="6" w:space="0" w:color="auto"/>
              <w:bottom w:val="single" w:sz="6" w:space="0" w:color="auto"/>
              <w:right w:val="single" w:sz="6" w:space="0" w:color="auto"/>
            </w:tcBorders>
          </w:tcPr>
          <w:p w14:paraId="4E391668" w14:textId="77777777" w:rsidR="002E0EA4" w:rsidRPr="00B44354" w:rsidRDefault="002E0EA4">
            <w:pPr>
              <w:pStyle w:val="Default"/>
              <w:rPr>
                <w:color w:val="auto"/>
              </w:rPr>
            </w:pPr>
            <w:r w:rsidRPr="00B44354">
              <w:rPr>
                <w:color w:val="auto"/>
              </w:rPr>
              <w:t xml:space="preserve">9 </w:t>
            </w:r>
          </w:p>
        </w:tc>
        <w:tc>
          <w:tcPr>
            <w:tcW w:w="1085" w:type="dxa"/>
            <w:tcBorders>
              <w:top w:val="single" w:sz="6" w:space="0" w:color="auto"/>
              <w:left w:val="single" w:sz="6" w:space="0" w:color="auto"/>
              <w:bottom w:val="single" w:sz="6" w:space="0" w:color="auto"/>
              <w:right w:val="single" w:sz="6" w:space="0" w:color="auto"/>
            </w:tcBorders>
          </w:tcPr>
          <w:p w14:paraId="7F1D6AC5" w14:textId="77777777" w:rsidR="002E0EA4" w:rsidRPr="00B44354" w:rsidRDefault="002E0EA4">
            <w:pPr>
              <w:pStyle w:val="Default"/>
              <w:rPr>
                <w:color w:val="auto"/>
              </w:rPr>
            </w:pPr>
            <w:r w:rsidRPr="00B44354">
              <w:rPr>
                <w:color w:val="auto"/>
              </w:rPr>
              <w:t xml:space="preserve">10 </w:t>
            </w:r>
          </w:p>
        </w:tc>
        <w:tc>
          <w:tcPr>
            <w:tcW w:w="992" w:type="dxa"/>
            <w:tcBorders>
              <w:top w:val="single" w:sz="6" w:space="0" w:color="auto"/>
              <w:left w:val="single" w:sz="6" w:space="0" w:color="auto"/>
              <w:bottom w:val="single" w:sz="6" w:space="0" w:color="auto"/>
              <w:right w:val="single" w:sz="6" w:space="0" w:color="auto"/>
            </w:tcBorders>
          </w:tcPr>
          <w:p w14:paraId="2696035A" w14:textId="77777777" w:rsidR="002E0EA4" w:rsidRPr="00B44354" w:rsidRDefault="002E0EA4">
            <w:pPr>
              <w:pStyle w:val="Default"/>
              <w:rPr>
                <w:color w:val="auto"/>
              </w:rPr>
            </w:pPr>
            <w:r w:rsidRPr="00B44354">
              <w:rPr>
                <w:color w:val="auto"/>
              </w:rPr>
              <w:t xml:space="preserve">122 </w:t>
            </w:r>
          </w:p>
        </w:tc>
        <w:tc>
          <w:tcPr>
            <w:tcW w:w="992" w:type="dxa"/>
            <w:tcBorders>
              <w:top w:val="single" w:sz="6" w:space="0" w:color="auto"/>
              <w:left w:val="single" w:sz="6" w:space="0" w:color="auto"/>
              <w:bottom w:val="single" w:sz="6" w:space="0" w:color="auto"/>
              <w:right w:val="single" w:sz="6" w:space="0" w:color="auto"/>
            </w:tcBorders>
          </w:tcPr>
          <w:p w14:paraId="640B49DE" w14:textId="77777777" w:rsidR="002E0EA4" w:rsidRPr="00B44354" w:rsidRDefault="002E0EA4">
            <w:pPr>
              <w:pStyle w:val="Default"/>
              <w:rPr>
                <w:color w:val="auto"/>
              </w:rPr>
            </w:pPr>
            <w:r w:rsidRPr="00B44354">
              <w:rPr>
                <w:color w:val="auto"/>
              </w:rPr>
              <w:t xml:space="preserve">15 </w:t>
            </w:r>
          </w:p>
        </w:tc>
        <w:tc>
          <w:tcPr>
            <w:tcW w:w="1025" w:type="dxa"/>
            <w:tcBorders>
              <w:top w:val="single" w:sz="6" w:space="0" w:color="auto"/>
              <w:left w:val="single" w:sz="6" w:space="0" w:color="auto"/>
              <w:bottom w:val="single" w:sz="6" w:space="0" w:color="auto"/>
              <w:right w:val="single" w:sz="4" w:space="0" w:color="auto"/>
            </w:tcBorders>
          </w:tcPr>
          <w:p w14:paraId="201DB001" w14:textId="77777777" w:rsidR="002E0EA4" w:rsidRPr="00B44354" w:rsidRDefault="002E0EA4">
            <w:pPr>
              <w:pStyle w:val="Default"/>
              <w:rPr>
                <w:color w:val="auto"/>
              </w:rPr>
            </w:pPr>
            <w:r w:rsidRPr="00B44354">
              <w:rPr>
                <w:color w:val="auto"/>
              </w:rPr>
              <w:t xml:space="preserve">6 </w:t>
            </w:r>
          </w:p>
        </w:tc>
      </w:tr>
      <w:tr w:rsidR="000E6382" w:rsidRPr="00B44354" w14:paraId="5B2BB18C" w14:textId="77777777" w:rsidTr="00CE5F41">
        <w:trPr>
          <w:trHeight w:val="112"/>
        </w:trPr>
        <w:tc>
          <w:tcPr>
            <w:tcW w:w="1379" w:type="dxa"/>
            <w:tcBorders>
              <w:top w:val="single" w:sz="6" w:space="0" w:color="auto"/>
              <w:left w:val="single" w:sz="4" w:space="0" w:color="auto"/>
              <w:bottom w:val="single" w:sz="6" w:space="0" w:color="auto"/>
              <w:right w:val="single" w:sz="6" w:space="0" w:color="auto"/>
            </w:tcBorders>
          </w:tcPr>
          <w:p w14:paraId="49FF46C2" w14:textId="77777777" w:rsidR="002E0EA4" w:rsidRPr="00B44354" w:rsidRDefault="002E0EA4">
            <w:pPr>
              <w:pStyle w:val="Default"/>
              <w:rPr>
                <w:color w:val="auto"/>
              </w:rPr>
            </w:pPr>
            <w:r w:rsidRPr="00B44354">
              <w:rPr>
                <w:color w:val="auto"/>
              </w:rPr>
              <w:t xml:space="preserve">Successful </w:t>
            </w:r>
          </w:p>
        </w:tc>
        <w:tc>
          <w:tcPr>
            <w:tcW w:w="709" w:type="dxa"/>
            <w:tcBorders>
              <w:top w:val="single" w:sz="6" w:space="0" w:color="auto"/>
              <w:left w:val="single" w:sz="6" w:space="0" w:color="auto"/>
              <w:bottom w:val="single" w:sz="6" w:space="0" w:color="auto"/>
              <w:right w:val="single" w:sz="6" w:space="0" w:color="auto"/>
            </w:tcBorders>
          </w:tcPr>
          <w:p w14:paraId="614A66E7" w14:textId="77777777" w:rsidR="002E0EA4" w:rsidRPr="00B44354" w:rsidRDefault="002E0EA4">
            <w:pPr>
              <w:pStyle w:val="Default"/>
              <w:rPr>
                <w:color w:val="auto"/>
              </w:rPr>
            </w:pPr>
            <w:r w:rsidRPr="00B44354">
              <w:rPr>
                <w:color w:val="auto"/>
              </w:rPr>
              <w:t xml:space="preserve">28 </w:t>
            </w:r>
          </w:p>
        </w:tc>
        <w:tc>
          <w:tcPr>
            <w:tcW w:w="980" w:type="dxa"/>
            <w:tcBorders>
              <w:top w:val="single" w:sz="6" w:space="0" w:color="auto"/>
              <w:left w:val="single" w:sz="6" w:space="0" w:color="auto"/>
              <w:bottom w:val="single" w:sz="6" w:space="0" w:color="auto"/>
              <w:right w:val="single" w:sz="6" w:space="0" w:color="auto"/>
            </w:tcBorders>
          </w:tcPr>
          <w:p w14:paraId="7E5A915E" w14:textId="77777777" w:rsidR="002E0EA4" w:rsidRPr="00B44354" w:rsidRDefault="002E0EA4">
            <w:pPr>
              <w:pStyle w:val="Default"/>
              <w:rPr>
                <w:color w:val="auto"/>
              </w:rPr>
            </w:pPr>
            <w:r w:rsidRPr="00B44354">
              <w:rPr>
                <w:color w:val="auto"/>
              </w:rPr>
              <w:t xml:space="preserve">21 </w:t>
            </w:r>
          </w:p>
        </w:tc>
        <w:tc>
          <w:tcPr>
            <w:tcW w:w="1023" w:type="dxa"/>
            <w:gridSpan w:val="3"/>
            <w:tcBorders>
              <w:top w:val="single" w:sz="6" w:space="0" w:color="auto"/>
              <w:left w:val="single" w:sz="6" w:space="0" w:color="auto"/>
              <w:bottom w:val="single" w:sz="6" w:space="0" w:color="auto"/>
              <w:right w:val="single" w:sz="6" w:space="0" w:color="auto"/>
            </w:tcBorders>
          </w:tcPr>
          <w:p w14:paraId="7387C11A" w14:textId="77777777" w:rsidR="002E0EA4" w:rsidRPr="00B44354" w:rsidRDefault="002E0EA4">
            <w:pPr>
              <w:pStyle w:val="Default"/>
              <w:rPr>
                <w:color w:val="auto"/>
              </w:rPr>
            </w:pPr>
            <w:r w:rsidRPr="00B44354">
              <w:rPr>
                <w:color w:val="auto"/>
              </w:rPr>
              <w:t xml:space="preserve">4 </w:t>
            </w:r>
          </w:p>
        </w:tc>
        <w:tc>
          <w:tcPr>
            <w:tcW w:w="1023" w:type="dxa"/>
            <w:gridSpan w:val="2"/>
            <w:tcBorders>
              <w:top w:val="single" w:sz="6" w:space="0" w:color="auto"/>
              <w:left w:val="single" w:sz="6" w:space="0" w:color="auto"/>
              <w:bottom w:val="single" w:sz="6" w:space="0" w:color="auto"/>
              <w:right w:val="single" w:sz="6" w:space="0" w:color="auto"/>
            </w:tcBorders>
          </w:tcPr>
          <w:p w14:paraId="3A07E953" w14:textId="77777777" w:rsidR="002E0EA4" w:rsidRPr="00B44354" w:rsidRDefault="002E0EA4">
            <w:pPr>
              <w:pStyle w:val="Default"/>
              <w:rPr>
                <w:color w:val="auto"/>
              </w:rPr>
            </w:pPr>
            <w:r w:rsidRPr="00B44354">
              <w:rPr>
                <w:color w:val="auto"/>
              </w:rPr>
              <w:t xml:space="preserve">3 </w:t>
            </w:r>
          </w:p>
        </w:tc>
        <w:tc>
          <w:tcPr>
            <w:tcW w:w="1085" w:type="dxa"/>
            <w:tcBorders>
              <w:top w:val="single" w:sz="6" w:space="0" w:color="auto"/>
              <w:left w:val="single" w:sz="6" w:space="0" w:color="auto"/>
              <w:bottom w:val="single" w:sz="6" w:space="0" w:color="auto"/>
              <w:right w:val="single" w:sz="6" w:space="0" w:color="auto"/>
            </w:tcBorders>
          </w:tcPr>
          <w:p w14:paraId="5C8ED7C3" w14:textId="77777777" w:rsidR="002E0EA4" w:rsidRPr="00B44354" w:rsidRDefault="002E0EA4">
            <w:pPr>
              <w:pStyle w:val="Default"/>
              <w:rPr>
                <w:color w:val="auto"/>
              </w:rPr>
            </w:pPr>
            <w:r w:rsidRPr="00B44354">
              <w:rPr>
                <w:color w:val="auto"/>
              </w:rPr>
              <w:t xml:space="preserve">5 </w:t>
            </w:r>
          </w:p>
        </w:tc>
        <w:tc>
          <w:tcPr>
            <w:tcW w:w="992" w:type="dxa"/>
            <w:tcBorders>
              <w:top w:val="single" w:sz="6" w:space="0" w:color="auto"/>
              <w:left w:val="single" w:sz="6" w:space="0" w:color="auto"/>
              <w:bottom w:val="single" w:sz="6" w:space="0" w:color="auto"/>
              <w:right w:val="single" w:sz="6" w:space="0" w:color="auto"/>
            </w:tcBorders>
          </w:tcPr>
          <w:p w14:paraId="6EF84009" w14:textId="77777777" w:rsidR="002E0EA4" w:rsidRPr="00B44354" w:rsidRDefault="002E0EA4">
            <w:pPr>
              <w:pStyle w:val="Default"/>
              <w:rPr>
                <w:color w:val="auto"/>
              </w:rPr>
            </w:pPr>
            <w:r w:rsidRPr="00B44354">
              <w:rPr>
                <w:color w:val="auto"/>
              </w:rPr>
              <w:t xml:space="preserve">23 </w:t>
            </w:r>
          </w:p>
        </w:tc>
        <w:tc>
          <w:tcPr>
            <w:tcW w:w="992" w:type="dxa"/>
            <w:tcBorders>
              <w:top w:val="single" w:sz="6" w:space="0" w:color="auto"/>
              <w:left w:val="single" w:sz="6" w:space="0" w:color="auto"/>
              <w:bottom w:val="single" w:sz="6" w:space="0" w:color="auto"/>
              <w:right w:val="single" w:sz="6" w:space="0" w:color="auto"/>
            </w:tcBorders>
          </w:tcPr>
          <w:p w14:paraId="44BD7E33" w14:textId="77777777" w:rsidR="002E0EA4" w:rsidRPr="00B44354" w:rsidRDefault="002E0EA4">
            <w:pPr>
              <w:pStyle w:val="Default"/>
              <w:rPr>
                <w:color w:val="auto"/>
              </w:rPr>
            </w:pPr>
            <w:r w:rsidRPr="00B44354">
              <w:rPr>
                <w:color w:val="auto"/>
              </w:rPr>
              <w:t xml:space="preserve">5 </w:t>
            </w:r>
          </w:p>
        </w:tc>
        <w:tc>
          <w:tcPr>
            <w:tcW w:w="1025" w:type="dxa"/>
            <w:tcBorders>
              <w:top w:val="single" w:sz="6" w:space="0" w:color="auto"/>
              <w:left w:val="single" w:sz="6" w:space="0" w:color="auto"/>
              <w:bottom w:val="single" w:sz="6" w:space="0" w:color="auto"/>
              <w:right w:val="single" w:sz="4" w:space="0" w:color="auto"/>
            </w:tcBorders>
          </w:tcPr>
          <w:p w14:paraId="349F37C8" w14:textId="77777777" w:rsidR="002E0EA4" w:rsidRPr="00B44354" w:rsidRDefault="002E0EA4">
            <w:pPr>
              <w:pStyle w:val="Default"/>
              <w:rPr>
                <w:color w:val="auto"/>
              </w:rPr>
            </w:pPr>
            <w:r w:rsidRPr="00B44354">
              <w:rPr>
                <w:color w:val="auto"/>
              </w:rPr>
              <w:t xml:space="preserve">2 </w:t>
            </w:r>
          </w:p>
        </w:tc>
      </w:tr>
    </w:tbl>
    <w:p w14:paraId="3647230C" w14:textId="77777777" w:rsidR="002E0EA4" w:rsidRPr="00B44354" w:rsidRDefault="00B10089" w:rsidP="002E0EA4">
      <w:pPr>
        <w:pStyle w:val="Default"/>
        <w:rPr>
          <w:color w:val="auto"/>
        </w:rPr>
      </w:pPr>
      <w:r w:rsidRPr="00B44354">
        <w:rPr>
          <w:color w:val="auto"/>
        </w:rPr>
        <w:t>*</w:t>
      </w:r>
      <w:proofErr w:type="gramStart"/>
      <w:r w:rsidRPr="00B44354">
        <w:rPr>
          <w:color w:val="auto"/>
        </w:rPr>
        <w:t>includes</w:t>
      </w:r>
      <w:proofErr w:type="gramEnd"/>
      <w:r w:rsidRPr="00B44354">
        <w:rPr>
          <w:color w:val="auto"/>
        </w:rPr>
        <w:t xml:space="preserve"> six transferees</w:t>
      </w:r>
    </w:p>
    <w:p w14:paraId="62185F5F" w14:textId="77777777" w:rsidR="00B10089" w:rsidRPr="00B44354" w:rsidRDefault="00B10089" w:rsidP="002E0EA4">
      <w:pPr>
        <w:pStyle w:val="Default"/>
        <w:rPr>
          <w:color w:val="auto"/>
        </w:rPr>
      </w:pPr>
    </w:p>
    <w:p w14:paraId="5C0F9B73" w14:textId="7D2B201A" w:rsidR="002E0EA4" w:rsidRPr="00B44354" w:rsidRDefault="001F39AB" w:rsidP="002E0EA4">
      <w:pPr>
        <w:pStyle w:val="Default"/>
        <w:rPr>
          <w:color w:val="auto"/>
        </w:rPr>
      </w:pPr>
      <w:r>
        <w:rPr>
          <w:color w:val="auto"/>
        </w:rPr>
        <w:t>T</w:t>
      </w:r>
      <w:r w:rsidR="002E0EA4" w:rsidRPr="00B44354">
        <w:rPr>
          <w:color w:val="auto"/>
        </w:rPr>
        <w:t xml:space="preserve">he success rate for </w:t>
      </w:r>
      <w:r>
        <w:rPr>
          <w:color w:val="auto"/>
        </w:rPr>
        <w:t>BAME applicants</w:t>
      </w:r>
      <w:r w:rsidR="002E0EA4" w:rsidRPr="00B44354">
        <w:rPr>
          <w:color w:val="auto"/>
        </w:rPr>
        <w:t xml:space="preserve"> was generally</w:t>
      </w:r>
      <w:r>
        <w:rPr>
          <w:color w:val="auto"/>
        </w:rPr>
        <w:t xml:space="preserve"> fairly</w:t>
      </w:r>
      <w:r w:rsidR="002E0EA4" w:rsidRPr="00B44354">
        <w:rPr>
          <w:color w:val="auto"/>
        </w:rPr>
        <w:t xml:space="preserve"> level throughout the process</w:t>
      </w:r>
      <w:r>
        <w:rPr>
          <w:color w:val="auto"/>
        </w:rPr>
        <w:t>, with 15% at application stage and 14% successful at appointment stage which is slightly above the last census figure of the BAME population being 12% in Nottingham and Nottinghamshire.</w:t>
      </w:r>
    </w:p>
    <w:p w14:paraId="5DCB5FBF" w14:textId="77777777" w:rsidR="002E0EA4" w:rsidRPr="00B44354" w:rsidRDefault="002E0EA4" w:rsidP="002E0EA4">
      <w:pPr>
        <w:pStyle w:val="Default"/>
        <w:rPr>
          <w:color w:val="auto"/>
        </w:rPr>
      </w:pPr>
    </w:p>
    <w:p w14:paraId="5E24FB7A" w14:textId="77777777" w:rsidR="002E0EA4" w:rsidRPr="00B44354" w:rsidRDefault="002E0EA4" w:rsidP="002E0EA4">
      <w:pPr>
        <w:pStyle w:val="Default"/>
        <w:rPr>
          <w:color w:val="auto"/>
        </w:rPr>
      </w:pPr>
      <w:r w:rsidRPr="00B44354">
        <w:rPr>
          <w:color w:val="auto"/>
        </w:rPr>
        <w:t xml:space="preserve">Women made up 12% of applicants and 17% were successful at interview, demonstrating high performance through the process. </w:t>
      </w:r>
    </w:p>
    <w:p w14:paraId="4BD05009" w14:textId="77777777" w:rsidR="002E0EA4" w:rsidRPr="00B44354" w:rsidRDefault="002E0EA4" w:rsidP="002E0EA4">
      <w:pPr>
        <w:pStyle w:val="Default"/>
        <w:rPr>
          <w:color w:val="auto"/>
        </w:rPr>
      </w:pPr>
    </w:p>
    <w:p w14:paraId="119B4582" w14:textId="77777777" w:rsidR="002E0EA4" w:rsidRPr="00B44354" w:rsidRDefault="002E0EA4" w:rsidP="002E0EA4">
      <w:pPr>
        <w:pStyle w:val="Default"/>
        <w:rPr>
          <w:color w:val="auto"/>
        </w:rPr>
      </w:pPr>
      <w:r w:rsidRPr="00B44354">
        <w:rPr>
          <w:color w:val="auto"/>
        </w:rPr>
        <w:t>Whilst lesbian, gay, bi-</w:t>
      </w:r>
      <w:proofErr w:type="gramStart"/>
      <w:r w:rsidRPr="00B44354">
        <w:rPr>
          <w:color w:val="auto"/>
        </w:rPr>
        <w:t>sexual</w:t>
      </w:r>
      <w:proofErr w:type="gramEnd"/>
      <w:r w:rsidRPr="00B44354">
        <w:rPr>
          <w:color w:val="auto"/>
        </w:rPr>
        <w:t xml:space="preserve"> and trans-gender (LGBT) candidates represented 8% of all applicants, the success rate of those identifying as LGBT was 17.9%. This is far better than previous campaigns and may indicate that LGBT applicants consider the service to be a supportive employer. </w:t>
      </w:r>
    </w:p>
    <w:p w14:paraId="0CC656B5" w14:textId="77777777" w:rsidR="002E0EA4" w:rsidRPr="00B44354" w:rsidRDefault="002E0EA4" w:rsidP="002E0EA4">
      <w:pPr>
        <w:pStyle w:val="Default"/>
        <w:rPr>
          <w:color w:val="auto"/>
        </w:rPr>
      </w:pPr>
    </w:p>
    <w:p w14:paraId="2FF9265C" w14:textId="77777777" w:rsidR="002E0EA4" w:rsidRPr="00B44354" w:rsidRDefault="002E0EA4" w:rsidP="002E0EA4">
      <w:pPr>
        <w:pStyle w:val="Default"/>
        <w:rPr>
          <w:color w:val="auto"/>
        </w:rPr>
      </w:pPr>
      <w:r w:rsidRPr="00B44354">
        <w:rPr>
          <w:color w:val="auto"/>
        </w:rPr>
        <w:t xml:space="preserve">Of those applicants who declared a disability, 7% were successful at interview compared to 4% of all applicants. It should be noted that the physical requirements of the job are not conducive to making reasonable adjustments for disabled applicants, as would normally be the case for non-operational roles. </w:t>
      </w:r>
    </w:p>
    <w:p w14:paraId="044171A4" w14:textId="77777777" w:rsidR="002E0EA4" w:rsidRPr="00B44354" w:rsidRDefault="002E0EA4" w:rsidP="002E0EA4">
      <w:pPr>
        <w:pStyle w:val="Default"/>
        <w:rPr>
          <w:color w:val="auto"/>
        </w:rPr>
      </w:pPr>
    </w:p>
    <w:p w14:paraId="04BE6FB4" w14:textId="633858A1" w:rsidR="00A37A7F" w:rsidRDefault="00A37A7F" w:rsidP="00044118">
      <w:pPr>
        <w:rPr>
          <w:rFonts w:eastAsia="Calibri"/>
          <w:b/>
          <w:sz w:val="24"/>
          <w:szCs w:val="24"/>
        </w:rPr>
      </w:pPr>
    </w:p>
    <w:p w14:paraId="1AA75AED" w14:textId="18CFFC59" w:rsidR="00044118" w:rsidRPr="00B44354" w:rsidRDefault="00A37A7F" w:rsidP="00044118">
      <w:pPr>
        <w:rPr>
          <w:rFonts w:eastAsia="Calibri"/>
          <w:b/>
          <w:sz w:val="24"/>
          <w:szCs w:val="24"/>
        </w:rPr>
      </w:pPr>
      <w:r>
        <w:rPr>
          <w:rFonts w:eastAsia="Calibri"/>
          <w:b/>
          <w:sz w:val="24"/>
          <w:szCs w:val="24"/>
        </w:rPr>
        <w:t>C</w:t>
      </w:r>
      <w:r w:rsidR="00044118" w:rsidRPr="00B44354">
        <w:rPr>
          <w:rFonts w:eastAsia="Calibri"/>
          <w:b/>
          <w:sz w:val="24"/>
          <w:szCs w:val="24"/>
        </w:rPr>
        <w:t>onclusion</w:t>
      </w:r>
    </w:p>
    <w:p w14:paraId="2157F052" w14:textId="77777777" w:rsidR="00044118" w:rsidRPr="00B44354" w:rsidRDefault="00044118" w:rsidP="00044118">
      <w:pPr>
        <w:rPr>
          <w:rFonts w:eastAsia="Calibri"/>
          <w:sz w:val="24"/>
          <w:szCs w:val="24"/>
        </w:rPr>
      </w:pPr>
    </w:p>
    <w:p w14:paraId="45AB326F" w14:textId="03ACFDF2" w:rsidR="00CE5F41" w:rsidRDefault="00044118" w:rsidP="00044118">
      <w:pPr>
        <w:rPr>
          <w:sz w:val="24"/>
          <w:szCs w:val="24"/>
        </w:rPr>
      </w:pPr>
      <w:r w:rsidRPr="00B44354">
        <w:rPr>
          <w:rFonts w:eastAsia="Calibri"/>
          <w:sz w:val="24"/>
          <w:szCs w:val="24"/>
        </w:rPr>
        <w:t>In</w:t>
      </w:r>
      <w:r w:rsidR="006F4CF0" w:rsidRPr="00B44354">
        <w:rPr>
          <w:rFonts w:eastAsia="Calibri"/>
          <w:sz w:val="24"/>
          <w:szCs w:val="24"/>
        </w:rPr>
        <w:t xml:space="preserve"> conclusion</w:t>
      </w:r>
      <w:r w:rsidRPr="00B44354">
        <w:rPr>
          <w:rFonts w:eastAsia="Calibri"/>
          <w:sz w:val="24"/>
          <w:szCs w:val="24"/>
        </w:rPr>
        <w:t>, this recruitment process and the associated positive action work in adv</w:t>
      </w:r>
      <w:r w:rsidR="0031049D" w:rsidRPr="00B44354">
        <w:rPr>
          <w:rFonts w:eastAsia="Calibri"/>
          <w:sz w:val="24"/>
          <w:szCs w:val="24"/>
        </w:rPr>
        <w:t>ance have been very successful</w:t>
      </w:r>
      <w:r w:rsidR="006F4CF0" w:rsidRPr="00B44354">
        <w:rPr>
          <w:rFonts w:eastAsia="Calibri"/>
          <w:sz w:val="24"/>
          <w:szCs w:val="24"/>
        </w:rPr>
        <w:t xml:space="preserve"> given the barriers presented by Covid-19 restrictions</w:t>
      </w:r>
      <w:r w:rsidR="0031049D" w:rsidRPr="00B44354">
        <w:rPr>
          <w:rFonts w:eastAsia="Calibri"/>
          <w:sz w:val="24"/>
          <w:szCs w:val="24"/>
        </w:rPr>
        <w:t xml:space="preserve">.  </w:t>
      </w:r>
      <w:r w:rsidR="006F4CF0" w:rsidRPr="00B44354">
        <w:rPr>
          <w:rFonts w:eastAsia="Calibri"/>
          <w:sz w:val="24"/>
          <w:szCs w:val="24"/>
        </w:rPr>
        <w:t>P</w:t>
      </w:r>
      <w:r w:rsidR="0031049D" w:rsidRPr="00B44354">
        <w:rPr>
          <w:rFonts w:eastAsia="Calibri"/>
          <w:sz w:val="24"/>
          <w:szCs w:val="24"/>
        </w:rPr>
        <w:t xml:space="preserve">ositive action activity has been delivered very differently compared to previous recruitment campaigns.  </w:t>
      </w:r>
      <w:r w:rsidR="00B10089" w:rsidRPr="00B44354">
        <w:rPr>
          <w:sz w:val="24"/>
          <w:szCs w:val="24"/>
        </w:rPr>
        <w:t>Attraction rates of women, LGBT applicants and people from BAME backgrounds to firefighting roles need</w:t>
      </w:r>
      <w:r w:rsidR="00B44354" w:rsidRPr="00B44354">
        <w:rPr>
          <w:sz w:val="24"/>
          <w:szCs w:val="24"/>
        </w:rPr>
        <w:t>s</w:t>
      </w:r>
      <w:r w:rsidR="00B10089" w:rsidRPr="00B44354">
        <w:rPr>
          <w:sz w:val="24"/>
          <w:szCs w:val="24"/>
        </w:rPr>
        <w:t xml:space="preserve"> to </w:t>
      </w:r>
      <w:r w:rsidR="00B44354" w:rsidRPr="00B44354">
        <w:rPr>
          <w:sz w:val="24"/>
          <w:szCs w:val="24"/>
        </w:rPr>
        <w:t xml:space="preserve">continue to </w:t>
      </w:r>
      <w:r w:rsidR="00B10089" w:rsidRPr="00B44354">
        <w:rPr>
          <w:sz w:val="24"/>
          <w:szCs w:val="24"/>
        </w:rPr>
        <w:t xml:space="preserve">improve further </w:t>
      </w:r>
      <w:proofErr w:type="gramStart"/>
      <w:r w:rsidR="00B10089" w:rsidRPr="00B44354">
        <w:rPr>
          <w:sz w:val="24"/>
          <w:szCs w:val="24"/>
        </w:rPr>
        <w:t>in order to</w:t>
      </w:r>
      <w:proofErr w:type="gramEnd"/>
      <w:r w:rsidR="00B10089" w:rsidRPr="00B44354">
        <w:rPr>
          <w:sz w:val="24"/>
          <w:szCs w:val="24"/>
        </w:rPr>
        <w:t xml:space="preserve"> make a marked difference to the make-up of the workforce in the </w:t>
      </w:r>
      <w:r w:rsidR="00B10089" w:rsidRPr="00B44354">
        <w:rPr>
          <w:sz w:val="24"/>
          <w:szCs w:val="24"/>
        </w:rPr>
        <w:lastRenderedPageBreak/>
        <w:t xml:space="preserve">future. </w:t>
      </w:r>
      <w:r w:rsidR="00B44354" w:rsidRPr="00B44354">
        <w:rPr>
          <w:sz w:val="24"/>
          <w:szCs w:val="24"/>
        </w:rPr>
        <w:t xml:space="preserve">The awareness, mentoring and fitness sessions have been an instrumental part of the positive action campaign. </w:t>
      </w:r>
    </w:p>
    <w:p w14:paraId="53BAB273" w14:textId="77777777" w:rsidR="00CE5F41" w:rsidRDefault="00CE5F41" w:rsidP="00044118">
      <w:pPr>
        <w:rPr>
          <w:sz w:val="24"/>
          <w:szCs w:val="24"/>
        </w:rPr>
      </w:pPr>
    </w:p>
    <w:p w14:paraId="3C5CD5B9" w14:textId="77777777" w:rsidR="00044118" w:rsidRPr="00B44354" w:rsidRDefault="00B44354" w:rsidP="00044118">
      <w:pPr>
        <w:rPr>
          <w:rFonts w:eastAsia="Calibri"/>
          <w:sz w:val="24"/>
          <w:szCs w:val="24"/>
        </w:rPr>
      </w:pPr>
      <w:r w:rsidRPr="00B44354">
        <w:rPr>
          <w:sz w:val="24"/>
          <w:szCs w:val="24"/>
        </w:rPr>
        <w:t>The Service is very much aware of the value of retention and an</w:t>
      </w:r>
      <w:r w:rsidR="00044118" w:rsidRPr="00B44354">
        <w:rPr>
          <w:rFonts w:eastAsia="Calibri"/>
          <w:sz w:val="24"/>
          <w:szCs w:val="24"/>
        </w:rPr>
        <w:t xml:space="preserve"> induction process for the new </w:t>
      </w:r>
      <w:r w:rsidR="0090072A" w:rsidRPr="00B44354">
        <w:rPr>
          <w:rFonts w:eastAsia="Calibri"/>
          <w:sz w:val="24"/>
          <w:szCs w:val="24"/>
        </w:rPr>
        <w:t>employees will be used, this will include</w:t>
      </w:r>
      <w:r w:rsidR="00044118" w:rsidRPr="00B44354">
        <w:rPr>
          <w:rFonts w:eastAsia="Calibri"/>
          <w:sz w:val="24"/>
          <w:szCs w:val="24"/>
        </w:rPr>
        <w:t xml:space="preserve"> ‘Off-Station Support’ in the form of a buddy or mentor who will help the individual with any ‘cultural’/welfare issues which they may come across as they settle </w:t>
      </w:r>
      <w:proofErr w:type="gramStart"/>
      <w:r w:rsidR="00044118" w:rsidRPr="00B44354">
        <w:rPr>
          <w:rFonts w:eastAsia="Calibri"/>
          <w:sz w:val="24"/>
          <w:szCs w:val="24"/>
        </w:rPr>
        <w:t>in to</w:t>
      </w:r>
      <w:proofErr w:type="gramEnd"/>
      <w:r w:rsidR="00044118" w:rsidRPr="00B44354">
        <w:rPr>
          <w:rFonts w:eastAsia="Calibri"/>
          <w:sz w:val="24"/>
          <w:szCs w:val="24"/>
        </w:rPr>
        <w:t xml:space="preserve"> the organisation. </w:t>
      </w:r>
      <w:r w:rsidRPr="00B44354">
        <w:rPr>
          <w:rFonts w:eastAsia="Calibri"/>
          <w:sz w:val="24"/>
          <w:szCs w:val="24"/>
        </w:rPr>
        <w:t xml:space="preserve">Some lessons can be learnt from this campaign to shape future work within this area, these are detailed below.  </w:t>
      </w:r>
    </w:p>
    <w:p w14:paraId="507FDBEB" w14:textId="77777777" w:rsidR="00044118" w:rsidRPr="00B44354" w:rsidRDefault="00044118" w:rsidP="00044118">
      <w:pPr>
        <w:rPr>
          <w:rFonts w:eastAsia="Calibri"/>
          <w:sz w:val="24"/>
          <w:szCs w:val="24"/>
        </w:rPr>
      </w:pPr>
    </w:p>
    <w:p w14:paraId="5424ABAC" w14:textId="77777777" w:rsidR="00044118" w:rsidRPr="00B44354" w:rsidRDefault="00044118" w:rsidP="00044118">
      <w:pPr>
        <w:rPr>
          <w:rFonts w:eastAsia="Calibri"/>
          <w:b/>
          <w:sz w:val="24"/>
          <w:szCs w:val="24"/>
        </w:rPr>
      </w:pPr>
      <w:r w:rsidRPr="00B44354">
        <w:rPr>
          <w:rFonts w:eastAsia="Calibri"/>
          <w:b/>
          <w:sz w:val="24"/>
          <w:szCs w:val="24"/>
        </w:rPr>
        <w:t>Lessons Learnt</w:t>
      </w:r>
    </w:p>
    <w:p w14:paraId="1DDAD581" w14:textId="77777777" w:rsidR="004916C2" w:rsidRPr="00B44354" w:rsidRDefault="004916C2" w:rsidP="00044118">
      <w:pPr>
        <w:rPr>
          <w:rFonts w:eastAsia="Calibri"/>
          <w:b/>
          <w:sz w:val="24"/>
          <w:szCs w:val="24"/>
        </w:rPr>
      </w:pPr>
    </w:p>
    <w:p w14:paraId="6F3D7E8B" w14:textId="77777777" w:rsidR="0090072A" w:rsidRPr="00B44354" w:rsidRDefault="0090072A" w:rsidP="00585AEE">
      <w:pPr>
        <w:pStyle w:val="ListParagraph"/>
        <w:numPr>
          <w:ilvl w:val="0"/>
          <w:numId w:val="25"/>
        </w:numPr>
        <w:rPr>
          <w:rFonts w:eastAsia="Calibri"/>
          <w:b/>
          <w:sz w:val="24"/>
          <w:szCs w:val="24"/>
        </w:rPr>
      </w:pPr>
      <w:r w:rsidRPr="00B44354">
        <w:rPr>
          <w:rFonts w:eastAsia="Calibri"/>
          <w:sz w:val="24"/>
          <w:szCs w:val="24"/>
        </w:rPr>
        <w:t>Us</w:t>
      </w:r>
      <w:r w:rsidR="00905390" w:rsidRPr="00B44354">
        <w:rPr>
          <w:rFonts w:eastAsia="Calibri"/>
          <w:sz w:val="24"/>
          <w:szCs w:val="24"/>
        </w:rPr>
        <w:t xml:space="preserve">e of social media advertising aimed at the Service’s target groups for its positive action events </w:t>
      </w:r>
      <w:r w:rsidRPr="00B44354">
        <w:rPr>
          <w:rFonts w:eastAsia="Calibri"/>
          <w:sz w:val="24"/>
          <w:szCs w:val="24"/>
        </w:rPr>
        <w:t>proved to be a</w:t>
      </w:r>
      <w:r w:rsidR="00905390" w:rsidRPr="00B44354">
        <w:rPr>
          <w:rFonts w:eastAsia="Calibri"/>
          <w:sz w:val="24"/>
          <w:szCs w:val="24"/>
        </w:rPr>
        <w:t>n</w:t>
      </w:r>
      <w:r w:rsidRPr="00B44354">
        <w:rPr>
          <w:rFonts w:eastAsia="Calibri"/>
          <w:sz w:val="24"/>
          <w:szCs w:val="24"/>
        </w:rPr>
        <w:t xml:space="preserve"> effective means of </w:t>
      </w:r>
      <w:r w:rsidR="00905390" w:rsidRPr="00B44354">
        <w:rPr>
          <w:rFonts w:eastAsia="Calibri"/>
          <w:sz w:val="24"/>
          <w:szCs w:val="24"/>
        </w:rPr>
        <w:t>attracting interest</w:t>
      </w:r>
      <w:r w:rsidR="00B10089" w:rsidRPr="00B44354">
        <w:rPr>
          <w:rFonts w:eastAsia="Calibri"/>
          <w:sz w:val="24"/>
          <w:szCs w:val="24"/>
        </w:rPr>
        <w:t>.</w:t>
      </w:r>
    </w:p>
    <w:p w14:paraId="252C7BAE" w14:textId="77777777" w:rsidR="00B10089" w:rsidRPr="00B44354" w:rsidRDefault="00B10089" w:rsidP="00B10089">
      <w:pPr>
        <w:pStyle w:val="ListParagraph"/>
        <w:rPr>
          <w:rFonts w:eastAsia="Calibri"/>
          <w:b/>
          <w:sz w:val="24"/>
          <w:szCs w:val="24"/>
        </w:rPr>
      </w:pPr>
    </w:p>
    <w:p w14:paraId="36918C51" w14:textId="77777777" w:rsidR="009E7822" w:rsidRPr="00B44354" w:rsidRDefault="00BC510A" w:rsidP="009C4D99">
      <w:pPr>
        <w:pStyle w:val="ListParagraph"/>
        <w:numPr>
          <w:ilvl w:val="0"/>
          <w:numId w:val="25"/>
        </w:numPr>
        <w:rPr>
          <w:rFonts w:eastAsia="Calibri"/>
          <w:sz w:val="24"/>
          <w:szCs w:val="24"/>
        </w:rPr>
      </w:pPr>
      <w:r w:rsidRPr="00B44354">
        <w:rPr>
          <w:rFonts w:eastAsia="Calibri"/>
          <w:sz w:val="24"/>
          <w:szCs w:val="24"/>
        </w:rPr>
        <w:t xml:space="preserve">Radio advertising, using role models from the Service was a useful tool to attract interest and raise awareness, however a </w:t>
      </w:r>
      <w:proofErr w:type="gramStart"/>
      <w:r w:rsidRPr="00B44354">
        <w:rPr>
          <w:rFonts w:eastAsia="Calibri"/>
          <w:sz w:val="24"/>
          <w:szCs w:val="24"/>
        </w:rPr>
        <w:t>longer term</w:t>
      </w:r>
      <w:proofErr w:type="gramEnd"/>
      <w:r w:rsidRPr="00B44354">
        <w:rPr>
          <w:rFonts w:eastAsia="Calibri"/>
          <w:sz w:val="24"/>
          <w:szCs w:val="24"/>
        </w:rPr>
        <w:t xml:space="preserve"> presence on local radio targeted at BAME communities would help with awareness of what the Service does.  </w:t>
      </w:r>
    </w:p>
    <w:p w14:paraId="08C0CB8E" w14:textId="77777777" w:rsidR="00B10089" w:rsidRPr="00B44354" w:rsidRDefault="00B10089" w:rsidP="00B10089">
      <w:pPr>
        <w:rPr>
          <w:rFonts w:eastAsia="Calibri"/>
          <w:sz w:val="24"/>
          <w:szCs w:val="24"/>
        </w:rPr>
      </w:pPr>
    </w:p>
    <w:p w14:paraId="674DCF0A" w14:textId="77777777" w:rsidR="00BC510A" w:rsidRPr="00B44354" w:rsidRDefault="009E7822" w:rsidP="00875D1A">
      <w:pPr>
        <w:pStyle w:val="ListParagraph"/>
        <w:numPr>
          <w:ilvl w:val="0"/>
          <w:numId w:val="25"/>
        </w:numPr>
        <w:rPr>
          <w:rFonts w:eastAsia="Calibri"/>
          <w:sz w:val="24"/>
          <w:szCs w:val="24"/>
        </w:rPr>
      </w:pPr>
      <w:r w:rsidRPr="00B44354">
        <w:rPr>
          <w:rFonts w:eastAsia="Calibri"/>
          <w:sz w:val="24"/>
          <w:szCs w:val="24"/>
        </w:rPr>
        <w:t>A</w:t>
      </w:r>
      <w:r w:rsidR="002C12F9" w:rsidRPr="00B44354">
        <w:rPr>
          <w:rFonts w:eastAsia="Calibri"/>
          <w:sz w:val="24"/>
          <w:szCs w:val="24"/>
        </w:rPr>
        <w:t xml:space="preserve">n ongoing relationship with BAME communities needs to be developed and maintained </w:t>
      </w:r>
      <w:proofErr w:type="gramStart"/>
      <w:r w:rsidR="002C12F9" w:rsidRPr="00B44354">
        <w:rPr>
          <w:rFonts w:eastAsia="Calibri"/>
          <w:sz w:val="24"/>
          <w:szCs w:val="24"/>
        </w:rPr>
        <w:t>in order to</w:t>
      </w:r>
      <w:proofErr w:type="gramEnd"/>
      <w:r w:rsidR="002C12F9" w:rsidRPr="00B44354">
        <w:rPr>
          <w:rFonts w:eastAsia="Calibri"/>
          <w:sz w:val="24"/>
          <w:szCs w:val="24"/>
        </w:rPr>
        <w:t xml:space="preserve"> build trust in the organisation as an employer of choice. The Service’s Community Engagement Plan needs to be implemented over the next 18 months </w:t>
      </w:r>
      <w:proofErr w:type="gramStart"/>
      <w:r w:rsidR="002C12F9" w:rsidRPr="00B44354">
        <w:rPr>
          <w:rFonts w:eastAsia="Calibri"/>
          <w:sz w:val="24"/>
          <w:szCs w:val="24"/>
        </w:rPr>
        <w:t>in order to</w:t>
      </w:r>
      <w:proofErr w:type="gramEnd"/>
      <w:r w:rsidR="002C12F9" w:rsidRPr="00B44354">
        <w:rPr>
          <w:rFonts w:eastAsia="Calibri"/>
          <w:sz w:val="24"/>
          <w:szCs w:val="24"/>
        </w:rPr>
        <w:t xml:space="preserve"> assist with this. </w:t>
      </w:r>
    </w:p>
    <w:p w14:paraId="2F0CA546" w14:textId="77777777" w:rsidR="00B10089" w:rsidRPr="00B44354" w:rsidRDefault="00B10089" w:rsidP="00B10089">
      <w:pPr>
        <w:rPr>
          <w:rFonts w:eastAsia="Calibri"/>
          <w:sz w:val="24"/>
          <w:szCs w:val="24"/>
        </w:rPr>
      </w:pPr>
    </w:p>
    <w:p w14:paraId="132D44D3" w14:textId="77777777" w:rsidR="00F073CF" w:rsidRPr="00B44354" w:rsidRDefault="00BC510A" w:rsidP="001F2DA7">
      <w:pPr>
        <w:pStyle w:val="ListParagraph"/>
        <w:numPr>
          <w:ilvl w:val="0"/>
          <w:numId w:val="25"/>
        </w:numPr>
        <w:rPr>
          <w:rFonts w:eastAsia="Calibri"/>
          <w:b/>
          <w:sz w:val="24"/>
          <w:szCs w:val="24"/>
        </w:rPr>
      </w:pPr>
      <w:r w:rsidRPr="00B44354">
        <w:rPr>
          <w:rFonts w:eastAsia="Calibri"/>
          <w:sz w:val="24"/>
          <w:szCs w:val="24"/>
        </w:rPr>
        <w:t>The positive action work the Service undertook was communicated</w:t>
      </w:r>
      <w:r w:rsidR="00B10089" w:rsidRPr="00B44354">
        <w:rPr>
          <w:rFonts w:eastAsia="Calibri"/>
          <w:sz w:val="24"/>
          <w:szCs w:val="24"/>
        </w:rPr>
        <w:t xml:space="preserve"> internally, in addition the work undertaken to raise awareness of what positive action is, has been useful in dispelling myths.  </w:t>
      </w:r>
    </w:p>
    <w:sectPr w:rsidR="00F073CF" w:rsidRPr="00B44354" w:rsidSect="00053058">
      <w:pgSz w:w="11906" w:h="16838"/>
      <w:pgMar w:top="1134" w:right="1418" w:bottom="1418" w:left="153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14632" w14:textId="77777777" w:rsidR="00592085" w:rsidRDefault="00592085">
      <w:r>
        <w:separator/>
      </w:r>
    </w:p>
  </w:endnote>
  <w:endnote w:type="continuationSeparator" w:id="0">
    <w:p w14:paraId="3CF53D1D" w14:textId="77777777" w:rsidR="00592085" w:rsidRDefault="00592085">
      <w:r>
        <w:continuationSeparator/>
      </w:r>
    </w:p>
  </w:endnote>
  <w:endnote w:type="continuationNotice" w:id="1">
    <w:p w14:paraId="68EC7F9C" w14:textId="77777777" w:rsidR="00592085" w:rsidRDefault="00592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A4E3E" w14:textId="77777777" w:rsidR="00592085" w:rsidRDefault="00592085">
      <w:r>
        <w:separator/>
      </w:r>
    </w:p>
  </w:footnote>
  <w:footnote w:type="continuationSeparator" w:id="0">
    <w:p w14:paraId="41683396" w14:textId="77777777" w:rsidR="00592085" w:rsidRDefault="00592085">
      <w:r>
        <w:continuationSeparator/>
      </w:r>
    </w:p>
  </w:footnote>
  <w:footnote w:type="continuationNotice" w:id="1">
    <w:p w14:paraId="0B6AF738" w14:textId="77777777" w:rsidR="00592085" w:rsidRDefault="005920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978"/>
    <w:multiLevelType w:val="hybridMultilevel"/>
    <w:tmpl w:val="E826BE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E23F6F"/>
    <w:multiLevelType w:val="multilevel"/>
    <w:tmpl w:val="A53EB0C0"/>
    <w:lvl w:ilvl="0">
      <w:start w:val="3"/>
      <w:numFmt w:val="decimal"/>
      <w:lvlText w:val="%1"/>
      <w:lvlJc w:val="left"/>
      <w:pPr>
        <w:tabs>
          <w:tab w:val="num" w:pos="720"/>
        </w:tabs>
        <w:ind w:left="720" w:hanging="720"/>
      </w:pPr>
      <w:rPr>
        <w:rFonts w:hint="default"/>
        <w:i w:val="0"/>
      </w:rPr>
    </w:lvl>
    <w:lvl w:ilvl="1">
      <w:start w:val="2"/>
      <w:numFmt w:val="decimal"/>
      <w:lvlText w:val="%1.%2"/>
      <w:lvlJc w:val="left"/>
      <w:pPr>
        <w:tabs>
          <w:tab w:val="num" w:pos="1080"/>
        </w:tabs>
        <w:ind w:left="1080" w:hanging="720"/>
      </w:pPr>
      <w:rPr>
        <w:rFonts w:hint="default"/>
        <w:i w:val="0"/>
      </w:rPr>
    </w:lvl>
    <w:lvl w:ilvl="2">
      <w:start w:val="1"/>
      <w:numFmt w:val="decimal"/>
      <w:lvlText w:val="%1.%2.%3"/>
      <w:lvlJc w:val="left"/>
      <w:pPr>
        <w:tabs>
          <w:tab w:val="num" w:pos="1440"/>
        </w:tabs>
        <w:ind w:left="1440" w:hanging="720"/>
      </w:pPr>
      <w:rPr>
        <w:rFonts w:hint="default"/>
        <w:i w:val="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520"/>
        </w:tabs>
        <w:ind w:left="2520" w:hanging="108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600"/>
        </w:tabs>
        <w:ind w:left="3600" w:hanging="1440"/>
      </w:pPr>
      <w:rPr>
        <w:rFonts w:hint="default"/>
        <w:i w:val="0"/>
      </w:rPr>
    </w:lvl>
    <w:lvl w:ilvl="7">
      <w:start w:val="1"/>
      <w:numFmt w:val="decimal"/>
      <w:lvlText w:val="%1.%2.%3.%4.%5.%6.%7.%8"/>
      <w:lvlJc w:val="left"/>
      <w:pPr>
        <w:tabs>
          <w:tab w:val="num" w:pos="3960"/>
        </w:tabs>
        <w:ind w:left="3960" w:hanging="1440"/>
      </w:pPr>
      <w:rPr>
        <w:rFonts w:hint="default"/>
        <w:i w:val="0"/>
      </w:rPr>
    </w:lvl>
    <w:lvl w:ilvl="8">
      <w:start w:val="1"/>
      <w:numFmt w:val="decimal"/>
      <w:lvlText w:val="%1.%2.%3.%4.%5.%6.%7.%8.%9"/>
      <w:lvlJc w:val="left"/>
      <w:pPr>
        <w:tabs>
          <w:tab w:val="num" w:pos="4680"/>
        </w:tabs>
        <w:ind w:left="4680" w:hanging="1800"/>
      </w:pPr>
      <w:rPr>
        <w:rFonts w:hint="default"/>
        <w:i w:val="0"/>
      </w:rPr>
    </w:lvl>
  </w:abstractNum>
  <w:abstractNum w:abstractNumId="2" w15:restartNumberingAfterBreak="0">
    <w:nsid w:val="05C3428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8E561F9"/>
    <w:multiLevelType w:val="singleLevel"/>
    <w:tmpl w:val="2672619C"/>
    <w:lvl w:ilvl="0">
      <w:start w:val="6"/>
      <w:numFmt w:val="decimal"/>
      <w:lvlText w:val="%1."/>
      <w:lvlJc w:val="left"/>
      <w:pPr>
        <w:tabs>
          <w:tab w:val="num" w:pos="360"/>
        </w:tabs>
        <w:ind w:left="360" w:hanging="360"/>
      </w:pPr>
    </w:lvl>
  </w:abstractNum>
  <w:abstractNum w:abstractNumId="4" w15:restartNumberingAfterBreak="0">
    <w:nsid w:val="11047AFD"/>
    <w:multiLevelType w:val="hybridMultilevel"/>
    <w:tmpl w:val="6A4A32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6C41DCB"/>
    <w:multiLevelType w:val="multilevel"/>
    <w:tmpl w:val="EB7EECD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1336A1C"/>
    <w:multiLevelType w:val="hybridMultilevel"/>
    <w:tmpl w:val="1BB448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21E1EBC"/>
    <w:multiLevelType w:val="hybridMultilevel"/>
    <w:tmpl w:val="89D66548"/>
    <w:lvl w:ilvl="0" w:tplc="F40E5744">
      <w:start w:val="8"/>
      <w:numFmt w:val="decimal"/>
      <w:lvlText w:val="%1."/>
      <w:lvlJc w:val="left"/>
      <w:pPr>
        <w:tabs>
          <w:tab w:val="num" w:pos="720"/>
        </w:tabs>
        <w:ind w:left="720" w:hanging="360"/>
      </w:pPr>
      <w:rPr>
        <w:rFonts w:hint="default"/>
      </w:rPr>
    </w:lvl>
    <w:lvl w:ilvl="1" w:tplc="522E05D4" w:tentative="1">
      <w:start w:val="1"/>
      <w:numFmt w:val="lowerLetter"/>
      <w:lvlText w:val="%2."/>
      <w:lvlJc w:val="left"/>
      <w:pPr>
        <w:tabs>
          <w:tab w:val="num" w:pos="1440"/>
        </w:tabs>
        <w:ind w:left="1440" w:hanging="360"/>
      </w:pPr>
    </w:lvl>
    <w:lvl w:ilvl="2" w:tplc="E5741E86" w:tentative="1">
      <w:start w:val="1"/>
      <w:numFmt w:val="lowerRoman"/>
      <w:lvlText w:val="%3."/>
      <w:lvlJc w:val="right"/>
      <w:pPr>
        <w:tabs>
          <w:tab w:val="num" w:pos="2160"/>
        </w:tabs>
        <w:ind w:left="2160" w:hanging="180"/>
      </w:pPr>
    </w:lvl>
    <w:lvl w:ilvl="3" w:tplc="5A54B2AA" w:tentative="1">
      <w:start w:val="1"/>
      <w:numFmt w:val="decimal"/>
      <w:lvlText w:val="%4."/>
      <w:lvlJc w:val="left"/>
      <w:pPr>
        <w:tabs>
          <w:tab w:val="num" w:pos="2880"/>
        </w:tabs>
        <w:ind w:left="2880" w:hanging="360"/>
      </w:pPr>
    </w:lvl>
    <w:lvl w:ilvl="4" w:tplc="AE28CB58" w:tentative="1">
      <w:start w:val="1"/>
      <w:numFmt w:val="lowerLetter"/>
      <w:lvlText w:val="%5."/>
      <w:lvlJc w:val="left"/>
      <w:pPr>
        <w:tabs>
          <w:tab w:val="num" w:pos="3600"/>
        </w:tabs>
        <w:ind w:left="3600" w:hanging="360"/>
      </w:pPr>
    </w:lvl>
    <w:lvl w:ilvl="5" w:tplc="80F4AC60" w:tentative="1">
      <w:start w:val="1"/>
      <w:numFmt w:val="lowerRoman"/>
      <w:lvlText w:val="%6."/>
      <w:lvlJc w:val="right"/>
      <w:pPr>
        <w:tabs>
          <w:tab w:val="num" w:pos="4320"/>
        </w:tabs>
        <w:ind w:left="4320" w:hanging="180"/>
      </w:pPr>
    </w:lvl>
    <w:lvl w:ilvl="6" w:tplc="59AEFBD6" w:tentative="1">
      <w:start w:val="1"/>
      <w:numFmt w:val="decimal"/>
      <w:lvlText w:val="%7."/>
      <w:lvlJc w:val="left"/>
      <w:pPr>
        <w:tabs>
          <w:tab w:val="num" w:pos="5040"/>
        </w:tabs>
        <w:ind w:left="5040" w:hanging="360"/>
      </w:pPr>
    </w:lvl>
    <w:lvl w:ilvl="7" w:tplc="053C498A" w:tentative="1">
      <w:start w:val="1"/>
      <w:numFmt w:val="lowerLetter"/>
      <w:lvlText w:val="%8."/>
      <w:lvlJc w:val="left"/>
      <w:pPr>
        <w:tabs>
          <w:tab w:val="num" w:pos="5760"/>
        </w:tabs>
        <w:ind w:left="5760" w:hanging="360"/>
      </w:pPr>
    </w:lvl>
    <w:lvl w:ilvl="8" w:tplc="959AB948" w:tentative="1">
      <w:start w:val="1"/>
      <w:numFmt w:val="lowerRoman"/>
      <w:lvlText w:val="%9."/>
      <w:lvlJc w:val="right"/>
      <w:pPr>
        <w:tabs>
          <w:tab w:val="num" w:pos="6480"/>
        </w:tabs>
        <w:ind w:left="6480" w:hanging="180"/>
      </w:pPr>
    </w:lvl>
  </w:abstractNum>
  <w:abstractNum w:abstractNumId="8" w15:restartNumberingAfterBreak="0">
    <w:nsid w:val="244C2658"/>
    <w:multiLevelType w:val="hybridMultilevel"/>
    <w:tmpl w:val="F3F0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9A6E8E"/>
    <w:multiLevelType w:val="singleLevel"/>
    <w:tmpl w:val="3312C57E"/>
    <w:lvl w:ilvl="0">
      <w:start w:val="5"/>
      <w:numFmt w:val="decimal"/>
      <w:lvlText w:val="%1."/>
      <w:lvlJc w:val="left"/>
      <w:pPr>
        <w:tabs>
          <w:tab w:val="num" w:pos="720"/>
        </w:tabs>
        <w:ind w:left="720" w:hanging="720"/>
      </w:pPr>
      <w:rPr>
        <w:rFonts w:hint="default"/>
      </w:rPr>
    </w:lvl>
  </w:abstractNum>
  <w:abstractNum w:abstractNumId="10" w15:restartNumberingAfterBreak="0">
    <w:nsid w:val="32D00AB7"/>
    <w:multiLevelType w:val="hybridMultilevel"/>
    <w:tmpl w:val="4516C464"/>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11" w15:restartNumberingAfterBreak="0">
    <w:nsid w:val="3A7E46A1"/>
    <w:multiLevelType w:val="multilevel"/>
    <w:tmpl w:val="C31C976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682F9C"/>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43474674"/>
    <w:multiLevelType w:val="hybridMultilevel"/>
    <w:tmpl w:val="05F6281E"/>
    <w:lvl w:ilvl="0" w:tplc="3EFCCF5C">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804EB6"/>
    <w:multiLevelType w:val="hybridMultilevel"/>
    <w:tmpl w:val="877AF492"/>
    <w:lvl w:ilvl="0" w:tplc="63A4DF92">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C44524"/>
    <w:multiLevelType w:val="hybridMultilevel"/>
    <w:tmpl w:val="517C6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60A269E"/>
    <w:multiLevelType w:val="hybridMultilevel"/>
    <w:tmpl w:val="61846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C0265"/>
    <w:multiLevelType w:val="singleLevel"/>
    <w:tmpl w:val="0409000F"/>
    <w:lvl w:ilvl="0">
      <w:start w:val="2"/>
      <w:numFmt w:val="decimal"/>
      <w:lvlText w:val="%1."/>
      <w:lvlJc w:val="left"/>
      <w:pPr>
        <w:tabs>
          <w:tab w:val="num" w:pos="360"/>
        </w:tabs>
        <w:ind w:left="360" w:hanging="360"/>
      </w:pPr>
      <w:rPr>
        <w:rFonts w:hint="default"/>
      </w:rPr>
    </w:lvl>
  </w:abstractNum>
  <w:abstractNum w:abstractNumId="18" w15:restartNumberingAfterBreak="0">
    <w:nsid w:val="4ED15AC0"/>
    <w:multiLevelType w:val="hybridMultilevel"/>
    <w:tmpl w:val="791CAF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0F00A0"/>
    <w:multiLevelType w:val="hybridMultilevel"/>
    <w:tmpl w:val="575027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6709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67202A"/>
    <w:multiLevelType w:val="hybridMultilevel"/>
    <w:tmpl w:val="522A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947F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6871D54"/>
    <w:multiLevelType w:val="singleLevel"/>
    <w:tmpl w:val="0409000F"/>
    <w:lvl w:ilvl="0">
      <w:start w:val="8"/>
      <w:numFmt w:val="decimal"/>
      <w:lvlText w:val="%1."/>
      <w:lvlJc w:val="left"/>
      <w:pPr>
        <w:tabs>
          <w:tab w:val="num" w:pos="360"/>
        </w:tabs>
        <w:ind w:left="360" w:hanging="360"/>
      </w:pPr>
      <w:rPr>
        <w:rFonts w:hint="default"/>
      </w:rPr>
    </w:lvl>
  </w:abstractNum>
  <w:abstractNum w:abstractNumId="24" w15:restartNumberingAfterBreak="0">
    <w:nsid w:val="68541F49"/>
    <w:multiLevelType w:val="hybridMultilevel"/>
    <w:tmpl w:val="C2FCEA9A"/>
    <w:lvl w:ilvl="0" w:tplc="448AE50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3"/>
  </w:num>
  <w:num w:numId="3">
    <w:abstractNumId w:val="7"/>
  </w:num>
  <w:num w:numId="4">
    <w:abstractNumId w:val="20"/>
  </w:num>
  <w:num w:numId="5">
    <w:abstractNumId w:val="1"/>
  </w:num>
  <w:num w:numId="6">
    <w:abstractNumId w:val="5"/>
  </w:num>
  <w:num w:numId="7">
    <w:abstractNumId w:val="22"/>
  </w:num>
  <w:num w:numId="8">
    <w:abstractNumId w:val="17"/>
  </w:num>
  <w:num w:numId="9">
    <w:abstractNumId w:val="2"/>
  </w:num>
  <w:num w:numId="10">
    <w:abstractNumId w:val="12"/>
  </w:num>
  <w:num w:numId="11">
    <w:abstractNumId w:val="3"/>
  </w:num>
  <w:num w:numId="12">
    <w:abstractNumId w:val="4"/>
  </w:num>
  <w:num w:numId="13">
    <w:abstractNumId w:val="11"/>
  </w:num>
  <w:num w:numId="14">
    <w:abstractNumId w:val="24"/>
  </w:num>
  <w:num w:numId="15">
    <w:abstractNumId w:val="14"/>
  </w:num>
  <w:num w:numId="16">
    <w:abstractNumId w:val="18"/>
  </w:num>
  <w:num w:numId="17">
    <w:abstractNumId w:val="13"/>
  </w:num>
  <w:num w:numId="18">
    <w:abstractNumId w:val="10"/>
  </w:num>
  <w:num w:numId="19">
    <w:abstractNumId w:val="8"/>
  </w:num>
  <w:num w:numId="20">
    <w:abstractNumId w:val="0"/>
  </w:num>
  <w:num w:numId="21">
    <w:abstractNumId w:val="6"/>
  </w:num>
  <w:num w:numId="22">
    <w:abstractNumId w:val="15"/>
  </w:num>
  <w:num w:numId="23">
    <w:abstractNumId w:val="19"/>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F60"/>
    <w:rsid w:val="000121B9"/>
    <w:rsid w:val="0004189A"/>
    <w:rsid w:val="00044118"/>
    <w:rsid w:val="00051C06"/>
    <w:rsid w:val="00053058"/>
    <w:rsid w:val="00060F0B"/>
    <w:rsid w:val="00066414"/>
    <w:rsid w:val="00067951"/>
    <w:rsid w:val="00067B68"/>
    <w:rsid w:val="00067F13"/>
    <w:rsid w:val="00084436"/>
    <w:rsid w:val="00091DAE"/>
    <w:rsid w:val="000B2C60"/>
    <w:rsid w:val="000B459B"/>
    <w:rsid w:val="000D51E4"/>
    <w:rsid w:val="000E6382"/>
    <w:rsid w:val="000E7459"/>
    <w:rsid w:val="000F4AEC"/>
    <w:rsid w:val="001057EB"/>
    <w:rsid w:val="001220FD"/>
    <w:rsid w:val="0012694F"/>
    <w:rsid w:val="0013151A"/>
    <w:rsid w:val="0013614C"/>
    <w:rsid w:val="00145E02"/>
    <w:rsid w:val="00146B87"/>
    <w:rsid w:val="00150C9D"/>
    <w:rsid w:val="0015727E"/>
    <w:rsid w:val="00165276"/>
    <w:rsid w:val="0017005E"/>
    <w:rsid w:val="00177C6F"/>
    <w:rsid w:val="00183D0A"/>
    <w:rsid w:val="00184C0D"/>
    <w:rsid w:val="00190184"/>
    <w:rsid w:val="001A485C"/>
    <w:rsid w:val="001A702A"/>
    <w:rsid w:val="001B0ADB"/>
    <w:rsid w:val="001C2968"/>
    <w:rsid w:val="001C2DB1"/>
    <w:rsid w:val="001C46D0"/>
    <w:rsid w:val="001F39AB"/>
    <w:rsid w:val="001F73C6"/>
    <w:rsid w:val="00200EFE"/>
    <w:rsid w:val="002029DA"/>
    <w:rsid w:val="00210ED7"/>
    <w:rsid w:val="002115FC"/>
    <w:rsid w:val="002140DE"/>
    <w:rsid w:val="0022079E"/>
    <w:rsid w:val="002222EC"/>
    <w:rsid w:val="00222C2D"/>
    <w:rsid w:val="002316E9"/>
    <w:rsid w:val="00240DCB"/>
    <w:rsid w:val="002415D8"/>
    <w:rsid w:val="002514D3"/>
    <w:rsid w:val="002555EC"/>
    <w:rsid w:val="002579D0"/>
    <w:rsid w:val="002647B5"/>
    <w:rsid w:val="00265DD8"/>
    <w:rsid w:val="002726CD"/>
    <w:rsid w:val="00277F54"/>
    <w:rsid w:val="00292F98"/>
    <w:rsid w:val="002C12F9"/>
    <w:rsid w:val="002C5365"/>
    <w:rsid w:val="002C54B4"/>
    <w:rsid w:val="002C7DB2"/>
    <w:rsid w:val="002D1D22"/>
    <w:rsid w:val="002D483E"/>
    <w:rsid w:val="002D5206"/>
    <w:rsid w:val="002D793C"/>
    <w:rsid w:val="002E0EA4"/>
    <w:rsid w:val="002E2DE7"/>
    <w:rsid w:val="002E5298"/>
    <w:rsid w:val="002F0669"/>
    <w:rsid w:val="002F3D01"/>
    <w:rsid w:val="002F5CFD"/>
    <w:rsid w:val="002F65DA"/>
    <w:rsid w:val="002F7D17"/>
    <w:rsid w:val="00302A5E"/>
    <w:rsid w:val="00303094"/>
    <w:rsid w:val="0030613D"/>
    <w:rsid w:val="0031049D"/>
    <w:rsid w:val="00316DFD"/>
    <w:rsid w:val="00324C20"/>
    <w:rsid w:val="00324FFC"/>
    <w:rsid w:val="00325F93"/>
    <w:rsid w:val="003266C2"/>
    <w:rsid w:val="00331584"/>
    <w:rsid w:val="00347D00"/>
    <w:rsid w:val="00350E45"/>
    <w:rsid w:val="0036239D"/>
    <w:rsid w:val="003A0BFC"/>
    <w:rsid w:val="003C0CFE"/>
    <w:rsid w:val="003C24DD"/>
    <w:rsid w:val="003D0025"/>
    <w:rsid w:val="003D088C"/>
    <w:rsid w:val="003D5FD4"/>
    <w:rsid w:val="003D7E97"/>
    <w:rsid w:val="00433D72"/>
    <w:rsid w:val="0044226B"/>
    <w:rsid w:val="00452BE7"/>
    <w:rsid w:val="004547A5"/>
    <w:rsid w:val="0046413A"/>
    <w:rsid w:val="00465CFD"/>
    <w:rsid w:val="00473B44"/>
    <w:rsid w:val="004915FF"/>
    <w:rsid w:val="004916C2"/>
    <w:rsid w:val="00491845"/>
    <w:rsid w:val="00492842"/>
    <w:rsid w:val="004C1BD3"/>
    <w:rsid w:val="004C4E64"/>
    <w:rsid w:val="004C647B"/>
    <w:rsid w:val="004C6C68"/>
    <w:rsid w:val="004E0499"/>
    <w:rsid w:val="004E2169"/>
    <w:rsid w:val="004F6616"/>
    <w:rsid w:val="005002BC"/>
    <w:rsid w:val="005125DC"/>
    <w:rsid w:val="00521C1E"/>
    <w:rsid w:val="00536A7C"/>
    <w:rsid w:val="00550DDD"/>
    <w:rsid w:val="00560063"/>
    <w:rsid w:val="00571220"/>
    <w:rsid w:val="00573500"/>
    <w:rsid w:val="00576095"/>
    <w:rsid w:val="00577753"/>
    <w:rsid w:val="00580C9A"/>
    <w:rsid w:val="00592085"/>
    <w:rsid w:val="00595EE3"/>
    <w:rsid w:val="005A04F2"/>
    <w:rsid w:val="005A56DC"/>
    <w:rsid w:val="005A6E39"/>
    <w:rsid w:val="005B4780"/>
    <w:rsid w:val="005C3F2E"/>
    <w:rsid w:val="005D44DB"/>
    <w:rsid w:val="005E2417"/>
    <w:rsid w:val="005F2DC5"/>
    <w:rsid w:val="006028C3"/>
    <w:rsid w:val="0060309D"/>
    <w:rsid w:val="0060499A"/>
    <w:rsid w:val="00604A00"/>
    <w:rsid w:val="00616095"/>
    <w:rsid w:val="006241A9"/>
    <w:rsid w:val="00636591"/>
    <w:rsid w:val="00640F78"/>
    <w:rsid w:val="00655489"/>
    <w:rsid w:val="00664DBD"/>
    <w:rsid w:val="00683348"/>
    <w:rsid w:val="00693983"/>
    <w:rsid w:val="006A048C"/>
    <w:rsid w:val="006A708A"/>
    <w:rsid w:val="006B0D83"/>
    <w:rsid w:val="006B66BB"/>
    <w:rsid w:val="006B77DE"/>
    <w:rsid w:val="006C02B5"/>
    <w:rsid w:val="006C0EDD"/>
    <w:rsid w:val="006C3871"/>
    <w:rsid w:val="006C4AFA"/>
    <w:rsid w:val="006C7B42"/>
    <w:rsid w:val="006D0E34"/>
    <w:rsid w:val="006F2739"/>
    <w:rsid w:val="006F4CF0"/>
    <w:rsid w:val="006F7C76"/>
    <w:rsid w:val="00700A7E"/>
    <w:rsid w:val="00704D78"/>
    <w:rsid w:val="0073199D"/>
    <w:rsid w:val="00737672"/>
    <w:rsid w:val="00757E3D"/>
    <w:rsid w:val="00760609"/>
    <w:rsid w:val="00767AD9"/>
    <w:rsid w:val="00775E5B"/>
    <w:rsid w:val="007A0DD9"/>
    <w:rsid w:val="007A59A9"/>
    <w:rsid w:val="007B04C9"/>
    <w:rsid w:val="007B3399"/>
    <w:rsid w:val="007C096B"/>
    <w:rsid w:val="007C485A"/>
    <w:rsid w:val="007C5638"/>
    <w:rsid w:val="007C703C"/>
    <w:rsid w:val="007C7362"/>
    <w:rsid w:val="007D1AE6"/>
    <w:rsid w:val="007D229C"/>
    <w:rsid w:val="007D4A3D"/>
    <w:rsid w:val="007E1306"/>
    <w:rsid w:val="007E230B"/>
    <w:rsid w:val="007E4474"/>
    <w:rsid w:val="007E4F60"/>
    <w:rsid w:val="007F0E06"/>
    <w:rsid w:val="0080065F"/>
    <w:rsid w:val="00800693"/>
    <w:rsid w:val="00804FFC"/>
    <w:rsid w:val="0081578D"/>
    <w:rsid w:val="00827CB8"/>
    <w:rsid w:val="008366C4"/>
    <w:rsid w:val="00837EAC"/>
    <w:rsid w:val="00842868"/>
    <w:rsid w:val="00842E7F"/>
    <w:rsid w:val="00843720"/>
    <w:rsid w:val="00856094"/>
    <w:rsid w:val="008A4DCA"/>
    <w:rsid w:val="008A780C"/>
    <w:rsid w:val="008F1A7A"/>
    <w:rsid w:val="008F296C"/>
    <w:rsid w:val="008F59A8"/>
    <w:rsid w:val="0090072A"/>
    <w:rsid w:val="009039DA"/>
    <w:rsid w:val="00905390"/>
    <w:rsid w:val="0090575D"/>
    <w:rsid w:val="00906302"/>
    <w:rsid w:val="00915324"/>
    <w:rsid w:val="00917F81"/>
    <w:rsid w:val="009247FE"/>
    <w:rsid w:val="009400DB"/>
    <w:rsid w:val="00941F30"/>
    <w:rsid w:val="00952A0E"/>
    <w:rsid w:val="009545C8"/>
    <w:rsid w:val="0096722F"/>
    <w:rsid w:val="00967E74"/>
    <w:rsid w:val="00972FBF"/>
    <w:rsid w:val="009B3405"/>
    <w:rsid w:val="009B5880"/>
    <w:rsid w:val="009B62AD"/>
    <w:rsid w:val="009C4B97"/>
    <w:rsid w:val="009D0EBB"/>
    <w:rsid w:val="009D1040"/>
    <w:rsid w:val="009E75CC"/>
    <w:rsid w:val="009E7822"/>
    <w:rsid w:val="009F4638"/>
    <w:rsid w:val="009F500D"/>
    <w:rsid w:val="00A02A95"/>
    <w:rsid w:val="00A1345B"/>
    <w:rsid w:val="00A21167"/>
    <w:rsid w:val="00A2757D"/>
    <w:rsid w:val="00A34BEB"/>
    <w:rsid w:val="00A37A7F"/>
    <w:rsid w:val="00A4201F"/>
    <w:rsid w:val="00A5257C"/>
    <w:rsid w:val="00A652D2"/>
    <w:rsid w:val="00A67BCF"/>
    <w:rsid w:val="00A742AD"/>
    <w:rsid w:val="00A75324"/>
    <w:rsid w:val="00A82A4A"/>
    <w:rsid w:val="00A970FE"/>
    <w:rsid w:val="00AA0571"/>
    <w:rsid w:val="00AC1FCE"/>
    <w:rsid w:val="00AD2EB6"/>
    <w:rsid w:val="00AD6232"/>
    <w:rsid w:val="00AE1D98"/>
    <w:rsid w:val="00AE284D"/>
    <w:rsid w:val="00AE4E67"/>
    <w:rsid w:val="00AF1FD2"/>
    <w:rsid w:val="00AF31A5"/>
    <w:rsid w:val="00AF792B"/>
    <w:rsid w:val="00B01A97"/>
    <w:rsid w:val="00B02E28"/>
    <w:rsid w:val="00B10089"/>
    <w:rsid w:val="00B1610D"/>
    <w:rsid w:val="00B2151F"/>
    <w:rsid w:val="00B3422D"/>
    <w:rsid w:val="00B44354"/>
    <w:rsid w:val="00B46F28"/>
    <w:rsid w:val="00B51EDF"/>
    <w:rsid w:val="00B54718"/>
    <w:rsid w:val="00B57C74"/>
    <w:rsid w:val="00B6188B"/>
    <w:rsid w:val="00B634CA"/>
    <w:rsid w:val="00B63801"/>
    <w:rsid w:val="00B64004"/>
    <w:rsid w:val="00B719BD"/>
    <w:rsid w:val="00B86687"/>
    <w:rsid w:val="00BA0499"/>
    <w:rsid w:val="00BA14A8"/>
    <w:rsid w:val="00BA37B0"/>
    <w:rsid w:val="00BA4B78"/>
    <w:rsid w:val="00BC4D67"/>
    <w:rsid w:val="00BC510A"/>
    <w:rsid w:val="00BD5440"/>
    <w:rsid w:val="00BD6A17"/>
    <w:rsid w:val="00BD7418"/>
    <w:rsid w:val="00BE3DC1"/>
    <w:rsid w:val="00BE55CC"/>
    <w:rsid w:val="00C14292"/>
    <w:rsid w:val="00C23555"/>
    <w:rsid w:val="00C26F5C"/>
    <w:rsid w:val="00C3209F"/>
    <w:rsid w:val="00C3695F"/>
    <w:rsid w:val="00C40EA5"/>
    <w:rsid w:val="00C42A0A"/>
    <w:rsid w:val="00C47F70"/>
    <w:rsid w:val="00C56997"/>
    <w:rsid w:val="00C61A0F"/>
    <w:rsid w:val="00C65A37"/>
    <w:rsid w:val="00C815D4"/>
    <w:rsid w:val="00C8533B"/>
    <w:rsid w:val="00C86B9D"/>
    <w:rsid w:val="00C910EB"/>
    <w:rsid w:val="00CA118C"/>
    <w:rsid w:val="00CA49BF"/>
    <w:rsid w:val="00CB6AF8"/>
    <w:rsid w:val="00CE0D6F"/>
    <w:rsid w:val="00CE0DF3"/>
    <w:rsid w:val="00CE340E"/>
    <w:rsid w:val="00CE5F41"/>
    <w:rsid w:val="00CE7509"/>
    <w:rsid w:val="00CF40AE"/>
    <w:rsid w:val="00D10197"/>
    <w:rsid w:val="00D11A64"/>
    <w:rsid w:val="00D13EFD"/>
    <w:rsid w:val="00D1485E"/>
    <w:rsid w:val="00D15907"/>
    <w:rsid w:val="00D302AF"/>
    <w:rsid w:val="00D30942"/>
    <w:rsid w:val="00D31674"/>
    <w:rsid w:val="00D4413A"/>
    <w:rsid w:val="00D55EF6"/>
    <w:rsid w:val="00D56163"/>
    <w:rsid w:val="00D6485F"/>
    <w:rsid w:val="00D7280F"/>
    <w:rsid w:val="00D804D8"/>
    <w:rsid w:val="00D84331"/>
    <w:rsid w:val="00DA47F0"/>
    <w:rsid w:val="00DB0FC5"/>
    <w:rsid w:val="00DB1037"/>
    <w:rsid w:val="00DB3748"/>
    <w:rsid w:val="00DC6362"/>
    <w:rsid w:val="00DC6508"/>
    <w:rsid w:val="00DC7B29"/>
    <w:rsid w:val="00DD08A5"/>
    <w:rsid w:val="00DE3CF8"/>
    <w:rsid w:val="00DE47E0"/>
    <w:rsid w:val="00DF0BE5"/>
    <w:rsid w:val="00DF4F27"/>
    <w:rsid w:val="00DF5BF0"/>
    <w:rsid w:val="00DF6ACC"/>
    <w:rsid w:val="00DF6B4F"/>
    <w:rsid w:val="00E07A21"/>
    <w:rsid w:val="00E12D90"/>
    <w:rsid w:val="00E24ADE"/>
    <w:rsid w:val="00E30524"/>
    <w:rsid w:val="00E32159"/>
    <w:rsid w:val="00E40AFD"/>
    <w:rsid w:val="00E419DE"/>
    <w:rsid w:val="00E4422C"/>
    <w:rsid w:val="00E65E29"/>
    <w:rsid w:val="00E81A86"/>
    <w:rsid w:val="00EA08D0"/>
    <w:rsid w:val="00EA6815"/>
    <w:rsid w:val="00EC3FED"/>
    <w:rsid w:val="00EC7BFB"/>
    <w:rsid w:val="00EE3408"/>
    <w:rsid w:val="00EE36F0"/>
    <w:rsid w:val="00EF21FF"/>
    <w:rsid w:val="00F001AE"/>
    <w:rsid w:val="00F03805"/>
    <w:rsid w:val="00F073CF"/>
    <w:rsid w:val="00F216F1"/>
    <w:rsid w:val="00F35CDD"/>
    <w:rsid w:val="00F43570"/>
    <w:rsid w:val="00F43576"/>
    <w:rsid w:val="00F5020A"/>
    <w:rsid w:val="00F50555"/>
    <w:rsid w:val="00F54473"/>
    <w:rsid w:val="00F621F9"/>
    <w:rsid w:val="00F63C3B"/>
    <w:rsid w:val="00F708EB"/>
    <w:rsid w:val="00F70C69"/>
    <w:rsid w:val="00F77F09"/>
    <w:rsid w:val="00F8650F"/>
    <w:rsid w:val="00F93EBE"/>
    <w:rsid w:val="00F93F22"/>
    <w:rsid w:val="00FA2E6A"/>
    <w:rsid w:val="00FA7171"/>
    <w:rsid w:val="00FB3B2C"/>
    <w:rsid w:val="00FC2E46"/>
    <w:rsid w:val="00FC5B5F"/>
    <w:rsid w:val="00FC6805"/>
    <w:rsid w:val="00FD690B"/>
    <w:rsid w:val="00FE2AF1"/>
    <w:rsid w:val="00FE7942"/>
    <w:rsid w:val="00FF0710"/>
    <w:rsid w:val="05302577"/>
    <w:rsid w:val="1137CBAA"/>
    <w:rsid w:val="24E245FE"/>
    <w:rsid w:val="2A4DA1CB"/>
    <w:rsid w:val="2C7B0080"/>
    <w:rsid w:val="33C098A0"/>
    <w:rsid w:val="3B1B3F54"/>
    <w:rsid w:val="3BFBFEEF"/>
    <w:rsid w:val="3E447B4F"/>
    <w:rsid w:val="47A1532B"/>
    <w:rsid w:val="48C2E6F5"/>
    <w:rsid w:val="4DCBB081"/>
    <w:rsid w:val="50A7B0A3"/>
    <w:rsid w:val="51585514"/>
    <w:rsid w:val="53FFF5E3"/>
    <w:rsid w:val="587908C8"/>
    <w:rsid w:val="5E6F3D2C"/>
    <w:rsid w:val="6306B42A"/>
    <w:rsid w:val="643FDAF8"/>
    <w:rsid w:val="64FF461F"/>
    <w:rsid w:val="6E51C889"/>
    <w:rsid w:val="70196036"/>
    <w:rsid w:val="7107C654"/>
    <w:rsid w:val="7113A8FA"/>
    <w:rsid w:val="7775C4E8"/>
    <w:rsid w:val="7B10F5CB"/>
    <w:rsid w:val="7C5049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204EE823"/>
  <w15:chartTrackingRefBased/>
  <w15:docId w15:val="{8E925037-A273-4F90-AB5F-8CF0933B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eastAsia="en-US"/>
    </w:rPr>
  </w:style>
  <w:style w:type="paragraph" w:styleId="Heading1">
    <w:name w:val="heading 1"/>
    <w:basedOn w:val="Normal"/>
    <w:next w:val="Normal"/>
    <w:qFormat/>
    <w:pPr>
      <w:keepNext/>
      <w:outlineLvl w:val="0"/>
    </w:pPr>
    <w:rPr>
      <w:rFonts w:ascii="Helvetica" w:hAnsi="Helvetica" w:cs="Helvetica"/>
      <w:b/>
      <w:bCs/>
      <w:sz w:val="84"/>
      <w:szCs w:val="84"/>
    </w:rPr>
  </w:style>
  <w:style w:type="paragraph" w:styleId="Heading2">
    <w:name w:val="heading 2"/>
    <w:basedOn w:val="Normal"/>
    <w:next w:val="Normal"/>
    <w:qFormat/>
    <w:pPr>
      <w:keepNext/>
      <w:outlineLvl w:val="1"/>
    </w:pPr>
    <w:rPr>
      <w:rFonts w:ascii="Helvetica" w:hAnsi="Helvetica" w:cs="Helvetica"/>
      <w:sz w:val="36"/>
      <w:szCs w:val="36"/>
    </w:rPr>
  </w:style>
  <w:style w:type="paragraph" w:styleId="Heading3">
    <w:name w:val="heading 3"/>
    <w:basedOn w:val="Normal"/>
    <w:next w:val="Normal"/>
    <w:qFormat/>
    <w:pPr>
      <w:keepNext/>
      <w:jc w:val="center"/>
      <w:outlineLvl w:val="2"/>
    </w:pPr>
    <w:rPr>
      <w:b/>
      <w:bCs/>
      <w:sz w:val="24"/>
      <w:szCs w:val="24"/>
    </w:rPr>
  </w:style>
  <w:style w:type="paragraph" w:styleId="Heading5">
    <w:name w:val="heading 5"/>
    <w:basedOn w:val="Normal"/>
    <w:next w:val="Normal"/>
    <w:qFormat/>
    <w:rsid w:val="00804FF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rPr>
      <w:rFonts w:ascii="Courier New" w:hAnsi="Courier New" w:cs="Courier New"/>
      <w:sz w:val="20"/>
      <w:szCs w:val="20"/>
    </w:rPr>
  </w:style>
  <w:style w:type="paragraph" w:styleId="BodyTextIndent2">
    <w:name w:val="Body Text Indent 2"/>
    <w:basedOn w:val="Normal"/>
    <w:link w:val="BodyTextIndent2Char"/>
    <w:rsid w:val="00804FFC"/>
    <w:pPr>
      <w:ind w:left="720"/>
      <w:jc w:val="both"/>
    </w:pPr>
  </w:style>
  <w:style w:type="paragraph" w:styleId="BodyText">
    <w:name w:val="Body Text"/>
    <w:basedOn w:val="Normal"/>
    <w:rsid w:val="00804FFC"/>
    <w:pPr>
      <w:spacing w:after="120"/>
    </w:pPr>
  </w:style>
  <w:style w:type="paragraph" w:styleId="BodyTextIndent">
    <w:name w:val="Body Text Indent"/>
    <w:basedOn w:val="Normal"/>
    <w:rsid w:val="00804FFC"/>
    <w:pPr>
      <w:spacing w:after="120"/>
      <w:ind w:left="283"/>
    </w:pPr>
  </w:style>
  <w:style w:type="paragraph" w:styleId="BodyTextIndent3">
    <w:name w:val="Body Text Indent 3"/>
    <w:basedOn w:val="Normal"/>
    <w:rsid w:val="00804FFC"/>
    <w:pPr>
      <w:spacing w:after="120"/>
      <w:ind w:left="283"/>
    </w:pPr>
    <w:rPr>
      <w:sz w:val="16"/>
      <w:szCs w:val="16"/>
    </w:rPr>
  </w:style>
  <w:style w:type="paragraph" w:customStyle="1" w:styleId="Style1">
    <w:name w:val="Style1"/>
    <w:basedOn w:val="Normal"/>
    <w:rsid w:val="00804FFC"/>
    <w:pPr>
      <w:spacing w:line="280" w:lineRule="atLeast"/>
      <w:jc w:val="both"/>
    </w:pPr>
    <w:rPr>
      <w:rFonts w:ascii="Times New Roman" w:hAnsi="Times New Roman" w:cs="Times New Roman"/>
      <w:kern w:val="28"/>
    </w:rPr>
  </w:style>
  <w:style w:type="table" w:styleId="TableGrid">
    <w:name w:val="Table Grid"/>
    <w:basedOn w:val="TableNormal"/>
    <w:rsid w:val="0080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43576"/>
    <w:rPr>
      <w:rFonts w:ascii="Tahoma" w:hAnsi="Tahoma"/>
      <w:sz w:val="16"/>
      <w:szCs w:val="16"/>
    </w:rPr>
  </w:style>
  <w:style w:type="character" w:styleId="Hyperlink">
    <w:name w:val="Hyperlink"/>
    <w:rsid w:val="00DC6362"/>
    <w:rPr>
      <w:color w:val="0000FF"/>
      <w:u w:val="single"/>
    </w:rPr>
  </w:style>
  <w:style w:type="paragraph" w:styleId="Title">
    <w:name w:val="Title"/>
    <w:basedOn w:val="Normal"/>
    <w:qFormat/>
    <w:rsid w:val="003D088C"/>
    <w:pPr>
      <w:tabs>
        <w:tab w:val="center" w:pos="4693"/>
      </w:tabs>
      <w:suppressAutoHyphens/>
      <w:jc w:val="center"/>
    </w:pPr>
    <w:rPr>
      <w:rFonts w:ascii="Times New Roman" w:hAnsi="Times New Roman" w:cs="Times New Roman"/>
      <w:b/>
      <w:spacing w:val="-2"/>
      <w:sz w:val="36"/>
      <w:szCs w:val="20"/>
      <w:u w:val="single"/>
      <w:lang w:eastAsia="en-GB"/>
    </w:rPr>
  </w:style>
  <w:style w:type="paragraph" w:customStyle="1" w:styleId="CharChar">
    <w:name w:val="Char Char"/>
    <w:basedOn w:val="Normal"/>
    <w:rsid w:val="009D0EBB"/>
    <w:pPr>
      <w:spacing w:after="160" w:line="240" w:lineRule="exact"/>
    </w:pPr>
    <w:rPr>
      <w:rFonts w:ascii="Verdana" w:hAnsi="Verdana" w:cs="Times New Roman"/>
      <w:sz w:val="20"/>
      <w:szCs w:val="20"/>
      <w:lang w:val="en-US"/>
    </w:rPr>
  </w:style>
  <w:style w:type="character" w:customStyle="1" w:styleId="BodyTextIndent2Char">
    <w:name w:val="Body Text Indent 2 Char"/>
    <w:link w:val="BodyTextIndent2"/>
    <w:rsid w:val="006F2739"/>
    <w:rPr>
      <w:rFonts w:ascii="Arial" w:hAnsi="Arial" w:cs="Arial"/>
      <w:sz w:val="22"/>
      <w:szCs w:val="22"/>
      <w:lang w:eastAsia="en-US"/>
    </w:rPr>
  </w:style>
  <w:style w:type="paragraph" w:styleId="ListParagraph">
    <w:name w:val="List Paragraph"/>
    <w:basedOn w:val="Normal"/>
    <w:uiPriority w:val="34"/>
    <w:qFormat/>
    <w:rsid w:val="00B64004"/>
    <w:pPr>
      <w:ind w:left="720"/>
    </w:pPr>
  </w:style>
  <w:style w:type="character" w:styleId="CommentReference">
    <w:name w:val="annotation reference"/>
    <w:rsid w:val="0015727E"/>
    <w:rPr>
      <w:sz w:val="16"/>
      <w:szCs w:val="16"/>
    </w:rPr>
  </w:style>
  <w:style w:type="paragraph" w:styleId="CommentText">
    <w:name w:val="annotation text"/>
    <w:basedOn w:val="Normal"/>
    <w:link w:val="CommentTextChar"/>
    <w:rsid w:val="0015727E"/>
    <w:rPr>
      <w:sz w:val="20"/>
      <w:szCs w:val="20"/>
    </w:rPr>
  </w:style>
  <w:style w:type="character" w:customStyle="1" w:styleId="CommentTextChar">
    <w:name w:val="Comment Text Char"/>
    <w:link w:val="CommentText"/>
    <w:rsid w:val="0015727E"/>
    <w:rPr>
      <w:rFonts w:ascii="Arial" w:hAnsi="Arial" w:cs="Arial"/>
      <w:lang w:eastAsia="en-US"/>
    </w:rPr>
  </w:style>
  <w:style w:type="paragraph" w:styleId="CommentSubject">
    <w:name w:val="annotation subject"/>
    <w:basedOn w:val="CommentText"/>
    <w:next w:val="CommentText"/>
    <w:link w:val="CommentSubjectChar"/>
    <w:rsid w:val="0015727E"/>
    <w:rPr>
      <w:b/>
      <w:bCs/>
    </w:rPr>
  </w:style>
  <w:style w:type="character" w:customStyle="1" w:styleId="CommentSubjectChar">
    <w:name w:val="Comment Subject Char"/>
    <w:link w:val="CommentSubject"/>
    <w:rsid w:val="0015727E"/>
    <w:rPr>
      <w:rFonts w:ascii="Arial" w:hAnsi="Arial" w:cs="Arial"/>
      <w:b/>
      <w:bCs/>
      <w:lang w:eastAsia="en-US"/>
    </w:rPr>
  </w:style>
  <w:style w:type="character" w:customStyle="1" w:styleId="UnresolvedMention1">
    <w:name w:val="Unresolved Mention1"/>
    <w:basedOn w:val="DefaultParagraphFont"/>
    <w:uiPriority w:val="99"/>
    <w:semiHidden/>
    <w:unhideWhenUsed/>
    <w:rsid w:val="00067951"/>
    <w:rPr>
      <w:color w:val="808080"/>
      <w:shd w:val="clear" w:color="auto" w:fill="E6E6E6"/>
    </w:rPr>
  </w:style>
  <w:style w:type="paragraph" w:customStyle="1" w:styleId="Default">
    <w:name w:val="Default"/>
    <w:rsid w:val="0073199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ustomXml" Target="../customXml/item9.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ustomXml" Target="../customXml/item8.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customXml" Target="../customXml/item10.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aa9dcae6b8743e1ac9a8b1f9636e8fb xmlns="b1b0ec1b-aa08-4612-a633-24afa60ef0a4">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04256cde-a590-4810-b98e-5afc64f6b5f3</TermId>
        </TermInfo>
      </Terms>
    </maa9dcae6b8743e1ac9a8b1f9636e8fb>
    <NFRSContentOwner xmlns="b1b0ec1b-aa08-4612-a633-24afa60ef0a4">
      <UserInfo>
        <DisplayName>Access to Information Reviewers</DisplayName>
        <AccountId>159</AccountId>
        <AccountType/>
      </UserInfo>
    </NFRSContentOwner>
    <pab6d7c81f834e8587de0b12ce69d530 xmlns="b1b0ec1b-aa08-4612-a633-24afa60ef0a4">
      <Terms xmlns="http://schemas.microsoft.com/office/infopath/2007/PartnerControls">
        <TermInfo xmlns="http://schemas.microsoft.com/office/infopath/2007/PartnerControls">
          <TermName xmlns="http://schemas.microsoft.com/office/infopath/2007/PartnerControls">Equality and Diversity</TermName>
          <TermId xmlns="http://schemas.microsoft.com/office/infopath/2007/PartnerControls">d2469adb-5c89-4d96-a49c-c3f2551e4bdb</TermId>
        </TermInfo>
      </Terms>
    </pab6d7c81f834e8587de0b12ce69d530>
    <NFRSContentReviewDate xmlns="b1b0ec1b-aa08-4612-a633-24afa60ef0a4">2019-11-28T00:00:00+00:00</NFRSContentReviewDate>
    <NFRSReviewFrequency xmlns="b1b0ec1b-aa08-4612-a633-24afa60ef0a4">11 months</NFRSReviewFrequency>
    <TaxCatchAll xmlns="b1b0ec1b-aa08-4612-a633-24afa60ef0a4">
      <Value>2</Value>
      <Value>25</Value>
    </TaxCatchAll>
    <hcb23a24e4de407489d3a3eecb6e0249 xmlns="b1b0ec1b-aa08-4612-a633-24afa60ef0a4">
      <Terms xmlns="http://schemas.microsoft.com/office/infopath/2007/PartnerControls"/>
    </hcb23a24e4de407489d3a3eecb6e0249>
    <_dlc_ExpireDate xmlns="http://schemas.microsoft.com/sharepoint/v3">2019-11-28T00:00:00+00:00</_dlc_ExpireDate>
  </documentManagement>
</p:properties>
</file>

<file path=customXml/item6.xml><?xml version="1.0" encoding="utf-8"?>
<ct:contentTypeSchema xmlns:ct="http://schemas.microsoft.com/office/2006/metadata/contentType" xmlns:ma="http://schemas.microsoft.com/office/2006/metadata/properties/metaAttributes" ct:_="" ma:_="" ma:contentTypeName="NFRS Document" ma:contentTypeID="0x01010086CC0D19DD51234785A31F0F5D38B8DD00D6CB1C79A928014B89B4538FE28EB078" ma:contentTypeVersion="35" ma:contentTypeDescription="" ma:contentTypeScope="" ma:versionID="ccfffc0fec025efdc3dd334087dcc50d">
  <xsd:schema xmlns:xsd="http://www.w3.org/2001/XMLSchema" xmlns:xs="http://www.w3.org/2001/XMLSchema" xmlns:p="http://schemas.microsoft.com/office/2006/metadata/properties" xmlns:ns1="http://schemas.microsoft.com/sharepoint/v3" xmlns:ns2="b1b0ec1b-aa08-4612-a633-24afa60ef0a4" targetNamespace="http://schemas.microsoft.com/office/2006/metadata/properties" ma:root="true" ma:fieldsID="52aae802f23f1625ce6af0893767a6ce" ns1:_="" ns2:_="">
    <xsd:import namespace="http://schemas.microsoft.com/sharepoint/v3"/>
    <xsd:import namespace="b1b0ec1b-aa08-4612-a633-24afa60ef0a4"/>
    <xsd:element name="properties">
      <xsd:complexType>
        <xsd:sequence>
          <xsd:element name="documentManagement">
            <xsd:complexType>
              <xsd:all>
                <xsd:element ref="ns2:hcb23a24e4de407489d3a3eecb6e0249" minOccurs="0"/>
                <xsd:element ref="ns2:TaxCatchAll" minOccurs="0"/>
                <xsd:element ref="ns2:TaxCatchAllLabel" minOccurs="0"/>
                <xsd:element ref="ns2:maa9dcae6b8743e1ac9a8b1f9636e8fb" minOccurs="0"/>
                <xsd:element ref="ns2:pab6d7c81f834e8587de0b12ce69d530" minOccurs="0"/>
                <xsd:element ref="ns2:NFRSContentOwner"/>
                <xsd:element ref="ns2:NFRSContentReviewDate"/>
                <xsd:element ref="ns2:NFRSReviewFrequenc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9" nillable="true" ma:displayName="Exempt from Policy" ma:hidden="true" ma:internalName="_dlc_Exempt" ma:readOnly="true">
      <xsd:simpleType>
        <xsd:restriction base="dms:Unknown"/>
      </xsd:simpleType>
    </xsd:element>
    <xsd:element name="_dlc_ExpireDateSaved" ma:index="20" nillable="true" ma:displayName="Original Expiration Date" ma:hidden="true" ma:internalName="_dlc_ExpireDateSaved" ma:readOnly="true">
      <xsd:simpleType>
        <xsd:restriction base="dms:DateTime"/>
      </xsd:simpleType>
    </xsd:element>
    <xsd:element name="_dlc_ExpireDate" ma:index="2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b0ec1b-aa08-4612-a633-24afa60ef0a4" elementFormDefault="qualified">
    <xsd:import namespace="http://schemas.microsoft.com/office/2006/documentManagement/types"/>
    <xsd:import namespace="http://schemas.microsoft.com/office/infopath/2007/PartnerControls"/>
    <xsd:element name="hcb23a24e4de407489d3a3eecb6e0249" ma:index="8" nillable="true" ma:taxonomy="true" ma:internalName="hcb23a24e4de407489d3a3eecb6e0249" ma:taxonomyFieldName="ServiceArea" ma:displayName="Service Area" ma:default="" ma:fieldId="{1cb23a24-e4de-4074-89d3-a3eecb6e0249}" ma:taxonomyMulti="true" ma:sspId="f80968cf-7d74-4497-b354-a7888ff94226" ma:termSetId="33c3c013-0c95-4c03-87c4-033d6daf05e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cf39961-fb74-4862-baf5-724a90ca99c1}" ma:internalName="TaxCatchAll" ma:showField="CatchAllData" ma:web="80212b46-bd34-44df-aae9-21548488d16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f39961-fb74-4862-baf5-724a90ca99c1}" ma:internalName="TaxCatchAllLabel" ma:readOnly="true" ma:showField="CatchAllDataLabel" ma:web="80212b46-bd34-44df-aae9-21548488d16b">
      <xsd:complexType>
        <xsd:complexContent>
          <xsd:extension base="dms:MultiChoiceLookup">
            <xsd:sequence>
              <xsd:element name="Value" type="dms:Lookup" maxOccurs="unbounded" minOccurs="0" nillable="true"/>
            </xsd:sequence>
          </xsd:extension>
        </xsd:complexContent>
      </xsd:complexType>
    </xsd:element>
    <xsd:element name="maa9dcae6b8743e1ac9a8b1f9636e8fb" ma:index="12" ma:taxonomy="true" ma:internalName="maa9dcae6b8743e1ac9a8b1f9636e8fb" ma:taxonomyFieldName="DocumentType" ma:displayName="Document Type" ma:default="" ma:fieldId="{6aa9dcae-6b87-43e1-ac9a-8b1f9636e8fb}" ma:taxonomyMulti="true" ma:sspId="f80968cf-7d74-4497-b354-a7888ff94226" ma:termSetId="38052ec0-c2eb-4e70-9201-10bd67fa08b0" ma:anchorId="00000000-0000-0000-0000-000000000000" ma:open="false" ma:isKeyword="false">
      <xsd:complexType>
        <xsd:sequence>
          <xsd:element ref="pc:Terms" minOccurs="0" maxOccurs="1"/>
        </xsd:sequence>
      </xsd:complexType>
    </xsd:element>
    <xsd:element name="pab6d7c81f834e8587de0b12ce69d530" ma:index="14" ma:taxonomy="true" ma:internalName="pab6d7c81f834e8587de0b12ce69d530" ma:taxonomyFieldName="SubjectArea" ma:displayName="Subject Area" ma:default="" ma:fieldId="{9ab6d7c8-1f83-4e85-87de-0b12ce69d530}" ma:taxonomyMulti="true" ma:sspId="f80968cf-7d74-4497-b354-a7888ff94226" ma:termSetId="fe26c664-4f94-44d1-a24b-5e722e71d4d1" ma:anchorId="00000000-0000-0000-0000-000000000000" ma:open="false" ma:isKeyword="false">
      <xsd:complexType>
        <xsd:sequence>
          <xsd:element ref="pc:Terms" minOccurs="0" maxOccurs="1"/>
        </xsd:sequence>
      </xsd:complexType>
    </xsd:element>
    <xsd:element name="NFRSContentOwner" ma:index="16" ma:displayName="Content Owner" ma:list="UserInfo" ma:SearchPeopleOnly="false" ma:SharePointGroup="0" ma:internalName="NFRS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FRSContentReviewDate" ma:index="17" ma:displayName="Content Review Date" ma:format="DateOnly" ma:internalName="NFRSContentReviewDate">
      <xsd:simpleType>
        <xsd:restriction base="dms:DateTime"/>
      </xsd:simpleType>
    </xsd:element>
    <xsd:element name="NFRSReviewFrequency" ma:index="18" nillable="true" ma:displayName="Review Frequency" ma:default="11 months" ma:format="Dropdown" ma:internalName="NFRSReviewFrequency">
      <xsd:simpleType>
        <xsd:restriction base="dms:Choice">
          <xsd:enumeration value="1 month"/>
          <xsd:enumeration value="2 months"/>
          <xsd:enumeration value="3 months"/>
          <xsd:enumeration value="4 months"/>
          <xsd:enumeration value="5 months"/>
          <xsd:enumeration value="6 months"/>
          <xsd:enumeration value="7 months"/>
          <xsd:enumeration value="8 months"/>
          <xsd:enumeration value="9 months"/>
          <xsd:enumeration value="10 months"/>
          <xsd:enumeration value="11 months"/>
          <xsd:enumeration value="12 months"/>
          <xsd:enumeration value="18 months"/>
          <xsd:enumeration value="24 month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LongProperties xmlns="http://schemas.microsoft.com/office/2006/metadata/longProperties">
  <LongProp xmlns="" name="TaxCatchAll"><![CDATA[403;#Corporate Communications and Administration|d506c440-8fd2-46a7-9a49-33caac96a20c;#27;#HQ|395b686e-d3e6-4195-abcb-cb83e0fe6bd9;#9;#Service Support|235b851b-f347-4346-9fcd-d19a0a8e1985;#1162;#Committee|3eba1635-703b-46d3-9ad2-ccfe7906efc6;#188;#Template|3a3aab4e-9c27-4d5f-8cdd-76f9bcec38a3;#18;#Reference|04256cde-a590-4810-b98e-5afc64f6b5f3]]></LongProp>
</LongProperties>
</file>

<file path=customXml/item8.xml><?xml version="1.0" encoding="utf-8"?>
<?mso-contentType ?>
<SharedContentType xmlns="Microsoft.SharePoint.Taxonomy.ContentTypeSync" SourceId="f80968cf-7d74-4497-b354-a7888ff94226" ContentTypeId="0x01010086CC0D19DD51234785A31F0F5D38B8DD" PreviousValue="false"/>
</file>

<file path=customXml/item9.xml><?xml version="1.0" encoding="utf-8"?>
<?mso-contentType ?>
<p:Policy xmlns:p="office.server.policy" id="" local="true">
  <p:Name>NFRS Document</p:Name>
  <p:Description/>
  <p:Statement/>
  <p:PolicyItems>
    <p:PolicyItem featureId="Microsoft.Office.RecordsManagement.PolicyFeatures.Expiration" staticId="0x01010086CC0D19DD51234785A31F0F5D38B8DD|78199066" UniqueId="7e14a31c-0910-48aa-adf9-41bfdcc4ea1a">
      <p:Name>Retention</p:Name>
      <p:Description>Automatic scheduling of content for processing, and performing a retention action on content that has reached its due date.</p:Description>
      <p:CustomData>
        <Schedules nextStageId="2">
          <Schedule type="Default">
            <stages>
              <data stageId="1" recur="true" offset="7" unit="days">
                <formula id="Microsoft.Office.RecordsManagement.PolicyFeatures.Expiration.Formula.BuiltIn">
                  <number>0</number>
                  <property>NFRSContentReviewDate</property>
                  <propertyId>7bd3531b-a0e5-43ef-8e98-c9a38591f548</propertyId>
                  <period>days</period>
                </formula>
                <action type="workflow" id="a7573f65-5ed5-4a96-8277-8fdf5e5be51a"/>
              </data>
            </stages>
          </Schedule>
        </Schedules>
      </p:CustomData>
    </p:PolicyItem>
  </p:PolicyItems>
</p:Policy>
</file>

<file path=customXml/itemProps1.xml><?xml version="1.0" encoding="utf-8"?>
<ds:datastoreItem xmlns:ds="http://schemas.openxmlformats.org/officeDocument/2006/customXml" ds:itemID="{960F60C3-86FC-4831-8AE1-2F2BABD84F25}">
  <ds:schemaRefs>
    <ds:schemaRef ds:uri="http://schemas.microsoft.com/office/2006/metadata/longProperties"/>
  </ds:schemaRefs>
</ds:datastoreItem>
</file>

<file path=customXml/itemProps10.xml><?xml version="1.0" encoding="utf-8"?>
<ds:datastoreItem xmlns:ds="http://schemas.openxmlformats.org/officeDocument/2006/customXml" ds:itemID="{7D3892C3-293C-4F88-89F3-54A27BAD2CF2}"/>
</file>

<file path=customXml/itemProps2.xml><?xml version="1.0" encoding="utf-8"?>
<ds:datastoreItem xmlns:ds="http://schemas.openxmlformats.org/officeDocument/2006/customXml" ds:itemID="{9711B6FD-3A67-4ADA-A12D-4DDDA07FCD56}">
  <ds:schemaRefs>
    <ds:schemaRef ds:uri="http://schemas.microsoft.com/sharepoint/v3/contenttype/forms"/>
  </ds:schemaRefs>
</ds:datastoreItem>
</file>

<file path=customXml/itemProps3.xml><?xml version="1.0" encoding="utf-8"?>
<ds:datastoreItem xmlns:ds="http://schemas.openxmlformats.org/officeDocument/2006/customXml" ds:itemID="{0BB43616-60A9-4924-A4F8-88B5ED9CB1CA}">
  <ds:schemaRefs>
    <ds:schemaRef ds:uri="http://schemas.openxmlformats.org/officeDocument/2006/bibliography"/>
  </ds:schemaRefs>
</ds:datastoreItem>
</file>

<file path=customXml/itemProps4.xml><?xml version="1.0" encoding="utf-8"?>
<ds:datastoreItem xmlns:ds="http://schemas.openxmlformats.org/officeDocument/2006/customXml" ds:itemID="{299ABB0A-B5DD-445C-BB1F-4186D2DDA95C}">
  <ds:schemaRefs>
    <ds:schemaRef ds:uri="http://schemas.microsoft.com/sharepoint/v3/contenttype/forms"/>
  </ds:schemaRefs>
</ds:datastoreItem>
</file>

<file path=customXml/itemProps5.xml><?xml version="1.0" encoding="utf-8"?>
<ds:datastoreItem xmlns:ds="http://schemas.openxmlformats.org/officeDocument/2006/customXml" ds:itemID="{55DD9B5D-21B0-45CC-A052-A87C869D8A2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097AF1B-EC08-4F33-B515-499D0DCCA492}"/>
</file>

<file path=customXml/itemProps7.xml><?xml version="1.0" encoding="utf-8"?>
<ds:datastoreItem xmlns:ds="http://schemas.openxmlformats.org/officeDocument/2006/customXml" ds:itemID="{3D9D7742-071B-47E3-B1B7-35EBAE56EE8F}">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103E8E66-EA48-40F5-B511-2CB6D4F9C52B}"/>
</file>

<file path=customXml/itemProps9.xml><?xml version="1.0" encoding="utf-8"?>
<ds:datastoreItem xmlns:ds="http://schemas.openxmlformats.org/officeDocument/2006/customXml" ds:itemID="{B69C0597-A2A4-42FB-BE72-D4B9483C7BE8}"/>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7520</Characters>
  <Application>Microsoft Office Word</Application>
  <DocSecurity>0</DocSecurity>
  <Lines>62</Lines>
  <Paragraphs>17</Paragraphs>
  <ScaleCrop>false</ScaleCrop>
  <Company>Notts Fire &amp; Rescue Service</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Wholetime case study</dc:title>
  <dc:subject/>
  <dc:creator>Template User</dc:creator>
  <cp:keywords/>
  <dc:description/>
  <cp:lastModifiedBy>Matt Sismey</cp:lastModifiedBy>
  <cp:revision>6</cp:revision>
  <cp:lastPrinted>2018-10-30T13:49:00Z</cp:lastPrinted>
  <dcterms:created xsi:type="dcterms:W3CDTF">2021-06-18T16:55:00Z</dcterms:created>
  <dcterms:modified xsi:type="dcterms:W3CDTF">2021-07-07T16:12:00Z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5XJZCSVMNT4C-526-344</vt:lpwstr>
  </property>
  <property fmtid="{D5CDD505-2E9C-101B-9397-08002B2CF9AE}" pid="3" name="_dlc_DocIdItemGuid">
    <vt:lpwstr>116d9593-5e7a-43dd-b289-3106ca47e8f5</vt:lpwstr>
  </property>
  <property fmtid="{D5CDD505-2E9C-101B-9397-08002B2CF9AE}" pid="4" name="_dlc_DocIdUrl">
    <vt:lpwstr>http://intranet/reflib/_layouts/DocIdRedir.aspx?ID=5XJZCSVMNT4C-526-344, 5XJZCSVMNT4C-526-344</vt:lpwstr>
  </property>
  <property fmtid="{D5CDD505-2E9C-101B-9397-08002B2CF9AE}" pid="5" name="Type of Information">
    <vt:lpwstr>Template</vt:lpwstr>
  </property>
  <property fmtid="{D5CDD505-2E9C-101B-9397-08002B2CF9AE}" pid="6" name="MyNetThemes">
    <vt:lpwstr/>
  </property>
  <property fmtid="{D5CDD505-2E9C-101B-9397-08002B2CF9AE}" pid="7" name="Document Owners 2013">
    <vt:lpwstr/>
  </property>
  <property fmtid="{D5CDD505-2E9C-101B-9397-08002B2CF9AE}" pid="8" name="Document Plan 2013">
    <vt:lpwstr/>
  </property>
  <property fmtid="{D5CDD505-2E9C-101B-9397-08002B2CF9AE}" pid="9" name="ItemRetentionFormula">
    <vt:lpwstr>&lt;formula id="Microsoft.Office.RecordsManagement.PolicyFeatures.Expiration.Formula.BuiltIn"&gt;&lt;number&gt;0&lt;/number&gt;&lt;property&gt;NFRSContentReviewDate&lt;/property&gt;&lt;propertyId&gt;7bd3531b-a0e5-43ef-8e98-c9a38591f548&lt;/propertyId&gt;&lt;period&gt;days&lt;/period&gt;&lt;/formula&gt;</vt:lpwstr>
  </property>
  <property fmtid="{D5CDD505-2E9C-101B-9397-08002B2CF9AE}" pid="10" name="_dlc_policyId">
    <vt:lpwstr>0x01010086CC0D19DD51234785A31F0F5D38B8DD|78199066</vt:lpwstr>
  </property>
  <property fmtid="{D5CDD505-2E9C-101B-9397-08002B2CF9AE}" pid="11" name="d8084d001726429ba9a7350e33c791ba">
    <vt:lpwstr>Service Support|235b851b-f347-4346-9fcd-d19a0a8e1985</vt:lpwstr>
  </property>
  <property fmtid="{D5CDD505-2E9C-101B-9397-08002B2CF9AE}" pid="12" name="MyNetTheme">
    <vt:lpwstr>9;#Service Support|235b851b-f347-4346-9fcd-d19a0a8e1985</vt:lpwstr>
  </property>
  <property fmtid="{D5CDD505-2E9C-101B-9397-08002B2CF9AE}" pid="13" name="TaxKeywordTaxHTField">
    <vt:lpwstr>Committee|3eba1635-703b-46d3-9ad2-ccfe7906efc6;Template|3a3aab4e-9c27-4d5f-8cdd-76f9bcec38a3</vt:lpwstr>
  </property>
  <property fmtid="{D5CDD505-2E9C-101B-9397-08002B2CF9AE}" pid="14" name="TaxKeyword">
    <vt:lpwstr>1162;#Committee|3eba1635-703b-46d3-9ad2-ccfe7906efc6;#188;#Template|3a3aab4e-9c27-4d5f-8cdd-76f9bcec38a3</vt:lpwstr>
  </property>
  <property fmtid="{D5CDD505-2E9C-101B-9397-08002B2CF9AE}" pid="15" name="TaxCatchAll">
    <vt:lpwstr>403;#Corporate Communications and Administration|d506c440-8fd2-46a7-9a49-33caac96a20c;#27;#HQ|395b686e-d3e6-4195-abcb-cb83e0fe6bd9;#9;#Service Support|235b851b-f347-4346-9fcd-d19a0a8e1985;#1162;#Committee|3eba1635-703b-46d3-9ad2-ccfe7906efc6;#188;#Templat</vt:lpwstr>
  </property>
  <property fmtid="{D5CDD505-2E9C-101B-9397-08002B2CF9AE}" pid="16" name="NFRS-Location">
    <vt:lpwstr>27;#HQ|395b686e-d3e6-4195-abcb-cb83e0fe6bd9</vt:lpwstr>
  </property>
  <property fmtid="{D5CDD505-2E9C-101B-9397-08002B2CF9AE}" pid="17" name="DocumentType">
    <vt:lpwstr>25;#Reference|04256cde-a590-4810-b98e-5afc64f6b5f3</vt:lpwstr>
  </property>
  <property fmtid="{D5CDD505-2E9C-101B-9397-08002B2CF9AE}" pid="18" name="NFRSDepartment">
    <vt:lpwstr>403;#Corporate Communications and Administration|d506c440-8fd2-46a7-9a49-33caac96a20c</vt:lpwstr>
  </property>
  <property fmtid="{D5CDD505-2E9C-101B-9397-08002B2CF9AE}" pid="19" name="NFRSContentReviewDate">
    <vt:lpwstr>2019-11-28T00:00:00Z</vt:lpwstr>
  </property>
  <property fmtid="{D5CDD505-2E9C-101B-9397-08002B2CF9AE}" pid="20" name="j97bbef6b27a49b3ba4efdc2462d18c1">
    <vt:lpwstr>HQ|395b686e-d3e6-4195-abcb-cb83e0fe6bd9</vt:lpwstr>
  </property>
  <property fmtid="{D5CDD505-2E9C-101B-9397-08002B2CF9AE}" pid="21" name="mc5ad8f46b9e4177a2254a4a21ddac0f">
    <vt:lpwstr>Corporate Communications and Administration|d506c440-8fd2-46a7-9a49-33caac96a20c</vt:lpwstr>
  </property>
  <property fmtid="{D5CDD505-2E9C-101B-9397-08002B2CF9AE}" pid="22" name="display_urn:schemas-microsoft-com:office:office#NFRSContentOwner">
    <vt:lpwstr>Lea-Anne Abbiss</vt:lpwstr>
  </property>
  <property fmtid="{D5CDD505-2E9C-101B-9397-08002B2CF9AE}" pid="23" name="maa9dcae6b8743e1ac9a8b1f9636e8fb">
    <vt:lpwstr>Reference|04256cde-a590-4810-b98e-5afc64f6b5f3</vt:lpwstr>
  </property>
  <property fmtid="{D5CDD505-2E9C-101B-9397-08002B2CF9AE}" pid="24" name="NFRSContentOwner">
    <vt:lpwstr>159</vt:lpwstr>
  </property>
  <property fmtid="{D5CDD505-2E9C-101B-9397-08002B2CF9AE}" pid="25" name="_dlc_ExpireDate">
    <vt:lpwstr>2019-11-28T00:00:00Z</vt:lpwstr>
  </property>
  <property fmtid="{D5CDD505-2E9C-101B-9397-08002B2CF9AE}" pid="26" name="ContentTypeId">
    <vt:lpwstr>0x01010086CC0D19DD51234785A31F0F5D38B8DD00D6CB1C79A928014B89B4538FE28EB078</vt:lpwstr>
  </property>
  <property fmtid="{D5CDD505-2E9C-101B-9397-08002B2CF9AE}" pid="27" name="ServiceArea">
    <vt:lpwstr/>
  </property>
  <property fmtid="{D5CDD505-2E9C-101B-9397-08002B2CF9AE}" pid="28" name="SubjectArea">
    <vt:lpwstr>2;#Equality and Diversity|d2469adb-5c89-4d96-a49c-c3f2551e4bdb</vt:lpwstr>
  </property>
</Properties>
</file>