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F61D05" w14:textId="3CCC4CDE" w:rsidR="00DD39A5" w:rsidRDefault="00A223CE" w:rsidP="000A507E">
      <w:r>
        <w:rPr>
          <w:noProof/>
        </w:rPr>
        <w:drawing>
          <wp:anchor distT="0" distB="0" distL="114300" distR="114300" simplePos="0" relativeHeight="251658241" behindDoc="1" locked="0" layoutInCell="1" allowOverlap="1" wp14:anchorId="5619E5E1" wp14:editId="04ADAD61">
            <wp:simplePos x="0" y="0"/>
            <wp:positionH relativeFrom="page">
              <wp:align>right</wp:align>
            </wp:positionH>
            <wp:positionV relativeFrom="paragraph">
              <wp:posOffset>-914400</wp:posOffset>
            </wp:positionV>
            <wp:extent cx="7632700" cy="10788015"/>
            <wp:effectExtent l="0" t="0" r="6350" b="0"/>
            <wp:wrapNone/>
            <wp:docPr id="127854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4113"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2700" cy="107880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7B5F12E4" wp14:editId="15E115B8">
            <wp:simplePos x="0" y="0"/>
            <wp:positionH relativeFrom="page">
              <wp:align>left</wp:align>
            </wp:positionH>
            <wp:positionV relativeFrom="paragraph">
              <wp:posOffset>-914400</wp:posOffset>
            </wp:positionV>
            <wp:extent cx="8258175" cy="5505145"/>
            <wp:effectExtent l="0" t="0" r="0" b="635"/>
            <wp:wrapNone/>
            <wp:docPr id="777885899" name="Picture 3" descr="A group of firefighters in yellow ja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85899" name="Picture 3" descr="A group of firefighters in yellow jacket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78210" cy="5518501"/>
                    </a:xfrm>
                    <a:prstGeom prst="rect">
                      <a:avLst/>
                    </a:prstGeom>
                  </pic:spPr>
                </pic:pic>
              </a:graphicData>
            </a:graphic>
            <wp14:sizeRelH relativeFrom="page">
              <wp14:pctWidth>0</wp14:pctWidth>
            </wp14:sizeRelH>
            <wp14:sizeRelV relativeFrom="page">
              <wp14:pctHeight>0</wp14:pctHeight>
            </wp14:sizeRelV>
          </wp:anchor>
        </w:drawing>
      </w:r>
      <w:r w:rsidR="00922126" w:rsidRPr="00922126">
        <w:t xml:space="preserve"> </w:t>
      </w:r>
    </w:p>
    <w:p w14:paraId="2061A323" w14:textId="0FB83992" w:rsidR="00DD39A5" w:rsidRDefault="00DD39A5" w:rsidP="000A507E"/>
    <w:p w14:paraId="6E5998EE" w14:textId="745CAEDD" w:rsidR="00DD39A5" w:rsidRDefault="00DD39A5" w:rsidP="00FA1574">
      <w:pPr>
        <w:jc w:val="right"/>
      </w:pPr>
    </w:p>
    <w:p w14:paraId="62B81282" w14:textId="0EAA670B" w:rsidR="00DD39A5" w:rsidRDefault="00DD39A5" w:rsidP="000A507E"/>
    <w:p w14:paraId="1B6CBC1F" w14:textId="086ACE18" w:rsidR="00DD39A5" w:rsidRDefault="00DD39A5" w:rsidP="000A507E"/>
    <w:p w14:paraId="1974D885" w14:textId="6A409B52" w:rsidR="00DD39A5" w:rsidRDefault="00DD39A5" w:rsidP="000A507E"/>
    <w:p w14:paraId="395D2D2C" w14:textId="663B7200" w:rsidR="00DD39A5" w:rsidRPr="00C91E1C" w:rsidRDefault="00DD39A5" w:rsidP="000A507E"/>
    <w:p w14:paraId="3BAE8EF6" w14:textId="6841F34D" w:rsidR="00DD39A5" w:rsidRDefault="00DD39A5" w:rsidP="000A507E"/>
    <w:p w14:paraId="0B512EFF" w14:textId="21410558" w:rsidR="00DD39A5" w:rsidRDefault="00DD39A5" w:rsidP="000A507E"/>
    <w:p w14:paraId="306979EA" w14:textId="79D2098D" w:rsidR="00DD39A5" w:rsidRDefault="008C25A8" w:rsidP="000A507E">
      <w:r>
        <w:tab/>
      </w:r>
    </w:p>
    <w:p w14:paraId="3D517DB7" w14:textId="2AA0E5C3" w:rsidR="00DD39A5" w:rsidRDefault="00DD39A5" w:rsidP="000A507E"/>
    <w:p w14:paraId="04C46A11" w14:textId="3AD80699" w:rsidR="00DD39A5" w:rsidRDefault="00DD39A5" w:rsidP="000A507E"/>
    <w:p w14:paraId="0B715F19" w14:textId="3CF7138A" w:rsidR="00DD39A5" w:rsidRDefault="00DD39A5" w:rsidP="000A507E"/>
    <w:p w14:paraId="741F5EBC" w14:textId="4C7A98D6" w:rsidR="00DD39A5" w:rsidRDefault="00DD39A5" w:rsidP="000A507E"/>
    <w:p w14:paraId="5199171B" w14:textId="7EF51738" w:rsidR="087FF7E0" w:rsidRDefault="087FF7E0" w:rsidP="087FF7E0">
      <w:pPr>
        <w:pStyle w:val="Heading1"/>
      </w:pPr>
    </w:p>
    <w:p w14:paraId="753BB23F" w14:textId="77777777" w:rsidR="004D08E8" w:rsidRDefault="004D08E8" w:rsidP="000A507E">
      <w:pPr>
        <w:pStyle w:val="Heading1"/>
      </w:pPr>
      <w:bookmarkStart w:id="0" w:name="_Toc158301539"/>
    </w:p>
    <w:bookmarkEnd w:id="0"/>
    <w:p w14:paraId="16BDEB38" w14:textId="77777777" w:rsidR="00FA1574" w:rsidRDefault="00FA1574" w:rsidP="000A507E">
      <w:pPr>
        <w:pStyle w:val="Heading1"/>
        <w:rPr>
          <w:b w:val="0"/>
          <w:bCs w:val="0"/>
          <w:sz w:val="44"/>
          <w:szCs w:val="44"/>
        </w:rPr>
      </w:pPr>
    </w:p>
    <w:p w14:paraId="2992518A" w14:textId="6BF4506A" w:rsidR="00DD39A5" w:rsidRPr="00A223CE" w:rsidRDefault="00FA1574" w:rsidP="000A507E">
      <w:pPr>
        <w:pStyle w:val="Heading1"/>
        <w:rPr>
          <w:b w:val="0"/>
          <w:bCs w:val="0"/>
          <w:sz w:val="40"/>
          <w:szCs w:val="40"/>
        </w:rPr>
      </w:pPr>
      <w:r w:rsidRPr="00A223CE">
        <w:rPr>
          <w:b w:val="0"/>
          <w:bCs w:val="0"/>
          <w:sz w:val="40"/>
          <w:szCs w:val="40"/>
        </w:rPr>
        <w:t>Nottinghamshire Fire &amp; Rescue Service</w:t>
      </w:r>
    </w:p>
    <w:p w14:paraId="25B410AB" w14:textId="0B6F3553" w:rsidR="00DD39A5" w:rsidRPr="00A223CE" w:rsidRDefault="00FA1574" w:rsidP="000A507E">
      <w:pPr>
        <w:pStyle w:val="Subtitle"/>
        <w:rPr>
          <w:b/>
          <w:bCs/>
          <w:sz w:val="56"/>
          <w:szCs w:val="56"/>
        </w:rPr>
      </w:pPr>
      <w:r w:rsidRPr="00A223CE">
        <w:rPr>
          <w:b/>
          <w:bCs/>
          <w:sz w:val="56"/>
          <w:szCs w:val="56"/>
        </w:rPr>
        <w:t xml:space="preserve">Community Risk Management Plan – Consultation Report </w:t>
      </w:r>
    </w:p>
    <w:p w14:paraId="6DB04F35" w14:textId="0D47F9F7" w:rsidR="000F365F" w:rsidRDefault="000F365F" w:rsidP="000F365F"/>
    <w:p w14:paraId="78F33F58" w14:textId="3E543BC4" w:rsidR="402B1B21" w:rsidRDefault="00FA1574" w:rsidP="001D3A44">
      <w:r>
        <w:rPr>
          <w:noProof/>
        </w:rPr>
        <mc:AlternateContent>
          <mc:Choice Requires="wps">
            <w:drawing>
              <wp:anchor distT="0" distB="0" distL="114300" distR="114300" simplePos="0" relativeHeight="251659265" behindDoc="0" locked="0" layoutInCell="1" allowOverlap="1" wp14:anchorId="40859F93" wp14:editId="40F59CD9">
                <wp:simplePos x="0" y="0"/>
                <wp:positionH relativeFrom="column">
                  <wp:posOffset>-466725</wp:posOffset>
                </wp:positionH>
                <wp:positionV relativeFrom="paragraph">
                  <wp:posOffset>1438275</wp:posOffset>
                </wp:positionV>
                <wp:extent cx="2200275" cy="1438275"/>
                <wp:effectExtent l="0" t="0" r="9525" b="9525"/>
                <wp:wrapNone/>
                <wp:docPr id="679698824" name="Rectangle 1"/>
                <wp:cNvGraphicFramePr/>
                <a:graphic xmlns:a="http://schemas.openxmlformats.org/drawingml/2006/main">
                  <a:graphicData uri="http://schemas.microsoft.com/office/word/2010/wordprocessingShape">
                    <wps:wsp>
                      <wps:cNvSpPr/>
                      <wps:spPr>
                        <a:xfrm>
                          <a:off x="0" y="0"/>
                          <a:ext cx="2200275" cy="1438275"/>
                        </a:xfrm>
                        <a:prstGeom prst="rect">
                          <a:avLst/>
                        </a:prstGeom>
                        <a:solidFill>
                          <a:srgbClr val="CA473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D553C2" id="Rectangle 1" o:spid="_x0000_s1026" style="position:absolute;margin-left:-36.75pt;margin-top:113.25pt;width:173.25pt;height:113.2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" fillcolor="#ca473d" stroked="f" strokeweight="1pt"/>
            </w:pict>
          </mc:Fallback>
        </mc:AlternateContent>
      </w:r>
      <w:r w:rsidR="000F365F">
        <w:br w:type="page"/>
      </w:r>
    </w:p>
    <w:p w14:paraId="1CD3338E" w14:textId="2624BBE5" w:rsidR="000F365F" w:rsidRPr="00A30C20" w:rsidRDefault="00FA1574" w:rsidP="000F365F">
      <w:pPr>
        <w:pStyle w:val="Heading2"/>
        <w:rPr>
          <w:rFonts w:ascii="Arial" w:hAnsi="Arial" w:cs="Arial"/>
        </w:rPr>
      </w:pPr>
      <w:r w:rsidRPr="00A30C20">
        <w:rPr>
          <w:rFonts w:ascii="Arial" w:hAnsi="Arial" w:cs="Arial"/>
        </w:rPr>
        <w:lastRenderedPageBreak/>
        <w:t>Contents</w:t>
      </w:r>
    </w:p>
    <w:p w14:paraId="5B421F7F" w14:textId="77777777" w:rsidR="00537E6C" w:rsidRPr="00A30C20" w:rsidRDefault="00537E6C" w:rsidP="00537E6C">
      <w:pPr>
        <w:rPr>
          <w:rFonts w:ascii="Arial" w:hAnsi="Arial" w:cs="Arial"/>
        </w:rPr>
      </w:pPr>
    </w:p>
    <w:tbl>
      <w:tblPr>
        <w:tblStyle w:val="TableGrid"/>
        <w:tblW w:w="0" w:type="auto"/>
        <w:tblLook w:val="04A0" w:firstRow="1" w:lastRow="0" w:firstColumn="1" w:lastColumn="0" w:noHBand="0" w:noVBand="1"/>
      </w:tblPr>
      <w:tblGrid>
        <w:gridCol w:w="6799"/>
        <w:gridCol w:w="2217"/>
      </w:tblGrid>
      <w:tr w:rsidR="00FA1574" w:rsidRPr="00A30C20" w14:paraId="549B462E" w14:textId="77777777" w:rsidTr="00FA1574">
        <w:trPr>
          <w:trHeight w:val="680"/>
        </w:trPr>
        <w:tc>
          <w:tcPr>
            <w:tcW w:w="6799" w:type="dxa"/>
            <w:vAlign w:val="center"/>
          </w:tcPr>
          <w:p w14:paraId="4B0245C6" w14:textId="14151838" w:rsidR="00FA1574" w:rsidRPr="00A30C20" w:rsidRDefault="00FA1574" w:rsidP="00FA1574">
            <w:pPr>
              <w:spacing w:after="200" w:line="276" w:lineRule="auto"/>
              <w:rPr>
                <w:rFonts w:ascii="Arial" w:hAnsi="Arial" w:cs="Arial"/>
              </w:rPr>
            </w:pPr>
            <w:r w:rsidRPr="00A30C20">
              <w:rPr>
                <w:rFonts w:ascii="Arial" w:hAnsi="Arial" w:cs="Arial"/>
                <w:b/>
                <w:bCs/>
              </w:rPr>
              <w:t>Part 1:</w:t>
            </w:r>
            <w:r w:rsidRPr="00A30C20">
              <w:rPr>
                <w:rFonts w:ascii="Arial" w:hAnsi="Arial" w:cs="Arial"/>
              </w:rPr>
              <w:t xml:space="preserve"> Introduction, Context &amp; Goals</w:t>
            </w:r>
          </w:p>
        </w:tc>
        <w:tc>
          <w:tcPr>
            <w:tcW w:w="2217" w:type="dxa"/>
            <w:vAlign w:val="center"/>
          </w:tcPr>
          <w:p w14:paraId="313B8CF4" w14:textId="63195CAB" w:rsidR="00FA1574" w:rsidRPr="00A30C20" w:rsidRDefault="00FA1574" w:rsidP="00FA1574">
            <w:pPr>
              <w:spacing w:after="200" w:line="276" w:lineRule="auto"/>
              <w:rPr>
                <w:rFonts w:ascii="Arial" w:hAnsi="Arial" w:cs="Arial"/>
              </w:rPr>
            </w:pPr>
            <w:r w:rsidRPr="00A30C20">
              <w:rPr>
                <w:rFonts w:ascii="Arial" w:hAnsi="Arial" w:cs="Arial"/>
              </w:rPr>
              <w:t>Page 3</w:t>
            </w:r>
          </w:p>
        </w:tc>
      </w:tr>
      <w:tr w:rsidR="00FA1574" w:rsidRPr="00A30C20" w14:paraId="1A757332" w14:textId="77777777" w:rsidTr="00FA1574">
        <w:trPr>
          <w:trHeight w:val="680"/>
        </w:trPr>
        <w:tc>
          <w:tcPr>
            <w:tcW w:w="6799" w:type="dxa"/>
            <w:vAlign w:val="center"/>
          </w:tcPr>
          <w:p w14:paraId="63E02EDF" w14:textId="64394853" w:rsidR="00FA1574" w:rsidRPr="00A30C20" w:rsidRDefault="00FA1574" w:rsidP="00FA1574">
            <w:pPr>
              <w:spacing w:after="200" w:line="276" w:lineRule="auto"/>
              <w:rPr>
                <w:rFonts w:ascii="Arial" w:hAnsi="Arial" w:cs="Arial"/>
              </w:rPr>
            </w:pPr>
            <w:r w:rsidRPr="00A30C20">
              <w:rPr>
                <w:rFonts w:ascii="Arial" w:hAnsi="Arial" w:cs="Arial"/>
                <w:b/>
                <w:bCs/>
              </w:rPr>
              <w:t>Part 2:</w:t>
            </w:r>
            <w:r w:rsidRPr="00A30C20">
              <w:rPr>
                <w:rFonts w:ascii="Arial" w:hAnsi="Arial" w:cs="Arial"/>
              </w:rPr>
              <w:t xml:space="preserve"> Consultation Participation</w:t>
            </w:r>
          </w:p>
        </w:tc>
        <w:tc>
          <w:tcPr>
            <w:tcW w:w="2217" w:type="dxa"/>
            <w:vAlign w:val="center"/>
          </w:tcPr>
          <w:p w14:paraId="2A730AE3" w14:textId="6A8796D2" w:rsidR="00FA1574" w:rsidRPr="00A30C20" w:rsidRDefault="00FA1574" w:rsidP="00FA1574">
            <w:pPr>
              <w:spacing w:after="200" w:line="276" w:lineRule="auto"/>
              <w:rPr>
                <w:rFonts w:ascii="Arial" w:hAnsi="Arial" w:cs="Arial"/>
              </w:rPr>
            </w:pPr>
            <w:r w:rsidRPr="00A30C20">
              <w:rPr>
                <w:rFonts w:ascii="Arial" w:hAnsi="Arial" w:cs="Arial"/>
              </w:rPr>
              <w:t xml:space="preserve">Page </w:t>
            </w:r>
            <w:r w:rsidR="00A4164E">
              <w:rPr>
                <w:rFonts w:ascii="Arial" w:hAnsi="Arial" w:cs="Arial"/>
              </w:rPr>
              <w:t>11</w:t>
            </w:r>
          </w:p>
        </w:tc>
      </w:tr>
      <w:tr w:rsidR="00FA1574" w:rsidRPr="00A30C20" w14:paraId="4DD4D9A4" w14:textId="77777777" w:rsidTr="00FA1574">
        <w:trPr>
          <w:trHeight w:val="680"/>
        </w:trPr>
        <w:tc>
          <w:tcPr>
            <w:tcW w:w="6799" w:type="dxa"/>
            <w:vAlign w:val="center"/>
          </w:tcPr>
          <w:p w14:paraId="26D0F8A4" w14:textId="2CDA0A62" w:rsidR="00FA1574" w:rsidRPr="00A30C20" w:rsidRDefault="00FA1574" w:rsidP="00FA1574">
            <w:pPr>
              <w:spacing w:after="200" w:line="276" w:lineRule="auto"/>
              <w:rPr>
                <w:rFonts w:ascii="Arial" w:hAnsi="Arial" w:cs="Arial"/>
              </w:rPr>
            </w:pPr>
            <w:r w:rsidRPr="00A30C20">
              <w:rPr>
                <w:rFonts w:ascii="Arial" w:hAnsi="Arial" w:cs="Arial"/>
                <w:b/>
                <w:bCs/>
              </w:rPr>
              <w:t>Part 3:</w:t>
            </w:r>
            <w:r w:rsidRPr="00A30C20">
              <w:rPr>
                <w:rFonts w:ascii="Arial" w:hAnsi="Arial" w:cs="Arial"/>
              </w:rPr>
              <w:t xml:space="preserve"> Consultation Survey Results</w:t>
            </w:r>
          </w:p>
        </w:tc>
        <w:tc>
          <w:tcPr>
            <w:tcW w:w="2217" w:type="dxa"/>
            <w:vAlign w:val="center"/>
          </w:tcPr>
          <w:p w14:paraId="39DF7D40" w14:textId="3825612B" w:rsidR="00FA1574" w:rsidRPr="00A30C20" w:rsidRDefault="00FA1574" w:rsidP="00FA1574">
            <w:pPr>
              <w:spacing w:after="200" w:line="276" w:lineRule="auto"/>
              <w:rPr>
                <w:rFonts w:ascii="Arial" w:hAnsi="Arial" w:cs="Arial"/>
              </w:rPr>
            </w:pPr>
            <w:r w:rsidRPr="00A30C20">
              <w:rPr>
                <w:rFonts w:ascii="Arial" w:hAnsi="Arial" w:cs="Arial"/>
              </w:rPr>
              <w:t>Page 1</w:t>
            </w:r>
            <w:r w:rsidR="00A4164E">
              <w:rPr>
                <w:rFonts w:ascii="Arial" w:hAnsi="Arial" w:cs="Arial"/>
              </w:rPr>
              <w:t>8</w:t>
            </w:r>
          </w:p>
        </w:tc>
      </w:tr>
      <w:tr w:rsidR="00FA1574" w:rsidRPr="00A30C20" w14:paraId="66E294E8" w14:textId="77777777" w:rsidTr="00FA1574">
        <w:trPr>
          <w:trHeight w:val="680"/>
        </w:trPr>
        <w:tc>
          <w:tcPr>
            <w:tcW w:w="6799" w:type="dxa"/>
            <w:vAlign w:val="center"/>
          </w:tcPr>
          <w:p w14:paraId="79AE36CD" w14:textId="55D6FC83" w:rsidR="00FA1574" w:rsidRPr="00A30C20" w:rsidRDefault="00FA1574" w:rsidP="00FA1574">
            <w:pPr>
              <w:spacing w:after="200" w:line="276" w:lineRule="auto"/>
              <w:rPr>
                <w:rFonts w:ascii="Arial" w:hAnsi="Arial" w:cs="Arial"/>
              </w:rPr>
            </w:pPr>
            <w:r w:rsidRPr="00A30C20">
              <w:rPr>
                <w:rFonts w:ascii="Arial" w:hAnsi="Arial" w:cs="Arial"/>
                <w:b/>
                <w:bCs/>
              </w:rPr>
              <w:t>Part 4:</w:t>
            </w:r>
            <w:r w:rsidRPr="00A30C20">
              <w:rPr>
                <w:rFonts w:ascii="Arial" w:hAnsi="Arial" w:cs="Arial"/>
              </w:rPr>
              <w:t xml:space="preserve"> Consultation Focus Group Results</w:t>
            </w:r>
          </w:p>
        </w:tc>
        <w:tc>
          <w:tcPr>
            <w:tcW w:w="2217" w:type="dxa"/>
            <w:vAlign w:val="center"/>
          </w:tcPr>
          <w:p w14:paraId="2B794897" w14:textId="245B6DC6" w:rsidR="00FA1574" w:rsidRPr="00A30C20" w:rsidRDefault="00FA1574" w:rsidP="00FA1574">
            <w:pPr>
              <w:spacing w:after="200" w:line="276" w:lineRule="auto"/>
              <w:rPr>
                <w:rFonts w:ascii="Arial" w:hAnsi="Arial" w:cs="Arial"/>
              </w:rPr>
            </w:pPr>
            <w:r w:rsidRPr="00A30C20">
              <w:rPr>
                <w:rFonts w:ascii="Arial" w:hAnsi="Arial" w:cs="Arial"/>
              </w:rPr>
              <w:t>Page 2</w:t>
            </w:r>
            <w:r w:rsidR="00A4164E">
              <w:rPr>
                <w:rFonts w:ascii="Arial" w:hAnsi="Arial" w:cs="Arial"/>
              </w:rPr>
              <w:t>5</w:t>
            </w:r>
          </w:p>
        </w:tc>
      </w:tr>
      <w:tr w:rsidR="00FA1574" w:rsidRPr="00A30C20" w14:paraId="5FBF4580" w14:textId="77777777" w:rsidTr="00FA1574">
        <w:trPr>
          <w:trHeight w:val="680"/>
        </w:trPr>
        <w:tc>
          <w:tcPr>
            <w:tcW w:w="6799" w:type="dxa"/>
            <w:vAlign w:val="center"/>
          </w:tcPr>
          <w:p w14:paraId="4055E2B2" w14:textId="009152D8" w:rsidR="00FA1574" w:rsidRPr="00A30C20" w:rsidRDefault="00FA1574" w:rsidP="00FA1574">
            <w:pPr>
              <w:spacing w:after="200" w:line="276" w:lineRule="auto"/>
              <w:rPr>
                <w:rFonts w:ascii="Arial" w:hAnsi="Arial" w:cs="Arial"/>
              </w:rPr>
            </w:pPr>
            <w:r w:rsidRPr="00A30C20">
              <w:rPr>
                <w:rFonts w:ascii="Arial" w:hAnsi="Arial" w:cs="Arial"/>
                <w:b/>
                <w:bCs/>
              </w:rPr>
              <w:t>Part 5:</w:t>
            </w:r>
            <w:r w:rsidRPr="00A30C20">
              <w:rPr>
                <w:rFonts w:ascii="Arial" w:hAnsi="Arial" w:cs="Arial"/>
              </w:rPr>
              <w:t xml:space="preserve"> Peer Review Feedback</w:t>
            </w:r>
          </w:p>
        </w:tc>
        <w:tc>
          <w:tcPr>
            <w:tcW w:w="2217" w:type="dxa"/>
            <w:vAlign w:val="center"/>
          </w:tcPr>
          <w:p w14:paraId="39E6A11A" w14:textId="06E1E4D0" w:rsidR="00FA1574" w:rsidRPr="00A30C20" w:rsidRDefault="00FA1574" w:rsidP="00FA1574">
            <w:pPr>
              <w:spacing w:after="200" w:line="276" w:lineRule="auto"/>
              <w:rPr>
                <w:rFonts w:ascii="Arial" w:hAnsi="Arial" w:cs="Arial"/>
              </w:rPr>
            </w:pPr>
            <w:r w:rsidRPr="00A30C20">
              <w:rPr>
                <w:rFonts w:ascii="Arial" w:hAnsi="Arial" w:cs="Arial"/>
              </w:rPr>
              <w:t>Page 2</w:t>
            </w:r>
            <w:r w:rsidR="00A223CE">
              <w:rPr>
                <w:rFonts w:ascii="Arial" w:hAnsi="Arial" w:cs="Arial"/>
              </w:rPr>
              <w:t>9</w:t>
            </w:r>
          </w:p>
        </w:tc>
      </w:tr>
      <w:tr w:rsidR="00FA1574" w:rsidRPr="00A30C20" w14:paraId="7991D3C4" w14:textId="77777777" w:rsidTr="00FA1574">
        <w:trPr>
          <w:trHeight w:val="680"/>
        </w:trPr>
        <w:tc>
          <w:tcPr>
            <w:tcW w:w="6799" w:type="dxa"/>
            <w:vAlign w:val="center"/>
          </w:tcPr>
          <w:p w14:paraId="1D777022" w14:textId="76BB6A9F" w:rsidR="00FA1574" w:rsidRPr="00A30C20" w:rsidRDefault="00FA1574" w:rsidP="00FA1574">
            <w:pPr>
              <w:spacing w:after="200" w:line="276" w:lineRule="auto"/>
              <w:rPr>
                <w:rFonts w:ascii="Arial" w:hAnsi="Arial" w:cs="Arial"/>
              </w:rPr>
            </w:pPr>
            <w:r w:rsidRPr="00A30C20">
              <w:rPr>
                <w:rFonts w:ascii="Arial" w:hAnsi="Arial" w:cs="Arial"/>
                <w:b/>
                <w:bCs/>
              </w:rPr>
              <w:t>Part 6:</w:t>
            </w:r>
            <w:r w:rsidRPr="00A30C20">
              <w:rPr>
                <w:rFonts w:ascii="Arial" w:hAnsi="Arial" w:cs="Arial"/>
              </w:rPr>
              <w:t xml:space="preserve"> Recommendations</w:t>
            </w:r>
          </w:p>
        </w:tc>
        <w:tc>
          <w:tcPr>
            <w:tcW w:w="2217" w:type="dxa"/>
            <w:vAlign w:val="center"/>
          </w:tcPr>
          <w:p w14:paraId="0A1598C1" w14:textId="6E95CA05" w:rsidR="00FA1574" w:rsidRPr="00A30C20" w:rsidRDefault="00FA1574" w:rsidP="00FA1574">
            <w:pPr>
              <w:spacing w:after="200" w:line="276" w:lineRule="auto"/>
              <w:rPr>
                <w:rFonts w:ascii="Arial" w:hAnsi="Arial" w:cs="Arial"/>
              </w:rPr>
            </w:pPr>
            <w:r w:rsidRPr="00A30C20">
              <w:rPr>
                <w:rFonts w:ascii="Arial" w:hAnsi="Arial" w:cs="Arial"/>
              </w:rPr>
              <w:t xml:space="preserve">Page </w:t>
            </w:r>
            <w:r w:rsidR="00A223CE">
              <w:rPr>
                <w:rFonts w:ascii="Arial" w:hAnsi="Arial" w:cs="Arial"/>
              </w:rPr>
              <w:t>30</w:t>
            </w:r>
          </w:p>
        </w:tc>
      </w:tr>
      <w:tr w:rsidR="00FA1574" w:rsidRPr="00A30C20" w14:paraId="43B84F14" w14:textId="77777777" w:rsidTr="00FA1574">
        <w:trPr>
          <w:trHeight w:val="680"/>
        </w:trPr>
        <w:tc>
          <w:tcPr>
            <w:tcW w:w="6799" w:type="dxa"/>
            <w:vAlign w:val="center"/>
          </w:tcPr>
          <w:p w14:paraId="6A75F41F" w14:textId="142FAACC" w:rsidR="00FA1574" w:rsidRPr="00A30C20" w:rsidRDefault="00FA1574" w:rsidP="00FA1574">
            <w:pPr>
              <w:spacing w:after="200" w:line="276" w:lineRule="auto"/>
              <w:rPr>
                <w:rFonts w:ascii="Arial" w:hAnsi="Arial" w:cs="Arial"/>
              </w:rPr>
            </w:pPr>
            <w:r w:rsidRPr="00A30C20">
              <w:rPr>
                <w:rFonts w:ascii="Arial" w:hAnsi="Arial" w:cs="Arial"/>
                <w:b/>
                <w:bCs/>
              </w:rPr>
              <w:t>Part 7:</w:t>
            </w:r>
            <w:r w:rsidRPr="00A30C20">
              <w:rPr>
                <w:rFonts w:ascii="Arial" w:hAnsi="Arial" w:cs="Arial"/>
              </w:rPr>
              <w:t xml:space="preserve"> Closing Summary</w:t>
            </w:r>
          </w:p>
        </w:tc>
        <w:tc>
          <w:tcPr>
            <w:tcW w:w="2217" w:type="dxa"/>
            <w:vAlign w:val="center"/>
          </w:tcPr>
          <w:p w14:paraId="4A233515" w14:textId="16644CEF" w:rsidR="00FA1574" w:rsidRPr="00A30C20" w:rsidRDefault="00FA1574" w:rsidP="00FA1574">
            <w:pPr>
              <w:spacing w:after="200" w:line="276" w:lineRule="auto"/>
              <w:rPr>
                <w:rFonts w:ascii="Arial" w:hAnsi="Arial" w:cs="Arial"/>
              </w:rPr>
            </w:pPr>
            <w:r w:rsidRPr="00A30C20">
              <w:rPr>
                <w:rFonts w:ascii="Arial" w:hAnsi="Arial" w:cs="Arial"/>
              </w:rPr>
              <w:t>Page 3</w:t>
            </w:r>
            <w:r w:rsidR="00A223CE">
              <w:rPr>
                <w:rFonts w:ascii="Arial" w:hAnsi="Arial" w:cs="Arial"/>
              </w:rPr>
              <w:t>3</w:t>
            </w:r>
          </w:p>
        </w:tc>
      </w:tr>
      <w:tr w:rsidR="00FA1574" w:rsidRPr="00A30C20" w14:paraId="62FED2FE" w14:textId="77777777" w:rsidTr="00FA1574">
        <w:trPr>
          <w:trHeight w:val="680"/>
        </w:trPr>
        <w:tc>
          <w:tcPr>
            <w:tcW w:w="6799" w:type="dxa"/>
            <w:vAlign w:val="center"/>
          </w:tcPr>
          <w:p w14:paraId="7E4624D3" w14:textId="3844A730" w:rsidR="00FA1574" w:rsidRPr="00A30C20" w:rsidRDefault="00FA1574" w:rsidP="00FA1574">
            <w:pPr>
              <w:spacing w:after="200" w:line="276" w:lineRule="auto"/>
              <w:rPr>
                <w:rFonts w:ascii="Arial" w:hAnsi="Arial" w:cs="Arial"/>
              </w:rPr>
            </w:pPr>
            <w:r w:rsidRPr="00A30C20">
              <w:rPr>
                <w:rFonts w:ascii="Arial" w:hAnsi="Arial" w:cs="Arial"/>
                <w:b/>
                <w:bCs/>
              </w:rPr>
              <w:t>Part 8:</w:t>
            </w:r>
            <w:r w:rsidRPr="00A30C20">
              <w:rPr>
                <w:rFonts w:ascii="Arial" w:hAnsi="Arial" w:cs="Arial"/>
              </w:rPr>
              <w:t xml:space="preserve"> Notable Quotes</w:t>
            </w:r>
          </w:p>
        </w:tc>
        <w:tc>
          <w:tcPr>
            <w:tcW w:w="2217" w:type="dxa"/>
            <w:vAlign w:val="center"/>
          </w:tcPr>
          <w:p w14:paraId="63FFAF8E" w14:textId="03826347" w:rsidR="00FA1574" w:rsidRPr="00A30C20" w:rsidRDefault="00FA1574" w:rsidP="00FA1574">
            <w:pPr>
              <w:spacing w:after="200" w:line="276" w:lineRule="auto"/>
              <w:rPr>
                <w:rFonts w:ascii="Arial" w:hAnsi="Arial" w:cs="Arial"/>
              </w:rPr>
            </w:pPr>
            <w:r w:rsidRPr="00A30C20">
              <w:rPr>
                <w:rFonts w:ascii="Arial" w:hAnsi="Arial" w:cs="Arial"/>
              </w:rPr>
              <w:t>Page 3</w:t>
            </w:r>
            <w:r w:rsidR="00A223CE">
              <w:rPr>
                <w:rFonts w:ascii="Arial" w:hAnsi="Arial" w:cs="Arial"/>
              </w:rPr>
              <w:t>5</w:t>
            </w:r>
          </w:p>
        </w:tc>
      </w:tr>
    </w:tbl>
    <w:p w14:paraId="4F1C9F46" w14:textId="3A2D4717" w:rsidR="001B7985" w:rsidRDefault="001B7985" w:rsidP="0001476B">
      <w:pPr>
        <w:spacing w:after="200" w:line="276" w:lineRule="auto"/>
      </w:pPr>
    </w:p>
    <w:p w14:paraId="52406980" w14:textId="77777777" w:rsidR="00FA1574" w:rsidRDefault="00FA1574" w:rsidP="0001476B">
      <w:pPr>
        <w:spacing w:after="200" w:line="276" w:lineRule="auto"/>
      </w:pPr>
    </w:p>
    <w:p w14:paraId="32B3355F" w14:textId="77777777" w:rsidR="00FA1574" w:rsidRDefault="00FA1574" w:rsidP="0001476B">
      <w:pPr>
        <w:spacing w:after="200" w:line="276" w:lineRule="auto"/>
      </w:pPr>
    </w:p>
    <w:p w14:paraId="1D19F6C3" w14:textId="77777777" w:rsidR="00FA1574" w:rsidRDefault="00FA1574" w:rsidP="0001476B">
      <w:pPr>
        <w:spacing w:after="200" w:line="276" w:lineRule="auto"/>
      </w:pPr>
    </w:p>
    <w:p w14:paraId="44584930" w14:textId="77777777" w:rsidR="00FA1574" w:rsidRDefault="00FA1574" w:rsidP="0001476B">
      <w:pPr>
        <w:spacing w:after="200" w:line="276" w:lineRule="auto"/>
      </w:pPr>
    </w:p>
    <w:p w14:paraId="38602F2A" w14:textId="77777777" w:rsidR="00FA1574" w:rsidRDefault="00FA1574" w:rsidP="0001476B">
      <w:pPr>
        <w:spacing w:after="200" w:line="276" w:lineRule="auto"/>
      </w:pPr>
    </w:p>
    <w:p w14:paraId="1FFD05C8" w14:textId="77777777" w:rsidR="00FA1574" w:rsidRDefault="00FA1574" w:rsidP="0001476B">
      <w:pPr>
        <w:spacing w:after="200" w:line="276" w:lineRule="auto"/>
      </w:pPr>
    </w:p>
    <w:p w14:paraId="776E10C0" w14:textId="77777777" w:rsidR="00FA1574" w:rsidRDefault="00FA1574" w:rsidP="0001476B">
      <w:pPr>
        <w:spacing w:after="200" w:line="276" w:lineRule="auto"/>
      </w:pPr>
    </w:p>
    <w:p w14:paraId="21164326" w14:textId="77777777" w:rsidR="00FA1574" w:rsidRDefault="00FA1574" w:rsidP="0001476B">
      <w:pPr>
        <w:spacing w:after="200" w:line="276" w:lineRule="auto"/>
      </w:pPr>
    </w:p>
    <w:p w14:paraId="28A2E1D9" w14:textId="77777777" w:rsidR="00FA1574" w:rsidRDefault="00FA1574" w:rsidP="0001476B">
      <w:pPr>
        <w:spacing w:after="200" w:line="276" w:lineRule="auto"/>
      </w:pPr>
    </w:p>
    <w:p w14:paraId="5EEC3FC5" w14:textId="77777777" w:rsidR="00FA1574" w:rsidRPr="00FA1574" w:rsidRDefault="00FA1574" w:rsidP="00FA1574">
      <w:pPr>
        <w:spacing w:after="160" w:line="259" w:lineRule="auto"/>
        <w:rPr>
          <w:rFonts w:ascii="Arial" w:hAnsi="Arial" w:cs="Arial"/>
          <w:b/>
          <w:bCs/>
          <w:color w:val="auto"/>
          <w:kern w:val="0"/>
          <w:sz w:val="52"/>
          <w:szCs w:val="52"/>
          <w14:ligatures w14:val="none"/>
        </w:rPr>
      </w:pPr>
      <w:r w:rsidRPr="00FA1574">
        <w:rPr>
          <w:rFonts w:ascii="Arial" w:hAnsi="Arial" w:cs="Arial"/>
          <w:b/>
          <w:bCs/>
          <w:color w:val="auto"/>
          <w:kern w:val="0"/>
          <w:sz w:val="52"/>
          <w:szCs w:val="52"/>
          <w14:ligatures w14:val="none"/>
        </w:rPr>
        <w:lastRenderedPageBreak/>
        <w:t>PART ONE: INTRODUCTION, CONTEXT &amp; GOALS</w:t>
      </w:r>
    </w:p>
    <w:p w14:paraId="28575E0E" w14:textId="77777777" w:rsidR="00FA1574" w:rsidRPr="00FA1574" w:rsidRDefault="00FA1574" w:rsidP="00FA1574">
      <w:pPr>
        <w:spacing w:after="160" w:line="259" w:lineRule="auto"/>
        <w:rPr>
          <w:rFonts w:ascii="Arial" w:hAnsi="Arial" w:cs="Arial"/>
          <w:b/>
          <w:bCs/>
          <w:color w:val="auto"/>
          <w:kern w:val="0"/>
          <w:sz w:val="52"/>
          <w:szCs w:val="52"/>
          <w14:ligatures w14:val="none"/>
        </w:rPr>
      </w:pPr>
    </w:p>
    <w:p w14:paraId="3AC011BC" w14:textId="77777777" w:rsidR="00FA1574" w:rsidRDefault="00FA1574" w:rsidP="00FA1574">
      <w:pPr>
        <w:numPr>
          <w:ilvl w:val="0"/>
          <w:numId w:val="44"/>
        </w:numPr>
        <w:spacing w:after="160" w:line="259" w:lineRule="auto"/>
        <w:ind w:left="0" w:firstLine="360"/>
        <w:contextualSpacing/>
        <w:rPr>
          <w:rFonts w:ascii="Arial" w:hAnsi="Arial" w:cs="Arial"/>
          <w:b/>
          <w:bCs/>
          <w:color w:val="auto"/>
          <w:kern w:val="0"/>
          <w:sz w:val="32"/>
          <w:szCs w:val="32"/>
          <w14:ligatures w14:val="none"/>
        </w:rPr>
      </w:pPr>
      <w:r w:rsidRPr="00FA1574">
        <w:rPr>
          <w:rFonts w:ascii="Arial" w:hAnsi="Arial" w:cs="Arial"/>
          <w:b/>
          <w:bCs/>
          <w:color w:val="auto"/>
          <w:kern w:val="0"/>
          <w:sz w:val="32"/>
          <w:szCs w:val="32"/>
          <w14:ligatures w14:val="none"/>
        </w:rPr>
        <w:t>Introduction</w:t>
      </w:r>
    </w:p>
    <w:p w14:paraId="5B2ED49A" w14:textId="77777777" w:rsidR="00A30C20" w:rsidRPr="00FA1574" w:rsidRDefault="00A30C20" w:rsidP="00A30C20">
      <w:pPr>
        <w:spacing w:after="160" w:line="259" w:lineRule="auto"/>
        <w:contextualSpacing/>
        <w:rPr>
          <w:rFonts w:ascii="Arial" w:hAnsi="Arial" w:cs="Arial"/>
          <w:b/>
          <w:bCs/>
          <w:color w:val="auto"/>
          <w:kern w:val="0"/>
          <w:sz w:val="32"/>
          <w:szCs w:val="32"/>
          <w14:ligatures w14:val="none"/>
        </w:rPr>
      </w:pPr>
    </w:p>
    <w:p w14:paraId="75751A2F"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The Nottinghamshire Fire and Rescue Service’s (NFRS) Community Risk Management Plan (CRMP) consultation aimed to engage with our communities, stakeholders and workforce to gather meaningful insights that would inform the development of our </w:t>
      </w:r>
      <w:proofErr w:type="gramStart"/>
      <w:r w:rsidRPr="00FA1574">
        <w:rPr>
          <w:rFonts w:ascii="Arial" w:hAnsi="Arial" w:cs="Arial"/>
          <w:color w:val="auto"/>
          <w:kern w:val="0"/>
          <w:sz w:val="20"/>
          <w:szCs w:val="20"/>
          <w14:ligatures w14:val="none"/>
        </w:rPr>
        <w:t>CRMP</w:t>
      </w:r>
      <w:proofErr w:type="gramEnd"/>
      <w:r w:rsidRPr="00FA1574">
        <w:rPr>
          <w:rFonts w:ascii="Arial" w:hAnsi="Arial" w:cs="Arial"/>
          <w:color w:val="auto"/>
          <w:kern w:val="0"/>
          <w:sz w:val="20"/>
          <w:szCs w:val="20"/>
          <w14:ligatures w14:val="none"/>
        </w:rPr>
        <w:t xml:space="preserve"> and the strategic priorities outlined within it. </w:t>
      </w:r>
    </w:p>
    <w:p w14:paraId="287A6274" w14:textId="77777777" w:rsidR="00FA1574" w:rsidRPr="00FA1574" w:rsidRDefault="00FA1574" w:rsidP="00FA1574">
      <w:pPr>
        <w:rPr>
          <w:rFonts w:ascii="Arial" w:hAnsi="Arial" w:cs="Arial"/>
          <w:color w:val="auto"/>
          <w:kern w:val="0"/>
          <w:sz w:val="20"/>
          <w:szCs w:val="20"/>
          <w14:ligatures w14:val="none"/>
        </w:rPr>
      </w:pPr>
    </w:p>
    <w:p w14:paraId="7A1FCCD6"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This report presents the findings of the consultation, designed to increase outreach, feedback and consultation responses and deliver for a cost-efficiencies.</w:t>
      </w:r>
    </w:p>
    <w:p w14:paraId="31021FA2" w14:textId="77777777" w:rsidR="00FA1574" w:rsidRPr="00FA1574" w:rsidRDefault="00FA1574" w:rsidP="00FA1574">
      <w:pPr>
        <w:rPr>
          <w:rFonts w:ascii="Arial" w:hAnsi="Arial" w:cs="Arial"/>
          <w:color w:val="auto"/>
          <w:kern w:val="0"/>
          <w:sz w:val="20"/>
          <w:szCs w:val="20"/>
          <w14:ligatures w14:val="none"/>
        </w:rPr>
      </w:pPr>
    </w:p>
    <w:p w14:paraId="3984674A"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methodology used combined quantitative and qualitative methods to capture a wide range of perspectives:</w:t>
      </w:r>
    </w:p>
    <w:p w14:paraId="277B48C4" w14:textId="77777777" w:rsidR="00FA1574" w:rsidRPr="00FA1574" w:rsidRDefault="00FA1574" w:rsidP="00FA1574">
      <w:pPr>
        <w:rPr>
          <w:rFonts w:ascii="Arial" w:hAnsi="Arial" w:cs="Arial"/>
          <w:color w:val="auto"/>
          <w:kern w:val="0"/>
          <w:sz w:val="20"/>
          <w:szCs w:val="20"/>
          <w14:ligatures w14:val="none"/>
        </w:rPr>
      </w:pPr>
    </w:p>
    <w:p w14:paraId="3FA35A99"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An online survey was developed to gather broad feedback from the public, stakeholders, and staff. This provided measurable data to underpin analysis. </w:t>
      </w:r>
    </w:p>
    <w:p w14:paraId="78D77FC9" w14:textId="77777777" w:rsidR="00FA1574" w:rsidRPr="00FA1574" w:rsidRDefault="00FA1574" w:rsidP="00FA1574">
      <w:pPr>
        <w:rPr>
          <w:rFonts w:ascii="Arial" w:hAnsi="Arial" w:cs="Arial"/>
          <w:color w:val="auto"/>
          <w:kern w:val="0"/>
          <w:sz w:val="20"/>
          <w:szCs w:val="20"/>
          <w14:ligatures w14:val="none"/>
        </w:rPr>
      </w:pPr>
    </w:p>
    <w:p w14:paraId="7E4E4AE9"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For additional depth, the Service facilitated focus groups, which allowed participants to explore the key themes of the CRMP in greater detail and provided richer, more nuanced insights.</w:t>
      </w:r>
    </w:p>
    <w:p w14:paraId="1C9CC774" w14:textId="77777777" w:rsidR="00FA1574" w:rsidRPr="00FA1574" w:rsidRDefault="00FA1574" w:rsidP="00FA1574">
      <w:pPr>
        <w:rPr>
          <w:rFonts w:ascii="Arial" w:hAnsi="Arial" w:cs="Arial"/>
          <w:color w:val="auto"/>
          <w:kern w:val="0"/>
          <w:sz w:val="20"/>
          <w:szCs w:val="20"/>
          <w14:ligatures w14:val="none"/>
        </w:rPr>
      </w:pPr>
    </w:p>
    <w:p w14:paraId="459C7BE4"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Service engaged directly with minoritised groups to ensure their voices were heard, ensuring the findings reflect the diversity of the population of Nottinghamshire. This included targeted communications, partnership work with community organisations, and adapting consultation methods to meet the needs of different groups.</w:t>
      </w:r>
    </w:p>
    <w:p w14:paraId="1F49AFFF" w14:textId="77777777" w:rsidR="00FA1574" w:rsidRPr="00FA1574" w:rsidRDefault="00FA1574" w:rsidP="00FA1574">
      <w:pPr>
        <w:rPr>
          <w:rFonts w:ascii="Arial" w:hAnsi="Arial" w:cs="Arial"/>
          <w:color w:val="auto"/>
          <w:kern w:val="0"/>
          <w:sz w:val="20"/>
          <w:szCs w:val="20"/>
          <w14:ligatures w14:val="none"/>
        </w:rPr>
      </w:pPr>
    </w:p>
    <w:p w14:paraId="68F19F21"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This report consolidates the findings of the consultation process, providing a comprehensive review of the feedback received and its implications for the CRMP. </w:t>
      </w:r>
    </w:p>
    <w:p w14:paraId="1872987F" w14:textId="77777777" w:rsidR="00FA1574" w:rsidRPr="00FA1574" w:rsidRDefault="00FA1574" w:rsidP="00FA1574">
      <w:pPr>
        <w:rPr>
          <w:rFonts w:ascii="Arial" w:hAnsi="Arial" w:cs="Arial"/>
          <w:color w:val="auto"/>
          <w:kern w:val="0"/>
          <w:sz w:val="20"/>
          <w:szCs w:val="20"/>
          <w14:ligatures w14:val="none"/>
        </w:rPr>
      </w:pPr>
    </w:p>
    <w:p w14:paraId="7F50FC00" w14:textId="77777777" w:rsidR="00FA1574" w:rsidRPr="00FA1574" w:rsidRDefault="00FA1574" w:rsidP="00FA1574">
      <w:pPr>
        <w:jc w:val="both"/>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insights gathered will play a crucial role in confirming and shaping our strategic direction and ensuring that our Service continues to effectively manage community risk, meet public expectations, and deliver on our commitment to equality, diversity, and inclusion.</w:t>
      </w:r>
    </w:p>
    <w:p w14:paraId="60E09139" w14:textId="77777777" w:rsidR="00FA1574" w:rsidRPr="00FA1574" w:rsidRDefault="00FA1574" w:rsidP="00FA1574">
      <w:pPr>
        <w:rPr>
          <w:rFonts w:ascii="Arial" w:hAnsi="Arial" w:cs="Arial"/>
          <w:color w:val="auto"/>
          <w:kern w:val="0"/>
          <w:sz w:val="20"/>
          <w:szCs w:val="20"/>
          <w14:ligatures w14:val="none"/>
        </w:rPr>
      </w:pPr>
    </w:p>
    <w:p w14:paraId="2230100D" w14:textId="77777777" w:rsidR="00FA1574" w:rsidRPr="00FA1574" w:rsidRDefault="00FA1574" w:rsidP="00FA1574">
      <w:pPr>
        <w:numPr>
          <w:ilvl w:val="0"/>
          <w:numId w:val="44"/>
        </w:numPr>
        <w:spacing w:after="160" w:line="259" w:lineRule="auto"/>
        <w:rPr>
          <w:rFonts w:ascii="Arial" w:hAnsi="Arial" w:cs="Arial"/>
          <w:b/>
          <w:bCs/>
          <w:color w:val="auto"/>
          <w:kern w:val="0"/>
          <w:sz w:val="32"/>
          <w:szCs w:val="32"/>
          <w14:ligatures w14:val="none"/>
        </w:rPr>
      </w:pPr>
      <w:r w:rsidRPr="00FA1574">
        <w:rPr>
          <w:rFonts w:ascii="Arial" w:hAnsi="Arial" w:cs="Arial"/>
          <w:b/>
          <w:bCs/>
          <w:color w:val="auto"/>
          <w:kern w:val="0"/>
          <w:sz w:val="32"/>
          <w:szCs w:val="32"/>
          <w14:ligatures w14:val="none"/>
        </w:rPr>
        <w:t>A Change in Approach</w:t>
      </w:r>
    </w:p>
    <w:p w14:paraId="28E47C1F" w14:textId="77777777" w:rsidR="00FA1574" w:rsidRPr="00FA1574" w:rsidRDefault="00FA1574" w:rsidP="00FA1574">
      <w:pPr>
        <w:rPr>
          <w:rFonts w:ascii="Arial" w:hAnsi="Arial" w:cs="Arial"/>
          <w:b/>
          <w:bCs/>
          <w:color w:val="auto"/>
          <w:kern w:val="0"/>
          <w:sz w:val="16"/>
          <w:szCs w:val="16"/>
          <w14:ligatures w14:val="none"/>
        </w:rPr>
      </w:pPr>
    </w:p>
    <w:p w14:paraId="607A69FB"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For this consultation, NFRS adopted a new approach – delivering the consultation entirely in-house. This contrasts with previous CRMP consultations that have commissioned external specialists at a cost of approximately £30,000 (based on 2021 consultation).  </w:t>
      </w:r>
    </w:p>
    <w:p w14:paraId="5340AF47" w14:textId="77777777" w:rsidR="00FA1574" w:rsidRPr="00FA1574" w:rsidRDefault="00FA1574" w:rsidP="00FA1574">
      <w:pPr>
        <w:rPr>
          <w:rFonts w:ascii="Arial" w:hAnsi="Arial" w:cs="Arial"/>
          <w:color w:val="auto"/>
          <w:kern w:val="0"/>
          <w:sz w:val="20"/>
          <w:szCs w:val="20"/>
          <w14:ligatures w14:val="none"/>
        </w:rPr>
      </w:pPr>
    </w:p>
    <w:p w14:paraId="7391229D" w14:textId="2884CFB7" w:rsidR="00FA1574" w:rsidRPr="003F3389" w:rsidRDefault="00FA1574" w:rsidP="00FA1574">
      <w:pPr>
        <w:rPr>
          <w:rFonts w:ascii="Arial" w:hAnsi="Arial" w:cs="Arial"/>
          <w:color w:val="000000" w:themeColor="text1"/>
          <w:kern w:val="0"/>
          <w:sz w:val="20"/>
          <w:szCs w:val="20"/>
          <w14:ligatures w14:val="none"/>
        </w:rPr>
      </w:pPr>
      <w:r w:rsidRPr="003F3389">
        <w:rPr>
          <w:rFonts w:ascii="Arial" w:hAnsi="Arial" w:cs="Arial"/>
          <w:color w:val="000000" w:themeColor="text1"/>
          <w:kern w:val="0"/>
          <w:sz w:val="20"/>
          <w:szCs w:val="20"/>
          <w14:ligatures w14:val="none"/>
        </w:rPr>
        <w:t>The consultation was conducted by the Corporate Team in collaboration with the Communications &amp; Engagement Team. The cost for delivery realised a saving of Circa £24,000 against outsourcing</w:t>
      </w:r>
      <w:r w:rsidR="003F3389" w:rsidRPr="003F3389">
        <w:rPr>
          <w:rFonts w:ascii="Arial" w:hAnsi="Arial" w:cs="Arial"/>
          <w:color w:val="000000" w:themeColor="text1"/>
          <w:kern w:val="0"/>
          <w:sz w:val="20"/>
          <w:szCs w:val="20"/>
          <w14:ligatures w14:val="none"/>
        </w:rPr>
        <w:t>.</w:t>
      </w:r>
    </w:p>
    <w:p w14:paraId="21E9C97D" w14:textId="77777777" w:rsidR="00FA1574" w:rsidRPr="00FA1574" w:rsidRDefault="00FA1574" w:rsidP="00FA1574">
      <w:pPr>
        <w:rPr>
          <w:rFonts w:ascii="Arial" w:hAnsi="Arial" w:cs="Arial"/>
          <w:color w:val="FF0000"/>
          <w:kern w:val="0"/>
          <w:sz w:val="20"/>
          <w:szCs w:val="20"/>
          <w14:ligatures w14:val="none"/>
        </w:rPr>
      </w:pPr>
    </w:p>
    <w:p w14:paraId="20E37BFB"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There were risks associated with this approach, along with potential benefits. These are outlined below.</w:t>
      </w:r>
    </w:p>
    <w:p w14:paraId="52180F2B" w14:textId="77777777" w:rsidR="00FA1574" w:rsidRPr="00FA1574" w:rsidRDefault="00FA1574" w:rsidP="00FA1574">
      <w:pPr>
        <w:rPr>
          <w:rFonts w:ascii="Arial" w:hAnsi="Arial" w:cs="Arial"/>
          <w:color w:val="auto"/>
          <w:kern w:val="0"/>
          <w:sz w:val="20"/>
          <w:szCs w:val="20"/>
          <w14:ligatures w14:val="none"/>
        </w:rPr>
      </w:pPr>
    </w:p>
    <w:p w14:paraId="000ACD4D" w14:textId="77777777" w:rsidR="00FA1574" w:rsidRPr="00FA1574" w:rsidRDefault="00FA1574" w:rsidP="00FA1574">
      <w:pPr>
        <w:rPr>
          <w:rFonts w:ascii="Arial" w:hAnsi="Arial" w:cs="Arial"/>
          <w:b/>
          <w:bCs/>
          <w:color w:val="auto"/>
          <w:kern w:val="0"/>
          <w:sz w:val="20"/>
          <w:szCs w:val="20"/>
          <w14:ligatures w14:val="none"/>
        </w:rPr>
      </w:pPr>
      <w:r w:rsidRPr="00FA1574">
        <w:rPr>
          <w:rFonts w:ascii="Arial" w:hAnsi="Arial" w:cs="Arial"/>
          <w:b/>
          <w:bCs/>
          <w:color w:val="auto"/>
          <w:kern w:val="0"/>
          <w:sz w:val="20"/>
          <w:szCs w:val="20"/>
          <w14:ligatures w14:val="none"/>
        </w:rPr>
        <w:t>Risks and Mitigations</w:t>
      </w:r>
    </w:p>
    <w:p w14:paraId="3972ACEF"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Various considerations went into the decision to take this approach, including, but not limited to:</w:t>
      </w:r>
    </w:p>
    <w:p w14:paraId="7F611BDF" w14:textId="77777777" w:rsidR="00FA1574" w:rsidRPr="00FA1574" w:rsidRDefault="00FA1574" w:rsidP="00A30C20">
      <w:pPr>
        <w:numPr>
          <w:ilvl w:val="0"/>
          <w:numId w:val="55"/>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lastRenderedPageBreak/>
        <w:t xml:space="preserve">Internal capacity </w:t>
      </w:r>
    </w:p>
    <w:p w14:paraId="4B7739B0" w14:textId="77777777" w:rsidR="00FA1574" w:rsidRPr="00FA1574" w:rsidRDefault="00FA1574" w:rsidP="00A30C20">
      <w:pPr>
        <w:numPr>
          <w:ilvl w:val="0"/>
          <w:numId w:val="55"/>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Internal capability</w:t>
      </w:r>
    </w:p>
    <w:p w14:paraId="37ED028F" w14:textId="77777777" w:rsidR="00FA1574" w:rsidRPr="00FA1574" w:rsidRDefault="00FA1574" w:rsidP="00A30C20">
      <w:pPr>
        <w:numPr>
          <w:ilvl w:val="0"/>
          <w:numId w:val="55"/>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need to reach diverse audiences</w:t>
      </w:r>
      <w:r w:rsidRPr="00FA1574" w:rsidDel="00192EFD">
        <w:rPr>
          <w:rFonts w:ascii="Arial" w:hAnsi="Arial" w:cs="Arial"/>
          <w:color w:val="auto"/>
          <w:kern w:val="0"/>
          <w:sz w:val="20"/>
          <w:szCs w:val="20"/>
          <w14:ligatures w14:val="none"/>
        </w:rPr>
        <w:t xml:space="preserve"> </w:t>
      </w:r>
    </w:p>
    <w:p w14:paraId="1A87F7D3" w14:textId="77777777" w:rsidR="00FA1574" w:rsidRPr="00FA1574" w:rsidRDefault="00FA1574" w:rsidP="00FA1574">
      <w:pPr>
        <w:rPr>
          <w:rFonts w:ascii="Arial" w:hAnsi="Arial" w:cs="Arial"/>
          <w:color w:val="auto"/>
          <w:kern w:val="0"/>
          <w:sz w:val="20"/>
          <w:szCs w:val="20"/>
          <w14:ligatures w14:val="none"/>
        </w:rPr>
      </w:pPr>
    </w:p>
    <w:p w14:paraId="6D3B2541"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Service managed these risks by:</w:t>
      </w:r>
    </w:p>
    <w:p w14:paraId="11111305" w14:textId="77777777" w:rsidR="00FA1574" w:rsidRPr="00FA1574" w:rsidRDefault="00FA1574" w:rsidP="00A30C20">
      <w:pPr>
        <w:numPr>
          <w:ilvl w:val="0"/>
          <w:numId w:val="56"/>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Alignment to the Service’s Consultation Framework</w:t>
      </w:r>
    </w:p>
    <w:p w14:paraId="57136994" w14:textId="77777777" w:rsidR="00FA1574" w:rsidRPr="00FA1574" w:rsidRDefault="00FA1574" w:rsidP="00A30C20">
      <w:pPr>
        <w:numPr>
          <w:ilvl w:val="0"/>
          <w:numId w:val="56"/>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Undertaking extensive planning and task allocation</w:t>
      </w:r>
    </w:p>
    <w:p w14:paraId="1EC6268A" w14:textId="77777777" w:rsidR="00FA1574" w:rsidRPr="00FA1574" w:rsidRDefault="00FA1574" w:rsidP="00A30C20">
      <w:pPr>
        <w:numPr>
          <w:ilvl w:val="0"/>
          <w:numId w:val="56"/>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Undertaking close collaboration within teams </w:t>
      </w:r>
    </w:p>
    <w:p w14:paraId="32C13275" w14:textId="77777777" w:rsidR="00FA1574" w:rsidRPr="00FA1574" w:rsidRDefault="00FA1574" w:rsidP="00A30C20">
      <w:pPr>
        <w:numPr>
          <w:ilvl w:val="0"/>
          <w:numId w:val="56"/>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Seeking advice externally, including Community Advisory Group</w:t>
      </w:r>
    </w:p>
    <w:p w14:paraId="38B9806E" w14:textId="77777777" w:rsidR="00FA1574" w:rsidRPr="00FA1574" w:rsidRDefault="00FA1574" w:rsidP="00A30C20">
      <w:pPr>
        <w:numPr>
          <w:ilvl w:val="0"/>
          <w:numId w:val="56"/>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Utilising NFCC CRMP Fire Standard guidance, </w:t>
      </w:r>
    </w:p>
    <w:p w14:paraId="3F80D234" w14:textId="77777777" w:rsidR="00FA1574" w:rsidRPr="00FA1574" w:rsidRDefault="00FA1574" w:rsidP="00A30C20">
      <w:pPr>
        <w:numPr>
          <w:ilvl w:val="0"/>
          <w:numId w:val="56"/>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Ensuring alignment to the fire service National Framework</w:t>
      </w:r>
    </w:p>
    <w:p w14:paraId="4C0CF15A" w14:textId="77777777" w:rsidR="00FA1574" w:rsidRPr="00FA1574" w:rsidRDefault="00FA1574" w:rsidP="00A30C20">
      <w:pPr>
        <w:numPr>
          <w:ilvl w:val="0"/>
          <w:numId w:val="56"/>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Alignment to learning from HMICFRS inspections and their CRMP audits</w:t>
      </w:r>
    </w:p>
    <w:p w14:paraId="2793E915" w14:textId="77777777" w:rsidR="00FA1574" w:rsidRPr="00FA1574" w:rsidRDefault="00FA1574" w:rsidP="00A30C20">
      <w:pPr>
        <w:numPr>
          <w:ilvl w:val="0"/>
          <w:numId w:val="56"/>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Managing timelines diligently</w:t>
      </w:r>
    </w:p>
    <w:p w14:paraId="706186DE" w14:textId="77777777" w:rsidR="00FA1574" w:rsidRPr="00FA1574" w:rsidRDefault="00FA1574" w:rsidP="00A30C20">
      <w:pPr>
        <w:numPr>
          <w:ilvl w:val="0"/>
          <w:numId w:val="56"/>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Conducting regular in-flight reviews </w:t>
      </w:r>
    </w:p>
    <w:p w14:paraId="687FF459" w14:textId="77777777" w:rsidR="00FA1574" w:rsidRPr="00FA1574" w:rsidRDefault="00FA1574" w:rsidP="00A30C20">
      <w:pPr>
        <w:numPr>
          <w:ilvl w:val="0"/>
          <w:numId w:val="56"/>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Target Service efforts</w:t>
      </w:r>
    </w:p>
    <w:p w14:paraId="0FCDE45C" w14:textId="77777777" w:rsidR="00FA1574" w:rsidRPr="00FA1574" w:rsidRDefault="00FA1574" w:rsidP="00A30C20">
      <w:pPr>
        <w:numPr>
          <w:ilvl w:val="0"/>
          <w:numId w:val="56"/>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Utilising existing partnerships with community organisations where possible </w:t>
      </w:r>
    </w:p>
    <w:p w14:paraId="68BE51B8" w14:textId="77777777" w:rsidR="00FA1574" w:rsidRPr="00FA1574" w:rsidRDefault="00FA1574" w:rsidP="00A30C20">
      <w:pPr>
        <w:numPr>
          <w:ilvl w:val="0"/>
          <w:numId w:val="56"/>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Seeking community organisations out to participate</w:t>
      </w:r>
    </w:p>
    <w:p w14:paraId="6851F7CD" w14:textId="77777777" w:rsidR="00FA1574" w:rsidRPr="00FA1574" w:rsidRDefault="00FA1574" w:rsidP="00A30C20">
      <w:pPr>
        <w:numPr>
          <w:ilvl w:val="0"/>
          <w:numId w:val="56"/>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Utilising multiple methods of delivery to meet the needs of Nottinghamshire’s diverse communities. </w:t>
      </w:r>
    </w:p>
    <w:p w14:paraId="2B9C6C42" w14:textId="77777777" w:rsidR="00FA1574" w:rsidRPr="00FA1574" w:rsidRDefault="00FA1574" w:rsidP="00FA1574">
      <w:pPr>
        <w:rPr>
          <w:rFonts w:ascii="Arial" w:hAnsi="Arial" w:cs="Arial"/>
          <w:color w:val="auto"/>
          <w:kern w:val="0"/>
          <w:sz w:val="20"/>
          <w:szCs w:val="20"/>
          <w14:ligatures w14:val="none"/>
        </w:rPr>
      </w:pPr>
    </w:p>
    <w:p w14:paraId="2AF1F253"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b/>
          <w:bCs/>
          <w:color w:val="auto"/>
          <w:kern w:val="0"/>
          <w:sz w:val="20"/>
          <w:szCs w:val="20"/>
          <w14:ligatures w14:val="none"/>
        </w:rPr>
        <w:t>Benefits</w:t>
      </w:r>
      <w:r w:rsidRPr="00FA1574">
        <w:rPr>
          <w:rFonts w:ascii="Arial" w:hAnsi="Arial" w:cs="Arial"/>
          <w:color w:val="auto"/>
          <w:kern w:val="0"/>
          <w:sz w:val="20"/>
          <w:szCs w:val="20"/>
          <w14:ligatures w14:val="none"/>
        </w:rPr>
        <w:t xml:space="preserve"> </w:t>
      </w:r>
    </w:p>
    <w:p w14:paraId="1EEA2588" w14:textId="77777777" w:rsidR="00FA1574" w:rsidRPr="00FA1574" w:rsidRDefault="00FA1574" w:rsidP="00FA1574">
      <w:pPr>
        <w:rPr>
          <w:rFonts w:ascii="Arial" w:hAnsi="Arial" w:cs="Arial"/>
          <w:color w:val="auto"/>
          <w:kern w:val="0"/>
          <w:sz w:val="20"/>
          <w:szCs w:val="20"/>
          <w14:ligatures w14:val="none"/>
        </w:rPr>
      </w:pPr>
    </w:p>
    <w:p w14:paraId="17AEA1E8"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Running the consultation in-house gave greater autonomy and flexibility, allowing the Service to own the design and execution of the online survey and focus group activities whilst aligning closely with service values, the specific requirements of the CRMP, and the National Framework. </w:t>
      </w:r>
    </w:p>
    <w:p w14:paraId="21861068" w14:textId="77777777" w:rsidR="00FA1574" w:rsidRPr="00FA1574" w:rsidRDefault="00FA1574" w:rsidP="00FA1574">
      <w:pPr>
        <w:rPr>
          <w:rFonts w:ascii="Arial" w:hAnsi="Arial" w:cs="Arial"/>
          <w:color w:val="auto"/>
          <w:kern w:val="0"/>
          <w:sz w:val="20"/>
          <w:szCs w:val="20"/>
          <w14:ligatures w14:val="none"/>
        </w:rPr>
      </w:pPr>
    </w:p>
    <w:p w14:paraId="2F30386E"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Direct involvement facilitated stronger connections with various community groups. This enabled a deeper dive into discussion at focus groups, resulting in authenticity to the feedback given. </w:t>
      </w:r>
    </w:p>
    <w:p w14:paraId="67F194D9" w14:textId="77777777" w:rsidR="00FA1574" w:rsidRPr="00FA1574" w:rsidRDefault="00FA1574" w:rsidP="00FA1574">
      <w:pPr>
        <w:rPr>
          <w:rFonts w:ascii="Arial" w:hAnsi="Arial" w:cs="Arial"/>
          <w:color w:val="auto"/>
          <w:kern w:val="0"/>
          <w:sz w:val="20"/>
          <w:szCs w:val="20"/>
          <w14:ligatures w14:val="none"/>
        </w:rPr>
      </w:pPr>
    </w:p>
    <w:p w14:paraId="39E82E36"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consultation has provided learning and insight (via evaluation) into engaging with communities, which can be utilised going forward. Positive interactions with community groups who attended focus groups has led to opportunities to engage with them in future. Lessons learned will also aid in the launch of the CRMP later this financial year.</w:t>
      </w:r>
    </w:p>
    <w:p w14:paraId="1B419E3E" w14:textId="77777777" w:rsidR="00FA1574" w:rsidRPr="00FA1574" w:rsidRDefault="00FA1574" w:rsidP="00FA1574">
      <w:pPr>
        <w:rPr>
          <w:rFonts w:ascii="Arial" w:hAnsi="Arial" w:cs="Arial"/>
          <w:color w:val="auto"/>
          <w:kern w:val="0"/>
          <w:sz w:val="20"/>
          <w:szCs w:val="20"/>
          <w14:ligatures w14:val="none"/>
        </w:rPr>
      </w:pPr>
    </w:p>
    <w:p w14:paraId="3F607515"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Delivering consultation in-house has proven to be a successful balance of cost efficiency, engagement quality, and results. The insights gathered are robust, comprehensive, and reflective of the communities NFRS serves. </w:t>
      </w:r>
    </w:p>
    <w:p w14:paraId="7278882F" w14:textId="77777777" w:rsidR="00FA1574" w:rsidRPr="00FA1574" w:rsidRDefault="00FA1574" w:rsidP="00FA1574">
      <w:pPr>
        <w:rPr>
          <w:rFonts w:ascii="Arial" w:hAnsi="Arial" w:cs="Arial"/>
          <w:color w:val="auto"/>
          <w:kern w:val="0"/>
          <w:sz w:val="20"/>
          <w:szCs w:val="20"/>
          <w14:ligatures w14:val="none"/>
        </w:rPr>
      </w:pPr>
    </w:p>
    <w:p w14:paraId="150D5FF3"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By addressing risks proactively and embracing the opportunities of an in-house consultation, a strong precedent has been set for future engagement activities.</w:t>
      </w:r>
    </w:p>
    <w:p w14:paraId="3D269DE8" w14:textId="77777777" w:rsidR="00FA1574" w:rsidRPr="00FA1574" w:rsidRDefault="00FA1574" w:rsidP="00FA1574">
      <w:pPr>
        <w:rPr>
          <w:rFonts w:ascii="Arial" w:hAnsi="Arial" w:cs="Arial"/>
          <w:color w:val="auto"/>
          <w:kern w:val="0"/>
          <w:sz w:val="20"/>
          <w:szCs w:val="20"/>
          <w14:ligatures w14:val="none"/>
        </w:rPr>
      </w:pPr>
    </w:p>
    <w:p w14:paraId="0D84A2B4" w14:textId="77777777" w:rsidR="00FA1574" w:rsidRPr="00FA1574" w:rsidRDefault="00FA1574" w:rsidP="00FA1574">
      <w:pPr>
        <w:rPr>
          <w:rFonts w:ascii="Arial" w:hAnsi="Arial" w:cs="Arial"/>
          <w:b/>
          <w:bCs/>
          <w:color w:val="auto"/>
          <w:kern w:val="0"/>
          <w:sz w:val="22"/>
          <w:szCs w:val="22"/>
          <w14:ligatures w14:val="none"/>
        </w:rPr>
      </w:pPr>
    </w:p>
    <w:p w14:paraId="34628991" w14:textId="77777777" w:rsidR="00FA1574" w:rsidRPr="00FA1574" w:rsidRDefault="00FA1574" w:rsidP="00FA1574">
      <w:pPr>
        <w:numPr>
          <w:ilvl w:val="0"/>
          <w:numId w:val="45"/>
        </w:numPr>
        <w:spacing w:after="160" w:line="259" w:lineRule="auto"/>
        <w:rPr>
          <w:rFonts w:ascii="Arial" w:hAnsi="Arial" w:cs="Arial"/>
          <w:b/>
          <w:bCs/>
          <w:color w:val="auto"/>
          <w:kern w:val="0"/>
          <w:sz w:val="32"/>
          <w:szCs w:val="32"/>
          <w14:ligatures w14:val="none"/>
        </w:rPr>
      </w:pPr>
      <w:r w:rsidRPr="00FA1574">
        <w:rPr>
          <w:rFonts w:ascii="Arial" w:hAnsi="Arial" w:cs="Arial"/>
          <w:b/>
          <w:bCs/>
          <w:color w:val="auto"/>
          <w:kern w:val="0"/>
          <w:sz w:val="32"/>
          <w:szCs w:val="32"/>
          <w14:ligatures w14:val="none"/>
        </w:rPr>
        <w:t>Operating Context</w:t>
      </w:r>
    </w:p>
    <w:p w14:paraId="43443FAA" w14:textId="77777777" w:rsidR="00FA1574" w:rsidRPr="00FA1574" w:rsidRDefault="00FA1574" w:rsidP="00FA1574">
      <w:pPr>
        <w:rPr>
          <w:rFonts w:ascii="Arial" w:hAnsi="Arial" w:cs="Arial"/>
          <w:b/>
          <w:bCs/>
          <w:color w:val="auto"/>
          <w:kern w:val="0"/>
          <w:sz w:val="20"/>
          <w:szCs w:val="20"/>
          <w14:ligatures w14:val="none"/>
        </w:rPr>
      </w:pPr>
    </w:p>
    <w:p w14:paraId="2C4B3B3E" w14:textId="77777777" w:rsidR="00FA1574" w:rsidRPr="00FA1574" w:rsidRDefault="00FA1574" w:rsidP="00FA1574">
      <w:pPr>
        <w:rPr>
          <w:rFonts w:ascii="Arial" w:hAnsi="Arial" w:cs="Arial"/>
          <w:b/>
          <w:bCs/>
          <w:color w:val="auto"/>
          <w:kern w:val="0"/>
          <w:sz w:val="22"/>
          <w:szCs w:val="22"/>
          <w14:ligatures w14:val="none"/>
        </w:rPr>
      </w:pPr>
      <w:r w:rsidRPr="00FA1574">
        <w:rPr>
          <w:rFonts w:ascii="Arial" w:hAnsi="Arial" w:cs="Arial"/>
          <w:b/>
          <w:bCs/>
          <w:color w:val="auto"/>
          <w:kern w:val="0"/>
          <w:sz w:val="22"/>
          <w:szCs w:val="22"/>
          <w14:ligatures w14:val="none"/>
        </w:rPr>
        <w:t>The Fire &amp; Rescue Services Act 2004</w:t>
      </w:r>
    </w:p>
    <w:p w14:paraId="5D2C953C"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Fire and Rescue Services Act 2004 establishes the statutory framework for Fire and Rescue Services in England and Wales. Under the Act itself, there is no explicit mention of the term Community Risk Management Plan (CRMP) or Integrated Risk Management Plan (IRMP). However, the Act does explicitly refer to the National Framework in Section 21, which outlines its purpose and the obligations of fire and rescue authorities concerning it. The requirement for a CRMP is therefore derived from the duties imposed by the Act and is reinforced by the Fire and Rescue National Framework for England, outlined below.</w:t>
      </w:r>
    </w:p>
    <w:p w14:paraId="1266053A" w14:textId="77777777" w:rsidR="00FA1574" w:rsidRPr="00FA1574" w:rsidRDefault="00FA1574" w:rsidP="00FA1574">
      <w:pPr>
        <w:rPr>
          <w:rFonts w:ascii="Arial" w:hAnsi="Arial" w:cs="Arial"/>
          <w:color w:val="auto"/>
          <w:kern w:val="0"/>
          <w:sz w:val="20"/>
          <w:szCs w:val="20"/>
          <w14:ligatures w14:val="none"/>
        </w:rPr>
      </w:pPr>
    </w:p>
    <w:p w14:paraId="6EE34128"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Alongside outlining the core functions of a Fire &amp; Rescue Service, the Act refers to the need to assess risks and plan to address them, implicitly requiring Fire &amp; Rescue Services to take a risk-based approach to fulfilling their duties. </w:t>
      </w:r>
    </w:p>
    <w:p w14:paraId="1F47997D" w14:textId="77777777" w:rsidR="00FA1574" w:rsidRPr="00FA1574" w:rsidRDefault="00FA1574" w:rsidP="00FA1574">
      <w:pPr>
        <w:rPr>
          <w:rFonts w:ascii="Arial" w:hAnsi="Arial" w:cs="Arial"/>
          <w:color w:val="auto"/>
          <w:kern w:val="0"/>
          <w:sz w:val="20"/>
          <w:szCs w:val="20"/>
          <w14:ligatures w14:val="none"/>
        </w:rPr>
      </w:pPr>
    </w:p>
    <w:p w14:paraId="18D810ED"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CRMP is the mechanism through which risks are assessed, prioritised, and addressed, ensuring the effective deployment of resources – thus being an integral part of fulfilling Nottinghamshire Fire &amp; Rescue Service’s duties under the Fire &amp; Rescue Services Act 2004.</w:t>
      </w:r>
    </w:p>
    <w:p w14:paraId="340E16A3" w14:textId="77777777" w:rsidR="00FA1574" w:rsidRPr="00FA1574" w:rsidRDefault="00FA1574" w:rsidP="00FA1574">
      <w:pPr>
        <w:rPr>
          <w:rFonts w:ascii="Arial" w:hAnsi="Arial" w:cs="Arial"/>
          <w:color w:val="auto"/>
          <w:kern w:val="0"/>
          <w:sz w:val="20"/>
          <w:szCs w:val="20"/>
          <w14:ligatures w14:val="none"/>
        </w:rPr>
      </w:pPr>
    </w:p>
    <w:p w14:paraId="1B872A15" w14:textId="77777777" w:rsidR="00FA1574" w:rsidRPr="00FA1574" w:rsidRDefault="00FA1574" w:rsidP="00FA1574">
      <w:pPr>
        <w:rPr>
          <w:rFonts w:ascii="Arial" w:hAnsi="Arial" w:cs="Arial"/>
          <w:b/>
          <w:bCs/>
          <w:color w:val="auto"/>
          <w:kern w:val="0"/>
          <w:sz w:val="20"/>
          <w:szCs w:val="20"/>
          <w14:ligatures w14:val="none"/>
        </w:rPr>
      </w:pPr>
      <w:r w:rsidRPr="00FA1574">
        <w:rPr>
          <w:rFonts w:ascii="Arial" w:hAnsi="Arial" w:cs="Arial"/>
          <w:b/>
          <w:bCs/>
          <w:color w:val="auto"/>
          <w:kern w:val="0"/>
          <w:sz w:val="20"/>
          <w:szCs w:val="20"/>
          <w14:ligatures w14:val="none"/>
        </w:rPr>
        <w:t>The National Framework for Fire &amp; Rescue Services</w:t>
      </w:r>
    </w:p>
    <w:p w14:paraId="2B662A51"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The National Framework stipulates that each fire and Rescue Authority has a duty to produce a CRMP which meets specific requirements. </w:t>
      </w:r>
    </w:p>
    <w:p w14:paraId="0972323B" w14:textId="77777777" w:rsidR="00FA1574" w:rsidRPr="00FA1574" w:rsidRDefault="00FA1574" w:rsidP="00FA1574">
      <w:pPr>
        <w:rPr>
          <w:rFonts w:ascii="Arial" w:hAnsi="Arial" w:cs="Arial"/>
          <w:color w:val="auto"/>
          <w:kern w:val="0"/>
          <w:sz w:val="20"/>
          <w:szCs w:val="20"/>
          <w14:ligatures w14:val="none"/>
        </w:rPr>
      </w:pPr>
    </w:p>
    <w:p w14:paraId="7CFDBBE0"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table below outlines those requirements, and describes how they have been met through the CRMP development and consultation process:</w:t>
      </w:r>
    </w:p>
    <w:p w14:paraId="2D1D744A" w14:textId="77777777" w:rsidR="00FA1574" w:rsidRPr="00FA1574" w:rsidRDefault="00FA1574" w:rsidP="00FA1574">
      <w:pPr>
        <w:rPr>
          <w:rFonts w:ascii="Arial" w:hAnsi="Arial" w:cs="Arial"/>
          <w:color w:val="auto"/>
          <w:kern w:val="0"/>
          <w:sz w:val="22"/>
          <w:szCs w:val="22"/>
          <w14:ligatures w14:val="none"/>
        </w:rPr>
      </w:pPr>
    </w:p>
    <w:tbl>
      <w:tblPr>
        <w:tblStyle w:val="TableGrid1"/>
        <w:tblW w:w="0" w:type="auto"/>
        <w:tblLook w:val="04A0" w:firstRow="1" w:lastRow="0" w:firstColumn="1" w:lastColumn="0" w:noHBand="0" w:noVBand="1"/>
      </w:tblPr>
      <w:tblGrid>
        <w:gridCol w:w="2263"/>
        <w:gridCol w:w="4111"/>
        <w:gridCol w:w="2642"/>
      </w:tblGrid>
      <w:tr w:rsidR="00FA1574" w:rsidRPr="00FA1574" w14:paraId="54E82B36" w14:textId="77777777" w:rsidTr="00F5532B">
        <w:tc>
          <w:tcPr>
            <w:tcW w:w="2263" w:type="dxa"/>
            <w:shd w:val="clear" w:color="auto" w:fill="D9D9D9" w:themeFill="background1" w:themeFillShade="D9"/>
          </w:tcPr>
          <w:p w14:paraId="5E0314B8" w14:textId="77777777" w:rsidR="00FA1574" w:rsidRPr="00FA1574" w:rsidRDefault="00FA1574" w:rsidP="00FA1574">
            <w:pPr>
              <w:rPr>
                <w:rFonts w:ascii="Arial" w:hAnsi="Arial" w:cs="Arial"/>
                <w:color w:val="auto"/>
                <w:sz w:val="18"/>
                <w:szCs w:val="18"/>
              </w:rPr>
            </w:pPr>
            <w:r w:rsidRPr="00FA1574">
              <w:rPr>
                <w:rFonts w:ascii="Arial" w:hAnsi="Arial" w:cs="Arial"/>
                <w:b/>
                <w:bCs/>
                <w:color w:val="auto"/>
                <w:sz w:val="18"/>
                <w:szCs w:val="18"/>
              </w:rPr>
              <w:t>National Framework Requirement</w:t>
            </w:r>
          </w:p>
        </w:tc>
        <w:tc>
          <w:tcPr>
            <w:tcW w:w="4111" w:type="dxa"/>
            <w:shd w:val="clear" w:color="auto" w:fill="D9D9D9" w:themeFill="background1" w:themeFillShade="D9"/>
          </w:tcPr>
          <w:p w14:paraId="373ECEE1" w14:textId="77777777" w:rsidR="00FA1574" w:rsidRPr="00FA1574" w:rsidRDefault="00FA1574" w:rsidP="00FA1574">
            <w:pPr>
              <w:rPr>
                <w:rFonts w:ascii="Arial" w:hAnsi="Arial" w:cs="Arial"/>
                <w:color w:val="auto"/>
                <w:sz w:val="18"/>
                <w:szCs w:val="18"/>
              </w:rPr>
            </w:pPr>
            <w:r w:rsidRPr="00FA1574">
              <w:rPr>
                <w:rFonts w:ascii="Arial" w:hAnsi="Arial" w:cs="Arial"/>
                <w:b/>
                <w:bCs/>
                <w:color w:val="auto"/>
                <w:sz w:val="18"/>
                <w:szCs w:val="18"/>
              </w:rPr>
              <w:t>Draft CRMP Product Development</w:t>
            </w:r>
          </w:p>
        </w:tc>
        <w:tc>
          <w:tcPr>
            <w:tcW w:w="2642" w:type="dxa"/>
            <w:shd w:val="clear" w:color="auto" w:fill="D9D9D9" w:themeFill="background1" w:themeFillShade="D9"/>
          </w:tcPr>
          <w:p w14:paraId="7F936720" w14:textId="77777777" w:rsidR="00FA1574" w:rsidRPr="00FA1574" w:rsidRDefault="00FA1574" w:rsidP="00FA1574">
            <w:pPr>
              <w:rPr>
                <w:rFonts w:ascii="Arial" w:hAnsi="Arial" w:cs="Arial"/>
                <w:color w:val="000000" w:themeColor="text1"/>
                <w:sz w:val="18"/>
                <w:szCs w:val="18"/>
              </w:rPr>
            </w:pPr>
            <w:r w:rsidRPr="00FA1574">
              <w:rPr>
                <w:rFonts w:ascii="Arial" w:hAnsi="Arial" w:cs="Arial"/>
                <w:b/>
                <w:bCs/>
                <w:color w:val="auto"/>
                <w:sz w:val="18"/>
                <w:szCs w:val="18"/>
              </w:rPr>
              <w:t>Consultation Process</w:t>
            </w:r>
          </w:p>
        </w:tc>
      </w:tr>
      <w:tr w:rsidR="00FA1574" w:rsidRPr="00FA1574" w14:paraId="72520EDC" w14:textId="77777777" w:rsidTr="00F5532B">
        <w:tc>
          <w:tcPr>
            <w:tcW w:w="2263" w:type="dxa"/>
          </w:tcPr>
          <w:p w14:paraId="69CEA8BB" w14:textId="77777777" w:rsidR="00FA1574" w:rsidRPr="00FA1574" w:rsidRDefault="00FA1574" w:rsidP="00FA1574">
            <w:pPr>
              <w:rPr>
                <w:rFonts w:ascii="Arial" w:hAnsi="Arial" w:cs="Arial"/>
                <w:color w:val="auto"/>
                <w:sz w:val="18"/>
                <w:szCs w:val="18"/>
              </w:rPr>
            </w:pPr>
            <w:r w:rsidRPr="00FA1574">
              <w:rPr>
                <w:rFonts w:ascii="Arial" w:hAnsi="Arial" w:cs="Arial"/>
                <w:color w:val="auto"/>
                <w:sz w:val="18"/>
                <w:szCs w:val="18"/>
              </w:rPr>
              <w:t xml:space="preserve">Reflects up to date risk analyses including an assessment of all foreseeable fire and rescue related risks </w:t>
            </w:r>
          </w:p>
        </w:tc>
        <w:tc>
          <w:tcPr>
            <w:tcW w:w="4111" w:type="dxa"/>
          </w:tcPr>
          <w:p w14:paraId="382C0046" w14:textId="77777777" w:rsidR="00FA1574" w:rsidRPr="00FA1574" w:rsidRDefault="00FA1574" w:rsidP="00FA1574">
            <w:pPr>
              <w:rPr>
                <w:rFonts w:ascii="Arial" w:hAnsi="Arial" w:cs="Arial"/>
                <w:color w:val="auto"/>
                <w:sz w:val="18"/>
                <w:szCs w:val="18"/>
              </w:rPr>
            </w:pPr>
            <w:r w:rsidRPr="00FA1574">
              <w:rPr>
                <w:rFonts w:ascii="Arial" w:hAnsi="Arial" w:cs="Arial"/>
                <w:color w:val="auto"/>
                <w:sz w:val="18"/>
                <w:szCs w:val="18"/>
              </w:rPr>
              <w:t xml:space="preserve">NFRS undertook a Fire Cover Review via a third-party, sector-leading, independent partner, ORH. </w:t>
            </w:r>
          </w:p>
          <w:p w14:paraId="0B135E51" w14:textId="77777777" w:rsidR="00FA1574" w:rsidRPr="00FA1574" w:rsidRDefault="00FA1574" w:rsidP="00FA1574">
            <w:pPr>
              <w:rPr>
                <w:rFonts w:ascii="Arial" w:hAnsi="Arial" w:cs="Arial"/>
                <w:color w:val="auto"/>
                <w:sz w:val="18"/>
                <w:szCs w:val="18"/>
              </w:rPr>
            </w:pPr>
          </w:p>
          <w:p w14:paraId="0115F796" w14:textId="77777777" w:rsidR="00FA1574" w:rsidRPr="00FA1574" w:rsidRDefault="00FA1574" w:rsidP="00FA1574">
            <w:pPr>
              <w:rPr>
                <w:rFonts w:ascii="Arial" w:hAnsi="Arial" w:cs="Arial"/>
                <w:color w:val="auto"/>
                <w:sz w:val="18"/>
                <w:szCs w:val="18"/>
              </w:rPr>
            </w:pPr>
            <w:r w:rsidRPr="00FA1574">
              <w:rPr>
                <w:rFonts w:ascii="Arial" w:hAnsi="Arial" w:cs="Arial"/>
                <w:color w:val="auto"/>
                <w:sz w:val="18"/>
                <w:szCs w:val="18"/>
              </w:rPr>
              <w:t>This process considered the distribution of NFRS Fire Cover, the current delivery model of NFRS operational capabilities, and utilised the NFCC Risk Methodology to identify high risk areas of the County and consider how NFRS is resourced against those risks, informing the decisions made around our priorities over the next three years. An overview of this can be found from page 22-25 in the Draft CRMP.</w:t>
            </w:r>
          </w:p>
          <w:p w14:paraId="42C7E4C6" w14:textId="77777777" w:rsidR="00FA1574" w:rsidRPr="00FA1574" w:rsidRDefault="00FA1574" w:rsidP="00FA1574">
            <w:pPr>
              <w:rPr>
                <w:rFonts w:ascii="Arial" w:hAnsi="Arial" w:cs="Arial"/>
                <w:color w:val="auto"/>
                <w:sz w:val="18"/>
                <w:szCs w:val="18"/>
              </w:rPr>
            </w:pPr>
          </w:p>
          <w:p w14:paraId="09A04B03" w14:textId="77777777" w:rsidR="00FA1574" w:rsidRPr="00FA1574" w:rsidRDefault="00FA1574" w:rsidP="00FA1574">
            <w:pPr>
              <w:rPr>
                <w:rFonts w:ascii="Arial" w:hAnsi="Arial" w:cs="Arial"/>
                <w:color w:val="auto"/>
                <w:sz w:val="18"/>
                <w:szCs w:val="18"/>
              </w:rPr>
            </w:pPr>
            <w:r w:rsidRPr="00FA1574">
              <w:rPr>
                <w:rFonts w:ascii="Arial" w:hAnsi="Arial" w:cs="Arial"/>
                <w:color w:val="auto"/>
                <w:sz w:val="18"/>
                <w:szCs w:val="18"/>
              </w:rPr>
              <w:t xml:space="preserve">In addition, NFRS undertook a Strategic Assessment of Risk, looking at political, economic, technical, environmental, societal, legal and organisational risks. </w:t>
            </w:r>
          </w:p>
          <w:p w14:paraId="656A712D" w14:textId="77777777" w:rsidR="00FA1574" w:rsidRPr="00FA1574" w:rsidRDefault="00FA1574" w:rsidP="00FA1574">
            <w:pPr>
              <w:rPr>
                <w:rFonts w:ascii="Arial" w:hAnsi="Arial" w:cs="Arial"/>
                <w:color w:val="auto"/>
                <w:sz w:val="18"/>
                <w:szCs w:val="18"/>
              </w:rPr>
            </w:pPr>
          </w:p>
          <w:p w14:paraId="3F84C94D" w14:textId="77777777" w:rsidR="00FA1574" w:rsidRPr="00FA1574" w:rsidRDefault="00FA1574" w:rsidP="00FA1574">
            <w:pPr>
              <w:rPr>
                <w:rFonts w:ascii="Arial" w:hAnsi="Arial" w:cs="Arial"/>
                <w:color w:val="auto"/>
              </w:rPr>
            </w:pPr>
            <w:r w:rsidRPr="00FA1574">
              <w:rPr>
                <w:rFonts w:ascii="Arial" w:hAnsi="Arial" w:cs="Arial"/>
                <w:color w:val="auto"/>
                <w:sz w:val="18"/>
                <w:szCs w:val="18"/>
              </w:rPr>
              <w:t>Any factors which pose a significant risk are added to the corporate risk register, and these are also captured within the CRMP (pages 18-21).</w:t>
            </w:r>
          </w:p>
        </w:tc>
        <w:tc>
          <w:tcPr>
            <w:tcW w:w="2642" w:type="dxa"/>
          </w:tcPr>
          <w:p w14:paraId="642B75C6" w14:textId="77777777" w:rsidR="00FA1574" w:rsidRPr="00FA1574" w:rsidRDefault="00FA1574" w:rsidP="00FA1574">
            <w:pPr>
              <w:rPr>
                <w:rFonts w:ascii="Arial" w:hAnsi="Arial" w:cs="Arial"/>
                <w:color w:val="auto"/>
              </w:rPr>
            </w:pPr>
            <w:r w:rsidRPr="00FA1574">
              <w:rPr>
                <w:rFonts w:ascii="Arial" w:hAnsi="Arial" w:cs="Arial"/>
                <w:color w:val="000000" w:themeColor="text1"/>
                <w:sz w:val="18"/>
                <w:szCs w:val="18"/>
              </w:rPr>
              <w:t>The consultation sought to verify with our communities, staff and partners that they were confident that we had assessed all risks relevant to their communities. The results are detailed in this report.</w:t>
            </w:r>
          </w:p>
        </w:tc>
      </w:tr>
      <w:tr w:rsidR="00FA1574" w:rsidRPr="00FA1574" w14:paraId="75B180E6" w14:textId="77777777" w:rsidTr="00F5532B">
        <w:tc>
          <w:tcPr>
            <w:tcW w:w="2263" w:type="dxa"/>
          </w:tcPr>
          <w:p w14:paraId="5110F745" w14:textId="77777777" w:rsidR="00FA1574" w:rsidRPr="00FA1574" w:rsidRDefault="00FA1574" w:rsidP="00FA1574">
            <w:pPr>
              <w:rPr>
                <w:rFonts w:ascii="Arial" w:hAnsi="Arial" w:cs="Arial"/>
                <w:color w:val="auto"/>
                <w:sz w:val="18"/>
                <w:szCs w:val="18"/>
              </w:rPr>
            </w:pPr>
            <w:r w:rsidRPr="00FA1574">
              <w:rPr>
                <w:rFonts w:ascii="Arial" w:hAnsi="Arial" w:cs="Arial"/>
                <w:color w:val="auto"/>
                <w:sz w:val="18"/>
                <w:szCs w:val="18"/>
              </w:rPr>
              <w:t>Demonstrate how prevention, protection and response activities will best be used to prevent fires and other incidents and mitigate the impact of identified risks on its communities</w:t>
            </w:r>
          </w:p>
        </w:tc>
        <w:tc>
          <w:tcPr>
            <w:tcW w:w="4111" w:type="dxa"/>
          </w:tcPr>
          <w:p w14:paraId="12EAFAE5" w14:textId="77777777" w:rsidR="00FA1574" w:rsidRPr="00FA1574" w:rsidRDefault="00FA1574" w:rsidP="00FA1574">
            <w:pPr>
              <w:rPr>
                <w:rFonts w:ascii="Arial" w:hAnsi="Arial" w:cs="Arial"/>
                <w:color w:val="auto"/>
                <w:sz w:val="18"/>
                <w:szCs w:val="18"/>
              </w:rPr>
            </w:pPr>
            <w:r w:rsidRPr="00FA1574">
              <w:rPr>
                <w:rFonts w:ascii="Arial" w:hAnsi="Arial" w:cs="Arial"/>
                <w:color w:val="auto"/>
                <w:sz w:val="18"/>
                <w:szCs w:val="18"/>
              </w:rPr>
              <w:t>NFRS’ draft CRMP outlines all these areas in pages 26-34 of the document. These pages outline the services we currently deliver in relation to protection, prevention and response.</w:t>
            </w:r>
          </w:p>
          <w:p w14:paraId="5BA7DB16" w14:textId="77777777" w:rsidR="00FA1574" w:rsidRPr="00FA1574" w:rsidRDefault="00FA1574" w:rsidP="00FA1574">
            <w:pPr>
              <w:rPr>
                <w:rFonts w:ascii="Arial" w:hAnsi="Arial" w:cs="Arial"/>
                <w:color w:val="auto"/>
                <w:sz w:val="18"/>
                <w:szCs w:val="18"/>
              </w:rPr>
            </w:pPr>
          </w:p>
          <w:p w14:paraId="518CC829" w14:textId="77777777" w:rsidR="00FA1574" w:rsidRPr="00FA1574" w:rsidRDefault="00FA1574" w:rsidP="00FA1574">
            <w:pPr>
              <w:rPr>
                <w:rFonts w:ascii="Arial" w:hAnsi="Arial" w:cs="Arial"/>
                <w:color w:val="auto"/>
              </w:rPr>
            </w:pPr>
            <w:r w:rsidRPr="00FA1574">
              <w:rPr>
                <w:rFonts w:ascii="Arial" w:hAnsi="Arial" w:cs="Arial"/>
                <w:color w:val="auto"/>
                <w:sz w:val="18"/>
                <w:szCs w:val="18"/>
              </w:rPr>
              <w:t>Pages 37-44 of the document outlines our plans going forward, including performance outcomes.</w:t>
            </w:r>
            <w:r w:rsidRPr="00FA1574">
              <w:rPr>
                <w:rFonts w:ascii="Arial" w:hAnsi="Arial" w:cs="Arial"/>
                <w:color w:val="auto"/>
              </w:rPr>
              <w:t xml:space="preserve"> </w:t>
            </w:r>
          </w:p>
        </w:tc>
        <w:tc>
          <w:tcPr>
            <w:tcW w:w="2642" w:type="dxa"/>
          </w:tcPr>
          <w:p w14:paraId="20E7BFB0" w14:textId="77777777" w:rsidR="00FA1574" w:rsidRPr="00FA1574" w:rsidRDefault="00FA1574" w:rsidP="00FA1574">
            <w:pPr>
              <w:rPr>
                <w:rFonts w:ascii="Arial" w:hAnsi="Arial" w:cs="Arial"/>
                <w:color w:val="auto"/>
              </w:rPr>
            </w:pPr>
            <w:r w:rsidRPr="00FA1574">
              <w:rPr>
                <w:rFonts w:ascii="Arial" w:hAnsi="Arial" w:cs="Arial"/>
                <w:color w:val="000000" w:themeColor="text1"/>
                <w:sz w:val="18"/>
                <w:szCs w:val="18"/>
              </w:rPr>
              <w:t>The consultation sought to verify with our communities, staff and partners how confident they felt in our plans to prevent and/or mitigate fires and other incidents. The results are detailed in this report.</w:t>
            </w:r>
          </w:p>
        </w:tc>
      </w:tr>
      <w:tr w:rsidR="00FA1574" w:rsidRPr="00FA1574" w14:paraId="109750BE" w14:textId="77777777" w:rsidTr="00F5532B">
        <w:tc>
          <w:tcPr>
            <w:tcW w:w="2263" w:type="dxa"/>
          </w:tcPr>
          <w:p w14:paraId="35AB0013" w14:textId="77777777" w:rsidR="00FA1574" w:rsidRPr="00FA1574" w:rsidRDefault="00FA1574" w:rsidP="00FA1574">
            <w:pPr>
              <w:rPr>
                <w:rFonts w:ascii="Arial" w:hAnsi="Arial" w:cs="Arial"/>
                <w:color w:val="auto"/>
                <w:sz w:val="18"/>
                <w:szCs w:val="18"/>
              </w:rPr>
            </w:pPr>
            <w:r w:rsidRPr="00FA1574">
              <w:rPr>
                <w:rFonts w:ascii="Arial" w:hAnsi="Arial" w:cs="Arial"/>
                <w:color w:val="auto"/>
                <w:sz w:val="18"/>
                <w:szCs w:val="18"/>
              </w:rPr>
              <w:t xml:space="preserve">Outline required service delivery outcomes including the allocation of resources </w:t>
            </w:r>
          </w:p>
        </w:tc>
        <w:tc>
          <w:tcPr>
            <w:tcW w:w="4111" w:type="dxa"/>
          </w:tcPr>
          <w:p w14:paraId="7C2EB0F1" w14:textId="77777777" w:rsidR="00FA1574" w:rsidRPr="00FA1574" w:rsidRDefault="00FA1574" w:rsidP="00FA1574">
            <w:pPr>
              <w:rPr>
                <w:rFonts w:ascii="Arial" w:hAnsi="Arial" w:cs="Arial"/>
                <w:color w:val="auto"/>
                <w:sz w:val="18"/>
                <w:szCs w:val="18"/>
              </w:rPr>
            </w:pPr>
            <w:r w:rsidRPr="00FA1574">
              <w:rPr>
                <w:rFonts w:ascii="Arial" w:hAnsi="Arial" w:cs="Arial"/>
                <w:color w:val="auto"/>
                <w:sz w:val="18"/>
                <w:szCs w:val="18"/>
              </w:rPr>
              <w:t xml:space="preserve">A full, in-depth Fire Cover Review was undertaken and is outlined within the CRMP (pages 22-25). </w:t>
            </w:r>
          </w:p>
          <w:p w14:paraId="2646F7CD" w14:textId="77777777" w:rsidR="00FA1574" w:rsidRPr="00FA1574" w:rsidRDefault="00FA1574" w:rsidP="00FA1574">
            <w:pPr>
              <w:rPr>
                <w:rFonts w:ascii="Arial" w:hAnsi="Arial" w:cs="Arial"/>
                <w:color w:val="auto"/>
                <w:sz w:val="18"/>
                <w:szCs w:val="18"/>
              </w:rPr>
            </w:pPr>
          </w:p>
          <w:p w14:paraId="0B9D3CD5" w14:textId="77777777" w:rsidR="00FA1574" w:rsidRPr="00FA1574" w:rsidRDefault="00FA1574" w:rsidP="00FA1574">
            <w:pPr>
              <w:rPr>
                <w:rFonts w:ascii="Arial" w:hAnsi="Arial" w:cs="Arial"/>
                <w:color w:val="auto"/>
              </w:rPr>
            </w:pPr>
            <w:r w:rsidRPr="00FA1574">
              <w:rPr>
                <w:rFonts w:ascii="Arial" w:hAnsi="Arial" w:cs="Arial"/>
                <w:color w:val="auto"/>
                <w:sz w:val="18"/>
                <w:szCs w:val="18"/>
              </w:rPr>
              <w:t>This process considered all operational resources and their availability, against volumes of work. Priorities and delivery targets have been set out within the CRMP according to NFRS resourcing and productivity.</w:t>
            </w:r>
          </w:p>
        </w:tc>
        <w:tc>
          <w:tcPr>
            <w:tcW w:w="2642" w:type="dxa"/>
          </w:tcPr>
          <w:p w14:paraId="2A336430" w14:textId="77777777" w:rsidR="00FA1574" w:rsidRPr="00FA1574" w:rsidRDefault="00FA1574" w:rsidP="00FA1574">
            <w:pPr>
              <w:rPr>
                <w:rFonts w:ascii="Arial" w:hAnsi="Arial" w:cs="Arial"/>
                <w:color w:val="auto"/>
              </w:rPr>
            </w:pPr>
            <w:r w:rsidRPr="00FA1574">
              <w:rPr>
                <w:rFonts w:ascii="Arial" w:hAnsi="Arial" w:cs="Arial"/>
                <w:color w:val="000000" w:themeColor="text1"/>
                <w:sz w:val="18"/>
                <w:szCs w:val="18"/>
              </w:rPr>
              <w:t>The consultation sought to verify with our communities, staff and partners that they were confident that our resources were best placed to mitigate risk in their communities. The results are detailed in this report.</w:t>
            </w:r>
          </w:p>
        </w:tc>
      </w:tr>
      <w:tr w:rsidR="00FA1574" w:rsidRPr="00FA1574" w14:paraId="41BB7314" w14:textId="77777777" w:rsidTr="00F5532B">
        <w:tc>
          <w:tcPr>
            <w:tcW w:w="2263" w:type="dxa"/>
          </w:tcPr>
          <w:p w14:paraId="1801518F" w14:textId="77777777" w:rsidR="00FA1574" w:rsidRPr="00FA1574" w:rsidRDefault="00FA1574" w:rsidP="00FA1574">
            <w:pPr>
              <w:rPr>
                <w:rFonts w:ascii="Arial" w:hAnsi="Arial" w:cs="Arial"/>
                <w:color w:val="auto"/>
                <w:sz w:val="18"/>
                <w:szCs w:val="18"/>
              </w:rPr>
            </w:pPr>
            <w:r w:rsidRPr="00FA1574">
              <w:rPr>
                <w:rFonts w:ascii="Arial" w:hAnsi="Arial" w:cs="Arial"/>
                <w:color w:val="auto"/>
                <w:sz w:val="18"/>
                <w:szCs w:val="18"/>
              </w:rPr>
              <w:t xml:space="preserve">Set out its management strategy and risk-based </w:t>
            </w:r>
            <w:r w:rsidRPr="00FA1574">
              <w:rPr>
                <w:rFonts w:ascii="Arial" w:hAnsi="Arial" w:cs="Arial"/>
                <w:color w:val="auto"/>
                <w:sz w:val="18"/>
                <w:szCs w:val="18"/>
              </w:rPr>
              <w:lastRenderedPageBreak/>
              <w:t xml:space="preserve">programme for enforcing the provisions of the Regulatory Reform (Fire Safety) Order 2005 </w:t>
            </w:r>
          </w:p>
        </w:tc>
        <w:tc>
          <w:tcPr>
            <w:tcW w:w="4111" w:type="dxa"/>
          </w:tcPr>
          <w:p w14:paraId="05A287D6" w14:textId="77777777" w:rsidR="00FA1574" w:rsidRPr="00FA1574" w:rsidRDefault="00FA1574" w:rsidP="00FA1574">
            <w:pPr>
              <w:rPr>
                <w:rFonts w:ascii="Arial" w:hAnsi="Arial" w:cs="Arial"/>
                <w:color w:val="auto"/>
              </w:rPr>
            </w:pPr>
            <w:r w:rsidRPr="00FA1574">
              <w:rPr>
                <w:rFonts w:ascii="Arial" w:hAnsi="Arial" w:cs="Arial"/>
                <w:color w:val="auto"/>
                <w:sz w:val="18"/>
                <w:szCs w:val="18"/>
              </w:rPr>
              <w:lastRenderedPageBreak/>
              <w:t xml:space="preserve">Strategic Goal 2, outlined within the draft CRMP, sets out how NFRS intends to meet the </w:t>
            </w:r>
            <w:r w:rsidRPr="00FA1574">
              <w:rPr>
                <w:rFonts w:ascii="Arial" w:hAnsi="Arial" w:cs="Arial"/>
                <w:color w:val="auto"/>
                <w:sz w:val="18"/>
                <w:szCs w:val="18"/>
              </w:rPr>
              <w:lastRenderedPageBreak/>
              <w:t>provisions of the Regulatory Reform (Fire Safety) Order 2005. This includes building on our Risk-Based Inspection Programme. Details of this can be found on pages 30-31, 37, 40 and 43.</w:t>
            </w:r>
          </w:p>
        </w:tc>
        <w:tc>
          <w:tcPr>
            <w:tcW w:w="2642" w:type="dxa"/>
          </w:tcPr>
          <w:p w14:paraId="4741C8A6" w14:textId="77777777" w:rsidR="00FA1574" w:rsidRPr="00FA1574" w:rsidRDefault="00FA1574" w:rsidP="00FA1574">
            <w:pPr>
              <w:rPr>
                <w:rFonts w:ascii="Arial" w:hAnsi="Arial" w:cs="Arial"/>
                <w:color w:val="auto"/>
              </w:rPr>
            </w:pPr>
            <w:r w:rsidRPr="00FA1574">
              <w:rPr>
                <w:rFonts w:ascii="Arial" w:hAnsi="Arial" w:cs="Arial"/>
                <w:color w:val="000000" w:themeColor="text1"/>
                <w:sz w:val="18"/>
                <w:szCs w:val="18"/>
              </w:rPr>
              <w:lastRenderedPageBreak/>
              <w:t xml:space="preserve">The consultation sought to verify with our communities, </w:t>
            </w:r>
            <w:r w:rsidRPr="00FA1574">
              <w:rPr>
                <w:rFonts w:ascii="Arial" w:hAnsi="Arial" w:cs="Arial"/>
                <w:color w:val="000000" w:themeColor="text1"/>
                <w:sz w:val="18"/>
                <w:szCs w:val="18"/>
              </w:rPr>
              <w:lastRenderedPageBreak/>
              <w:t>staff and partners that they have confidence in our enforcement provision. The results are detailed in this report.</w:t>
            </w:r>
          </w:p>
        </w:tc>
      </w:tr>
      <w:tr w:rsidR="00FA1574" w:rsidRPr="00FA1574" w14:paraId="57EA734C" w14:textId="77777777" w:rsidTr="00F5532B">
        <w:tc>
          <w:tcPr>
            <w:tcW w:w="2263" w:type="dxa"/>
          </w:tcPr>
          <w:p w14:paraId="4F3A99E3" w14:textId="77777777" w:rsidR="00FA1574" w:rsidRPr="00FA1574" w:rsidRDefault="00FA1574" w:rsidP="00FA1574">
            <w:pPr>
              <w:rPr>
                <w:rFonts w:ascii="Arial" w:hAnsi="Arial" w:cs="Arial"/>
                <w:color w:val="auto"/>
                <w:sz w:val="18"/>
                <w:szCs w:val="18"/>
              </w:rPr>
            </w:pPr>
            <w:r w:rsidRPr="00FA1574">
              <w:rPr>
                <w:rFonts w:ascii="Arial" w:hAnsi="Arial" w:cs="Arial"/>
                <w:color w:val="auto"/>
                <w:sz w:val="18"/>
                <w:szCs w:val="18"/>
              </w:rPr>
              <w:lastRenderedPageBreak/>
              <w:t xml:space="preserve">Cover at least a three-year time span </w:t>
            </w:r>
          </w:p>
        </w:tc>
        <w:tc>
          <w:tcPr>
            <w:tcW w:w="4111" w:type="dxa"/>
          </w:tcPr>
          <w:p w14:paraId="162E6838" w14:textId="77777777" w:rsidR="00FA1574" w:rsidRPr="00FA1574" w:rsidRDefault="00FA1574" w:rsidP="00FA1574">
            <w:pPr>
              <w:rPr>
                <w:rFonts w:ascii="Arial" w:hAnsi="Arial" w:cs="Arial"/>
                <w:color w:val="auto"/>
              </w:rPr>
            </w:pPr>
            <w:r w:rsidRPr="00FA1574">
              <w:rPr>
                <w:rFonts w:ascii="Arial" w:hAnsi="Arial" w:cs="Arial"/>
                <w:color w:val="auto"/>
                <w:sz w:val="18"/>
                <w:szCs w:val="18"/>
              </w:rPr>
              <w:t>The CRMP lifespan is from April 2025 to March 2028. Plans cover this full period, with an annual delivery plan outlining each year. The plan itself will be reviewed periodically to ensure it continues to be deliverable.</w:t>
            </w:r>
          </w:p>
        </w:tc>
        <w:tc>
          <w:tcPr>
            <w:tcW w:w="2642" w:type="dxa"/>
          </w:tcPr>
          <w:p w14:paraId="0D60DC27" w14:textId="77777777" w:rsidR="00FA1574" w:rsidRPr="00FA1574" w:rsidRDefault="00FA1574" w:rsidP="00FA1574">
            <w:pPr>
              <w:rPr>
                <w:rFonts w:ascii="Arial" w:hAnsi="Arial" w:cs="Arial"/>
                <w:color w:val="auto"/>
              </w:rPr>
            </w:pPr>
          </w:p>
        </w:tc>
      </w:tr>
      <w:tr w:rsidR="00FA1574" w:rsidRPr="00FA1574" w14:paraId="7B929426" w14:textId="77777777" w:rsidTr="00F5532B">
        <w:tc>
          <w:tcPr>
            <w:tcW w:w="2263" w:type="dxa"/>
          </w:tcPr>
          <w:p w14:paraId="58560E1D" w14:textId="77777777" w:rsidR="00FA1574" w:rsidRPr="00FA1574" w:rsidRDefault="00FA1574" w:rsidP="00FA1574">
            <w:pPr>
              <w:rPr>
                <w:rFonts w:ascii="Arial" w:hAnsi="Arial" w:cs="Arial"/>
                <w:color w:val="auto"/>
                <w:sz w:val="18"/>
                <w:szCs w:val="18"/>
              </w:rPr>
            </w:pPr>
            <w:r w:rsidRPr="00FA1574">
              <w:rPr>
                <w:rFonts w:ascii="Arial" w:hAnsi="Arial" w:cs="Arial"/>
                <w:color w:val="auto"/>
                <w:sz w:val="18"/>
                <w:szCs w:val="18"/>
              </w:rPr>
              <w:t>Reflect effective consultation throughout its development and at all review stages with the community, its workforce and representative bodies and partners;</w:t>
            </w:r>
          </w:p>
        </w:tc>
        <w:tc>
          <w:tcPr>
            <w:tcW w:w="4111" w:type="dxa"/>
          </w:tcPr>
          <w:p w14:paraId="786850C3" w14:textId="77777777" w:rsidR="00FA1574" w:rsidRPr="00FA1574" w:rsidRDefault="00FA1574" w:rsidP="00FA1574">
            <w:pPr>
              <w:rPr>
                <w:rFonts w:ascii="Arial" w:hAnsi="Arial" w:cs="Arial"/>
                <w:color w:val="auto"/>
              </w:rPr>
            </w:pPr>
          </w:p>
        </w:tc>
        <w:tc>
          <w:tcPr>
            <w:tcW w:w="2642" w:type="dxa"/>
          </w:tcPr>
          <w:p w14:paraId="54EF4E10" w14:textId="77777777" w:rsidR="00FA1574" w:rsidRPr="00FA1574" w:rsidRDefault="00FA1574" w:rsidP="00FA1574">
            <w:pPr>
              <w:rPr>
                <w:rFonts w:ascii="Arial" w:hAnsi="Arial" w:cs="Arial"/>
                <w:color w:val="auto"/>
              </w:rPr>
            </w:pPr>
            <w:r w:rsidRPr="00FA1574">
              <w:rPr>
                <w:rFonts w:ascii="Arial" w:hAnsi="Arial" w:cs="Arial"/>
                <w:color w:val="000000" w:themeColor="text1"/>
                <w:sz w:val="18"/>
                <w:szCs w:val="18"/>
              </w:rPr>
              <w:t>The consultation process included communities, staff and stakeholders. The process was delivered in line with the NFRS Consultation Framework and was effective, as outlined in this report.</w:t>
            </w:r>
          </w:p>
        </w:tc>
      </w:tr>
      <w:tr w:rsidR="00FA1574" w:rsidRPr="00FA1574" w14:paraId="0592AD71" w14:textId="77777777" w:rsidTr="00F5532B">
        <w:tc>
          <w:tcPr>
            <w:tcW w:w="2263" w:type="dxa"/>
          </w:tcPr>
          <w:p w14:paraId="414A7BED" w14:textId="77777777" w:rsidR="00FA1574" w:rsidRPr="00FA1574" w:rsidRDefault="00FA1574" w:rsidP="00FA1574">
            <w:pPr>
              <w:rPr>
                <w:rFonts w:ascii="Arial" w:hAnsi="Arial" w:cs="Arial"/>
                <w:color w:val="auto"/>
                <w:sz w:val="18"/>
                <w:szCs w:val="18"/>
              </w:rPr>
            </w:pPr>
            <w:r w:rsidRPr="00FA1574">
              <w:rPr>
                <w:rFonts w:ascii="Arial" w:hAnsi="Arial" w:cs="Arial"/>
                <w:color w:val="auto"/>
                <w:sz w:val="18"/>
                <w:szCs w:val="18"/>
              </w:rPr>
              <w:t>Be easily accessible and publicly available.</w:t>
            </w:r>
          </w:p>
        </w:tc>
        <w:tc>
          <w:tcPr>
            <w:tcW w:w="4111" w:type="dxa"/>
          </w:tcPr>
          <w:p w14:paraId="61811254" w14:textId="77777777" w:rsidR="00FA1574" w:rsidRPr="00FA1574" w:rsidRDefault="00FA1574" w:rsidP="00FA1574">
            <w:pPr>
              <w:rPr>
                <w:rFonts w:ascii="Arial" w:hAnsi="Arial" w:cs="Arial"/>
                <w:color w:val="auto"/>
              </w:rPr>
            </w:pPr>
            <w:r w:rsidRPr="00FA1574">
              <w:rPr>
                <w:rFonts w:ascii="Arial" w:hAnsi="Arial" w:cs="Arial"/>
                <w:color w:val="auto"/>
                <w:sz w:val="18"/>
                <w:szCs w:val="18"/>
              </w:rPr>
              <w:t>Accessibility was considered throughout the development of the draft CRMP. An accessible version is available online, and the PDF version is available in multiple languages. An Equality Impact Assessment was undertaken in advance of the consultation.</w:t>
            </w:r>
          </w:p>
        </w:tc>
        <w:tc>
          <w:tcPr>
            <w:tcW w:w="2642" w:type="dxa"/>
          </w:tcPr>
          <w:p w14:paraId="2FA91B8D" w14:textId="77777777" w:rsidR="00FA1574" w:rsidRPr="00FA1574" w:rsidRDefault="00FA1574" w:rsidP="00FA1574">
            <w:pPr>
              <w:rPr>
                <w:rFonts w:ascii="Arial" w:hAnsi="Arial" w:cs="Arial"/>
                <w:color w:val="auto"/>
              </w:rPr>
            </w:pPr>
            <w:r w:rsidRPr="00FA1574">
              <w:rPr>
                <w:rFonts w:ascii="Arial" w:hAnsi="Arial" w:cs="Arial"/>
                <w:color w:val="000000" w:themeColor="text1"/>
                <w:sz w:val="18"/>
                <w:szCs w:val="18"/>
              </w:rPr>
              <w:t>The consultation sought to verify with our communities, staff and partners that they felt that the CRMP is accessible to them and their communities. The results are detailed in this report.</w:t>
            </w:r>
          </w:p>
        </w:tc>
      </w:tr>
    </w:tbl>
    <w:p w14:paraId="67148AE2" w14:textId="77777777" w:rsidR="00FA1574" w:rsidRPr="00FA1574" w:rsidRDefault="00FA1574" w:rsidP="00FA1574">
      <w:pPr>
        <w:rPr>
          <w:rFonts w:ascii="Arial" w:hAnsi="Arial" w:cs="Arial"/>
          <w:color w:val="auto"/>
          <w:kern w:val="0"/>
          <w:sz w:val="20"/>
          <w:szCs w:val="20"/>
          <w14:ligatures w14:val="none"/>
        </w:rPr>
      </w:pPr>
    </w:p>
    <w:p w14:paraId="1A210135" w14:textId="77777777" w:rsidR="00FA1574" w:rsidRPr="00FA1574" w:rsidRDefault="00FA1574" w:rsidP="00FA1574">
      <w:pPr>
        <w:rPr>
          <w:rFonts w:ascii="Arial" w:hAnsi="Arial" w:cs="Arial"/>
          <w:b/>
          <w:bCs/>
          <w:color w:val="auto"/>
          <w:kern w:val="0"/>
          <w:sz w:val="20"/>
          <w:szCs w:val="20"/>
          <w14:ligatures w14:val="none"/>
        </w:rPr>
      </w:pPr>
    </w:p>
    <w:p w14:paraId="7F380074" w14:textId="77777777" w:rsidR="00FA1574" w:rsidRPr="00FA1574" w:rsidRDefault="00FA1574" w:rsidP="00FA1574">
      <w:pPr>
        <w:rPr>
          <w:rFonts w:ascii="Arial" w:hAnsi="Arial" w:cs="Arial"/>
          <w:b/>
          <w:bCs/>
          <w:color w:val="auto"/>
          <w:kern w:val="0"/>
          <w:sz w:val="20"/>
          <w:szCs w:val="20"/>
          <w14:ligatures w14:val="none"/>
        </w:rPr>
      </w:pPr>
      <w:r w:rsidRPr="00FA1574">
        <w:rPr>
          <w:rFonts w:ascii="Arial" w:hAnsi="Arial" w:cs="Arial"/>
          <w:b/>
          <w:bCs/>
          <w:color w:val="auto"/>
          <w:kern w:val="0"/>
          <w:sz w:val="20"/>
          <w:szCs w:val="20"/>
          <w14:ligatures w14:val="none"/>
        </w:rPr>
        <w:t>CRMP Fire Standard</w:t>
      </w:r>
    </w:p>
    <w:p w14:paraId="227656CE"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Fire Standards Board is an independent body responsible for overseeing the development, maintenance, and promotion of professional standards for fire and rescue services in England. The Fire Standards establish a consistent framework of excellence for fire and rescue services across England, aiming to improve service delivery, ensure consistency, and drive continuous improvement in the sector.</w:t>
      </w:r>
    </w:p>
    <w:p w14:paraId="30ECEFA2" w14:textId="77777777" w:rsidR="00FA1574" w:rsidRPr="00FA1574" w:rsidRDefault="00FA1574" w:rsidP="00FA1574">
      <w:pPr>
        <w:rPr>
          <w:rFonts w:ascii="Arial" w:hAnsi="Arial" w:cs="Arial"/>
          <w:color w:val="auto"/>
          <w:kern w:val="0"/>
          <w:sz w:val="20"/>
          <w:szCs w:val="20"/>
          <w14:ligatures w14:val="none"/>
        </w:rPr>
      </w:pPr>
    </w:p>
    <w:p w14:paraId="0CB1E8AE"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The CRMP Fire Standard provides a framework for how fire &amp; rescue services should develop their CRMPs. </w:t>
      </w:r>
    </w:p>
    <w:p w14:paraId="203811FC" w14:textId="77777777" w:rsidR="00FA1574" w:rsidRPr="00FA1574" w:rsidRDefault="00FA1574" w:rsidP="00FA1574">
      <w:pPr>
        <w:rPr>
          <w:rFonts w:ascii="Arial" w:hAnsi="Arial" w:cs="Arial"/>
          <w:color w:val="auto"/>
          <w:kern w:val="0"/>
          <w:sz w:val="20"/>
          <w:szCs w:val="20"/>
          <w14:ligatures w14:val="none"/>
        </w:rPr>
      </w:pPr>
    </w:p>
    <w:p w14:paraId="2216C1EC"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below table outlines the CRMP Fire Standard and describes how they have been met through the CRMP development and consultation process:</w:t>
      </w:r>
    </w:p>
    <w:p w14:paraId="5E1A3840" w14:textId="77777777" w:rsidR="00FA1574" w:rsidRPr="00FA1574" w:rsidRDefault="00FA1574" w:rsidP="00FA1574">
      <w:pPr>
        <w:rPr>
          <w:rFonts w:ascii="Arial" w:hAnsi="Arial" w:cs="Arial"/>
          <w:color w:val="auto"/>
          <w:kern w:val="0"/>
          <w:sz w:val="22"/>
          <w:szCs w:val="22"/>
          <w14:ligatures w14:val="none"/>
        </w:rPr>
      </w:pPr>
    </w:p>
    <w:tbl>
      <w:tblPr>
        <w:tblStyle w:val="TableGrid1"/>
        <w:tblW w:w="0" w:type="auto"/>
        <w:tblLook w:val="04A0" w:firstRow="1" w:lastRow="0" w:firstColumn="1" w:lastColumn="0" w:noHBand="0" w:noVBand="1"/>
      </w:tblPr>
      <w:tblGrid>
        <w:gridCol w:w="2263"/>
        <w:gridCol w:w="4111"/>
        <w:gridCol w:w="2642"/>
      </w:tblGrid>
      <w:tr w:rsidR="00FA1574" w:rsidRPr="00FA1574" w14:paraId="663C7E3A" w14:textId="77777777" w:rsidTr="00F5532B">
        <w:tc>
          <w:tcPr>
            <w:tcW w:w="2263" w:type="dxa"/>
            <w:shd w:val="clear" w:color="auto" w:fill="D9D9D9" w:themeFill="background1" w:themeFillShade="D9"/>
          </w:tcPr>
          <w:p w14:paraId="2EECCDF6" w14:textId="77777777" w:rsidR="00FA1574" w:rsidRPr="00FA1574" w:rsidRDefault="00FA1574" w:rsidP="00FA1574">
            <w:pPr>
              <w:rPr>
                <w:rFonts w:ascii="Arial" w:hAnsi="Arial" w:cs="Arial"/>
                <w:b/>
                <w:bCs/>
                <w:color w:val="auto"/>
                <w:sz w:val="18"/>
                <w:szCs w:val="18"/>
              </w:rPr>
            </w:pPr>
            <w:r w:rsidRPr="00FA1574">
              <w:rPr>
                <w:rFonts w:ascii="Arial" w:hAnsi="Arial" w:cs="Arial"/>
                <w:b/>
                <w:bCs/>
                <w:color w:val="auto"/>
                <w:sz w:val="18"/>
                <w:szCs w:val="18"/>
              </w:rPr>
              <w:t>Fire Standard Outcome</w:t>
            </w:r>
          </w:p>
        </w:tc>
        <w:tc>
          <w:tcPr>
            <w:tcW w:w="4111" w:type="dxa"/>
            <w:shd w:val="clear" w:color="auto" w:fill="D9D9D9" w:themeFill="background1" w:themeFillShade="D9"/>
          </w:tcPr>
          <w:p w14:paraId="4DA6209F" w14:textId="77777777" w:rsidR="00FA1574" w:rsidRPr="00FA1574" w:rsidRDefault="00FA1574" w:rsidP="00FA1574">
            <w:pPr>
              <w:rPr>
                <w:rFonts w:ascii="Arial" w:hAnsi="Arial" w:cs="Arial"/>
                <w:b/>
                <w:bCs/>
                <w:color w:val="auto"/>
                <w:sz w:val="18"/>
                <w:szCs w:val="18"/>
              </w:rPr>
            </w:pPr>
            <w:r w:rsidRPr="00FA1574">
              <w:rPr>
                <w:rFonts w:ascii="Arial" w:hAnsi="Arial" w:cs="Arial"/>
                <w:b/>
                <w:bCs/>
                <w:color w:val="auto"/>
                <w:sz w:val="18"/>
                <w:szCs w:val="18"/>
              </w:rPr>
              <w:t>Draft CRMP Product Development</w:t>
            </w:r>
          </w:p>
        </w:tc>
        <w:tc>
          <w:tcPr>
            <w:tcW w:w="2642" w:type="dxa"/>
            <w:shd w:val="clear" w:color="auto" w:fill="D9D9D9" w:themeFill="background1" w:themeFillShade="D9"/>
          </w:tcPr>
          <w:p w14:paraId="793E4DD3" w14:textId="77777777" w:rsidR="00FA1574" w:rsidRPr="00FA1574" w:rsidRDefault="00FA1574" w:rsidP="00FA1574">
            <w:pPr>
              <w:rPr>
                <w:rFonts w:ascii="Arial" w:hAnsi="Arial" w:cs="Arial"/>
                <w:b/>
                <w:bCs/>
                <w:color w:val="auto"/>
                <w:sz w:val="18"/>
                <w:szCs w:val="18"/>
              </w:rPr>
            </w:pPr>
            <w:r w:rsidRPr="00FA1574">
              <w:rPr>
                <w:rFonts w:ascii="Arial" w:hAnsi="Arial" w:cs="Arial"/>
                <w:b/>
                <w:bCs/>
                <w:color w:val="auto"/>
                <w:sz w:val="18"/>
                <w:szCs w:val="18"/>
              </w:rPr>
              <w:t>Consultation Process</w:t>
            </w:r>
          </w:p>
        </w:tc>
      </w:tr>
      <w:tr w:rsidR="00FA1574" w:rsidRPr="00FA1574" w14:paraId="26945AB7" w14:textId="77777777" w:rsidTr="00F5532B">
        <w:tc>
          <w:tcPr>
            <w:tcW w:w="2263" w:type="dxa"/>
          </w:tcPr>
          <w:p w14:paraId="39C36A89" w14:textId="77777777" w:rsidR="00FA1574" w:rsidRPr="00FA1574" w:rsidRDefault="00FA1574" w:rsidP="00FA1574">
            <w:pPr>
              <w:rPr>
                <w:rFonts w:ascii="Arial" w:hAnsi="Arial" w:cs="Arial"/>
                <w:color w:val="auto"/>
                <w:sz w:val="18"/>
                <w:szCs w:val="18"/>
              </w:rPr>
            </w:pPr>
            <w:r w:rsidRPr="00FA1574">
              <w:rPr>
                <w:rFonts w:ascii="Arial" w:hAnsi="Arial" w:cs="Arial"/>
                <w:color w:val="auto"/>
                <w:sz w:val="18"/>
                <w:szCs w:val="18"/>
              </w:rPr>
              <w:t xml:space="preserve">Being able to demonstrate how protection, prevention and response activities have and will be used collectively to prevent and/or mitigate fires and other incidents </w:t>
            </w:r>
          </w:p>
        </w:tc>
        <w:tc>
          <w:tcPr>
            <w:tcW w:w="4111" w:type="dxa"/>
          </w:tcPr>
          <w:p w14:paraId="18DAE017" w14:textId="77777777" w:rsidR="00FA1574" w:rsidRPr="00FA1574" w:rsidRDefault="00FA1574" w:rsidP="00FA1574">
            <w:pPr>
              <w:rPr>
                <w:rFonts w:ascii="Arial" w:hAnsi="Arial" w:cs="Arial"/>
                <w:color w:val="auto"/>
                <w:sz w:val="18"/>
                <w:szCs w:val="18"/>
              </w:rPr>
            </w:pPr>
            <w:r w:rsidRPr="00FA1574">
              <w:rPr>
                <w:rFonts w:ascii="Arial" w:hAnsi="Arial" w:cs="Arial"/>
                <w:color w:val="auto"/>
                <w:sz w:val="18"/>
                <w:szCs w:val="18"/>
              </w:rPr>
              <w:t>NFRS’ draft CRMP outlines all these areas in pages 26-34 of the document. These pages outline the services we currently deliver in relation to protection, prevention and response.</w:t>
            </w:r>
          </w:p>
          <w:p w14:paraId="1FD38F6D" w14:textId="77777777" w:rsidR="00FA1574" w:rsidRPr="00FA1574" w:rsidRDefault="00FA1574" w:rsidP="00FA1574">
            <w:pPr>
              <w:rPr>
                <w:rFonts w:ascii="Arial" w:hAnsi="Arial" w:cs="Arial"/>
                <w:color w:val="auto"/>
                <w:sz w:val="18"/>
                <w:szCs w:val="18"/>
              </w:rPr>
            </w:pPr>
          </w:p>
          <w:p w14:paraId="1231FD80" w14:textId="77777777" w:rsidR="00FA1574" w:rsidRPr="00FA1574" w:rsidRDefault="00FA1574" w:rsidP="00FA1574">
            <w:pPr>
              <w:rPr>
                <w:rFonts w:ascii="Arial" w:hAnsi="Arial" w:cs="Arial"/>
                <w:color w:val="auto"/>
              </w:rPr>
            </w:pPr>
            <w:r w:rsidRPr="00FA1574">
              <w:rPr>
                <w:rFonts w:ascii="Arial" w:hAnsi="Arial" w:cs="Arial"/>
                <w:color w:val="auto"/>
                <w:sz w:val="18"/>
                <w:szCs w:val="18"/>
              </w:rPr>
              <w:t>Pages 37-44 of the document outlines our plans going forward, including performance outcomes.</w:t>
            </w:r>
            <w:r w:rsidRPr="00FA1574">
              <w:rPr>
                <w:rFonts w:ascii="Arial" w:hAnsi="Arial" w:cs="Arial"/>
                <w:color w:val="auto"/>
              </w:rPr>
              <w:t xml:space="preserve"> </w:t>
            </w:r>
          </w:p>
        </w:tc>
        <w:tc>
          <w:tcPr>
            <w:tcW w:w="2642" w:type="dxa"/>
          </w:tcPr>
          <w:p w14:paraId="22D6D41E" w14:textId="77777777" w:rsidR="00FA1574" w:rsidRPr="00FA1574" w:rsidRDefault="00FA1574" w:rsidP="00FA1574">
            <w:pPr>
              <w:rPr>
                <w:rFonts w:ascii="Arial" w:hAnsi="Arial" w:cs="Arial"/>
                <w:color w:val="000000" w:themeColor="text1"/>
                <w:sz w:val="18"/>
                <w:szCs w:val="18"/>
              </w:rPr>
            </w:pPr>
            <w:r w:rsidRPr="00FA1574">
              <w:rPr>
                <w:rFonts w:ascii="Arial" w:hAnsi="Arial" w:cs="Arial"/>
                <w:color w:val="000000" w:themeColor="text1"/>
                <w:sz w:val="18"/>
                <w:szCs w:val="18"/>
              </w:rPr>
              <w:t>The consultation sought to verify with our communities, staff and partners how confident they felt in our plans to prevent and/or mitigate fires and other incidents. The results are detailed in this report.</w:t>
            </w:r>
          </w:p>
        </w:tc>
      </w:tr>
      <w:tr w:rsidR="00FA1574" w:rsidRPr="00FA1574" w14:paraId="4BED5909" w14:textId="77777777" w:rsidTr="00F5532B">
        <w:tc>
          <w:tcPr>
            <w:tcW w:w="2263" w:type="dxa"/>
          </w:tcPr>
          <w:p w14:paraId="2468F3D3" w14:textId="77777777" w:rsidR="00FA1574" w:rsidRPr="00FA1574" w:rsidRDefault="00FA1574" w:rsidP="00FA1574">
            <w:pPr>
              <w:rPr>
                <w:rFonts w:ascii="Arial" w:hAnsi="Arial" w:cs="Arial"/>
                <w:color w:val="auto"/>
                <w:sz w:val="18"/>
                <w:szCs w:val="18"/>
              </w:rPr>
            </w:pPr>
            <w:r w:rsidRPr="00FA1574">
              <w:rPr>
                <w:rFonts w:ascii="Arial" w:hAnsi="Arial" w:cs="Arial"/>
                <w:color w:val="auto"/>
                <w:sz w:val="18"/>
                <w:szCs w:val="18"/>
              </w:rPr>
              <w:t xml:space="preserve">Effectively consulting and engaging with communities, FRS staff and stakeholders </w:t>
            </w:r>
          </w:p>
        </w:tc>
        <w:tc>
          <w:tcPr>
            <w:tcW w:w="4111" w:type="dxa"/>
          </w:tcPr>
          <w:p w14:paraId="695EBB38" w14:textId="77777777" w:rsidR="00FA1574" w:rsidRPr="00FA1574" w:rsidRDefault="00FA1574" w:rsidP="00FA1574">
            <w:pPr>
              <w:rPr>
                <w:rFonts w:ascii="Arial" w:hAnsi="Arial" w:cs="Arial"/>
                <w:i/>
                <w:iCs/>
                <w:color w:val="auto"/>
              </w:rPr>
            </w:pPr>
          </w:p>
        </w:tc>
        <w:tc>
          <w:tcPr>
            <w:tcW w:w="2642" w:type="dxa"/>
          </w:tcPr>
          <w:p w14:paraId="72413DD0" w14:textId="77777777" w:rsidR="00FA1574" w:rsidRPr="00FA1574" w:rsidRDefault="00FA1574" w:rsidP="00FA1574">
            <w:pPr>
              <w:rPr>
                <w:rFonts w:ascii="Arial" w:hAnsi="Arial" w:cs="Arial"/>
                <w:color w:val="000000" w:themeColor="text1"/>
                <w:sz w:val="18"/>
                <w:szCs w:val="18"/>
              </w:rPr>
            </w:pPr>
            <w:r w:rsidRPr="00FA1574">
              <w:rPr>
                <w:rFonts w:ascii="Arial" w:hAnsi="Arial" w:cs="Arial"/>
                <w:color w:val="000000" w:themeColor="text1"/>
                <w:sz w:val="18"/>
                <w:szCs w:val="18"/>
              </w:rPr>
              <w:t>The consultation process included communities, staff and stakeholders. The process was delivered in line with the NFRS Consultation Framework and was effective, as outlined in this report.</w:t>
            </w:r>
          </w:p>
        </w:tc>
      </w:tr>
      <w:tr w:rsidR="00FA1574" w:rsidRPr="00FA1574" w14:paraId="10001DCC" w14:textId="77777777" w:rsidTr="00F5532B">
        <w:tc>
          <w:tcPr>
            <w:tcW w:w="2263" w:type="dxa"/>
          </w:tcPr>
          <w:p w14:paraId="6B7D8D80" w14:textId="77777777" w:rsidR="00FA1574" w:rsidRPr="00FA1574" w:rsidRDefault="00FA1574" w:rsidP="00FA1574">
            <w:pPr>
              <w:rPr>
                <w:rFonts w:ascii="Arial" w:hAnsi="Arial" w:cs="Arial"/>
                <w:color w:val="auto"/>
                <w:sz w:val="18"/>
                <w:szCs w:val="18"/>
              </w:rPr>
            </w:pPr>
            <w:r w:rsidRPr="00FA1574">
              <w:rPr>
                <w:rFonts w:ascii="Arial" w:hAnsi="Arial" w:cs="Arial"/>
                <w:color w:val="auto"/>
                <w:sz w:val="18"/>
                <w:szCs w:val="18"/>
              </w:rPr>
              <w:t xml:space="preserve">Using a robust risk analysis process (giving due regard to existing and emerging local, </w:t>
            </w:r>
            <w:r w:rsidRPr="00FA1574">
              <w:rPr>
                <w:rFonts w:ascii="Arial" w:hAnsi="Arial" w:cs="Arial"/>
                <w:color w:val="auto"/>
                <w:sz w:val="18"/>
                <w:szCs w:val="18"/>
              </w:rPr>
              <w:lastRenderedPageBreak/>
              <w:t xml:space="preserve">regional and national hazards) </w:t>
            </w:r>
          </w:p>
        </w:tc>
        <w:tc>
          <w:tcPr>
            <w:tcW w:w="4111" w:type="dxa"/>
          </w:tcPr>
          <w:p w14:paraId="4AAA6288" w14:textId="77777777" w:rsidR="00FA1574" w:rsidRPr="00FA1574" w:rsidRDefault="00FA1574" w:rsidP="00FA1574">
            <w:pPr>
              <w:rPr>
                <w:rFonts w:ascii="Arial" w:hAnsi="Arial" w:cs="Arial"/>
                <w:color w:val="auto"/>
                <w:sz w:val="18"/>
                <w:szCs w:val="18"/>
              </w:rPr>
            </w:pPr>
            <w:r w:rsidRPr="00FA1574">
              <w:rPr>
                <w:rFonts w:ascii="Arial" w:hAnsi="Arial" w:cs="Arial"/>
                <w:color w:val="auto"/>
                <w:sz w:val="18"/>
                <w:szCs w:val="18"/>
              </w:rPr>
              <w:lastRenderedPageBreak/>
              <w:t xml:space="preserve">NFRS undertook a Fire Cover Review via a third-party, sector-leading, independent partner, ORH. </w:t>
            </w:r>
          </w:p>
          <w:p w14:paraId="0592DF24" w14:textId="77777777" w:rsidR="00FA1574" w:rsidRPr="00FA1574" w:rsidRDefault="00FA1574" w:rsidP="00FA1574">
            <w:pPr>
              <w:rPr>
                <w:rFonts w:ascii="Arial" w:hAnsi="Arial" w:cs="Arial"/>
                <w:color w:val="auto"/>
                <w:sz w:val="18"/>
                <w:szCs w:val="18"/>
              </w:rPr>
            </w:pPr>
          </w:p>
          <w:p w14:paraId="6E87127C" w14:textId="77777777" w:rsidR="00FA1574" w:rsidRPr="00FA1574" w:rsidRDefault="00FA1574" w:rsidP="00FA1574">
            <w:pPr>
              <w:rPr>
                <w:rFonts w:ascii="Arial" w:hAnsi="Arial" w:cs="Arial"/>
                <w:color w:val="auto"/>
                <w:sz w:val="18"/>
                <w:szCs w:val="18"/>
              </w:rPr>
            </w:pPr>
            <w:r w:rsidRPr="00FA1574">
              <w:rPr>
                <w:rFonts w:ascii="Arial" w:hAnsi="Arial" w:cs="Arial"/>
                <w:color w:val="auto"/>
                <w:sz w:val="18"/>
                <w:szCs w:val="18"/>
              </w:rPr>
              <w:lastRenderedPageBreak/>
              <w:t>This process considered the distribution of NFRS Fire Cover, the current delivery model of NFRS operational capabilities, and utilised the NFCC Risk Methodology to identify high risk areas of the County and consider how NFRS is resourced against those risks, informing the decisions made around our priorities over the next three years. An overview of this can be found from page 22-25 in the Draft CRMP.</w:t>
            </w:r>
          </w:p>
          <w:p w14:paraId="4EDD17E8" w14:textId="77777777" w:rsidR="00FA1574" w:rsidRPr="00FA1574" w:rsidRDefault="00FA1574" w:rsidP="00FA1574">
            <w:pPr>
              <w:rPr>
                <w:rFonts w:ascii="Arial" w:hAnsi="Arial" w:cs="Arial"/>
                <w:color w:val="auto"/>
                <w:sz w:val="18"/>
                <w:szCs w:val="18"/>
              </w:rPr>
            </w:pPr>
          </w:p>
          <w:p w14:paraId="12EAF8AC" w14:textId="77777777" w:rsidR="00FA1574" w:rsidRPr="00FA1574" w:rsidRDefault="00FA1574" w:rsidP="00FA1574">
            <w:pPr>
              <w:rPr>
                <w:rFonts w:ascii="Arial" w:hAnsi="Arial" w:cs="Arial"/>
                <w:color w:val="auto"/>
                <w:sz w:val="18"/>
                <w:szCs w:val="18"/>
              </w:rPr>
            </w:pPr>
            <w:r w:rsidRPr="00FA1574">
              <w:rPr>
                <w:rFonts w:ascii="Arial" w:hAnsi="Arial" w:cs="Arial"/>
                <w:color w:val="auto"/>
                <w:sz w:val="18"/>
                <w:szCs w:val="18"/>
              </w:rPr>
              <w:t xml:space="preserve">In addition, NFRS undertook a Strategic Assessment of Risk, looking at political, economic, technical, environmental, societal, legal and organisational risks. </w:t>
            </w:r>
          </w:p>
          <w:p w14:paraId="5B52ACB5" w14:textId="77777777" w:rsidR="00FA1574" w:rsidRPr="00FA1574" w:rsidRDefault="00FA1574" w:rsidP="00FA1574">
            <w:pPr>
              <w:rPr>
                <w:rFonts w:ascii="Arial" w:hAnsi="Arial" w:cs="Arial"/>
                <w:color w:val="auto"/>
                <w:sz w:val="18"/>
                <w:szCs w:val="18"/>
              </w:rPr>
            </w:pPr>
          </w:p>
          <w:p w14:paraId="0DB88DE0" w14:textId="77777777" w:rsidR="00FA1574" w:rsidRPr="00FA1574" w:rsidRDefault="00FA1574" w:rsidP="00FA1574">
            <w:pPr>
              <w:rPr>
                <w:rFonts w:ascii="Arial" w:hAnsi="Arial" w:cs="Arial"/>
                <w:color w:val="auto"/>
                <w:sz w:val="18"/>
                <w:szCs w:val="18"/>
              </w:rPr>
            </w:pPr>
            <w:r w:rsidRPr="00FA1574">
              <w:rPr>
                <w:rFonts w:ascii="Arial" w:hAnsi="Arial" w:cs="Arial"/>
                <w:color w:val="auto"/>
                <w:sz w:val="18"/>
                <w:szCs w:val="18"/>
              </w:rPr>
              <w:t>Any factors which pose a significant risk are added to the corporate risk register, and these are also captured within the CRMP (pages 18-21).</w:t>
            </w:r>
          </w:p>
        </w:tc>
        <w:tc>
          <w:tcPr>
            <w:tcW w:w="2642" w:type="dxa"/>
          </w:tcPr>
          <w:p w14:paraId="7C276FFC" w14:textId="77777777" w:rsidR="00FA1574" w:rsidRPr="00FA1574" w:rsidRDefault="00FA1574" w:rsidP="00FA1574">
            <w:pPr>
              <w:rPr>
                <w:rFonts w:ascii="Arial" w:hAnsi="Arial" w:cs="Arial"/>
                <w:color w:val="000000" w:themeColor="text1"/>
                <w:sz w:val="18"/>
                <w:szCs w:val="18"/>
              </w:rPr>
            </w:pPr>
            <w:r w:rsidRPr="00FA1574">
              <w:rPr>
                <w:rFonts w:ascii="Arial" w:hAnsi="Arial" w:cs="Arial"/>
                <w:color w:val="000000" w:themeColor="text1"/>
                <w:sz w:val="18"/>
                <w:szCs w:val="18"/>
              </w:rPr>
              <w:lastRenderedPageBreak/>
              <w:t xml:space="preserve">The consultation sought to verify with our communities, staff and partners that they were confident that we had assessed all risks relevant to </w:t>
            </w:r>
            <w:r w:rsidRPr="00FA1574">
              <w:rPr>
                <w:rFonts w:ascii="Arial" w:hAnsi="Arial" w:cs="Arial"/>
                <w:color w:val="000000" w:themeColor="text1"/>
                <w:sz w:val="18"/>
                <w:szCs w:val="18"/>
              </w:rPr>
              <w:lastRenderedPageBreak/>
              <w:t>their communities. The results are detailed in this report.</w:t>
            </w:r>
          </w:p>
        </w:tc>
      </w:tr>
      <w:tr w:rsidR="00FA1574" w:rsidRPr="00FA1574" w14:paraId="1A16126C" w14:textId="77777777" w:rsidTr="00F5532B">
        <w:tc>
          <w:tcPr>
            <w:tcW w:w="2263" w:type="dxa"/>
          </w:tcPr>
          <w:p w14:paraId="6F83C956" w14:textId="77777777" w:rsidR="00FA1574" w:rsidRPr="00FA1574" w:rsidRDefault="00FA1574" w:rsidP="00FA1574">
            <w:pPr>
              <w:rPr>
                <w:rFonts w:ascii="Arial" w:hAnsi="Arial" w:cs="Arial"/>
                <w:color w:val="auto"/>
                <w:sz w:val="18"/>
                <w:szCs w:val="18"/>
              </w:rPr>
            </w:pPr>
            <w:r w:rsidRPr="00FA1574">
              <w:rPr>
                <w:rFonts w:ascii="Arial" w:hAnsi="Arial" w:cs="Arial"/>
                <w:color w:val="auto"/>
                <w:sz w:val="18"/>
                <w:szCs w:val="18"/>
              </w:rPr>
              <w:lastRenderedPageBreak/>
              <w:t xml:space="preserve">Ensuring resource deployment decisions are balanced against an assessment of internal and external resource availability </w:t>
            </w:r>
          </w:p>
        </w:tc>
        <w:tc>
          <w:tcPr>
            <w:tcW w:w="4111" w:type="dxa"/>
          </w:tcPr>
          <w:p w14:paraId="2DCFEB38" w14:textId="77777777" w:rsidR="00FA1574" w:rsidRPr="00FA1574" w:rsidRDefault="00FA1574" w:rsidP="00FA1574">
            <w:pPr>
              <w:rPr>
                <w:rFonts w:ascii="Arial" w:hAnsi="Arial" w:cs="Arial"/>
                <w:color w:val="auto"/>
                <w:sz w:val="18"/>
                <w:szCs w:val="18"/>
              </w:rPr>
            </w:pPr>
            <w:r w:rsidRPr="00FA1574">
              <w:rPr>
                <w:rFonts w:ascii="Arial" w:hAnsi="Arial" w:cs="Arial"/>
                <w:color w:val="auto"/>
                <w:sz w:val="18"/>
                <w:szCs w:val="18"/>
              </w:rPr>
              <w:t xml:space="preserve">A full, in-depth Fire Cover Review was undertaken and is outlined within the CRMP (pages 22-25). </w:t>
            </w:r>
          </w:p>
          <w:p w14:paraId="1C7F8A4E" w14:textId="77777777" w:rsidR="00FA1574" w:rsidRPr="00FA1574" w:rsidRDefault="00FA1574" w:rsidP="00FA1574">
            <w:pPr>
              <w:rPr>
                <w:rFonts w:ascii="Arial" w:hAnsi="Arial" w:cs="Arial"/>
                <w:color w:val="auto"/>
                <w:sz w:val="18"/>
                <w:szCs w:val="18"/>
              </w:rPr>
            </w:pPr>
          </w:p>
          <w:p w14:paraId="63E98656" w14:textId="77777777" w:rsidR="00FA1574" w:rsidRPr="00FA1574" w:rsidRDefault="00FA1574" w:rsidP="00FA1574">
            <w:pPr>
              <w:rPr>
                <w:rFonts w:ascii="Arial" w:hAnsi="Arial" w:cs="Arial"/>
                <w:color w:val="auto"/>
                <w:sz w:val="18"/>
                <w:szCs w:val="18"/>
              </w:rPr>
            </w:pPr>
            <w:r w:rsidRPr="00FA1574">
              <w:rPr>
                <w:rFonts w:ascii="Arial" w:hAnsi="Arial" w:cs="Arial"/>
                <w:color w:val="auto"/>
                <w:sz w:val="18"/>
                <w:szCs w:val="18"/>
              </w:rPr>
              <w:t>This process considered all operational resources and their availability, against volumes of work. Priorities and delivery targets have been set out within the CRMP according to NFRS resourcing and productivity.</w:t>
            </w:r>
          </w:p>
        </w:tc>
        <w:tc>
          <w:tcPr>
            <w:tcW w:w="2642" w:type="dxa"/>
          </w:tcPr>
          <w:p w14:paraId="10D36D55" w14:textId="77777777" w:rsidR="00FA1574" w:rsidRPr="00FA1574" w:rsidRDefault="00FA1574" w:rsidP="00FA1574">
            <w:pPr>
              <w:rPr>
                <w:rFonts w:ascii="Arial" w:hAnsi="Arial" w:cs="Arial"/>
                <w:color w:val="000000" w:themeColor="text1"/>
                <w:sz w:val="18"/>
                <w:szCs w:val="18"/>
              </w:rPr>
            </w:pPr>
            <w:r w:rsidRPr="00FA1574">
              <w:rPr>
                <w:rFonts w:ascii="Arial" w:hAnsi="Arial" w:cs="Arial"/>
                <w:color w:val="000000" w:themeColor="text1"/>
                <w:sz w:val="18"/>
                <w:szCs w:val="18"/>
              </w:rPr>
              <w:t>The consultation sought to verify with our communities, staff and partners that they were confident that our resources were best placed to mitigate risk in their communities. The results are detailed in this report.</w:t>
            </w:r>
          </w:p>
        </w:tc>
      </w:tr>
      <w:tr w:rsidR="00FA1574" w:rsidRPr="00FA1574" w14:paraId="1AF01EB7" w14:textId="77777777" w:rsidTr="00F5532B">
        <w:tc>
          <w:tcPr>
            <w:tcW w:w="2263" w:type="dxa"/>
          </w:tcPr>
          <w:p w14:paraId="5BCD8A15" w14:textId="77777777" w:rsidR="00FA1574" w:rsidRPr="00FA1574" w:rsidRDefault="00FA1574" w:rsidP="00FA1574">
            <w:pPr>
              <w:rPr>
                <w:rFonts w:ascii="Arial" w:hAnsi="Arial" w:cs="Arial"/>
                <w:color w:val="auto"/>
                <w:sz w:val="18"/>
                <w:szCs w:val="18"/>
              </w:rPr>
            </w:pPr>
            <w:r w:rsidRPr="00FA1574">
              <w:rPr>
                <w:rFonts w:ascii="Arial" w:hAnsi="Arial" w:cs="Arial"/>
                <w:color w:val="auto"/>
                <w:sz w:val="18"/>
                <w:szCs w:val="18"/>
              </w:rPr>
              <w:t>Creating, and being able to evidence, its community risk management plan in line with a nationally approved structure which involves the key components detailed within this standard.</w:t>
            </w:r>
          </w:p>
        </w:tc>
        <w:tc>
          <w:tcPr>
            <w:tcW w:w="4111" w:type="dxa"/>
          </w:tcPr>
          <w:p w14:paraId="77372117" w14:textId="77777777" w:rsidR="00FA1574" w:rsidRPr="00FA1574" w:rsidRDefault="00FA1574" w:rsidP="00FA1574">
            <w:pPr>
              <w:rPr>
                <w:rFonts w:ascii="Arial" w:hAnsi="Arial" w:cs="Arial"/>
                <w:color w:val="auto"/>
                <w:sz w:val="18"/>
                <w:szCs w:val="18"/>
              </w:rPr>
            </w:pPr>
            <w:r w:rsidRPr="00FA1574">
              <w:rPr>
                <w:rFonts w:ascii="Arial" w:hAnsi="Arial" w:cs="Arial"/>
                <w:color w:val="auto"/>
                <w:sz w:val="18"/>
                <w:szCs w:val="18"/>
              </w:rPr>
              <w:t>The Plan has been developed in line with the National Framework (outlined below), NFCC guidance, and the NFCC Fire Standard (outlined here).</w:t>
            </w:r>
          </w:p>
          <w:p w14:paraId="18FD6AEA" w14:textId="77777777" w:rsidR="00FA1574" w:rsidRPr="00FA1574" w:rsidRDefault="00FA1574" w:rsidP="00FA1574">
            <w:pPr>
              <w:rPr>
                <w:rFonts w:ascii="Arial" w:hAnsi="Arial" w:cs="Arial"/>
                <w:color w:val="auto"/>
                <w:sz w:val="18"/>
                <w:szCs w:val="18"/>
              </w:rPr>
            </w:pPr>
          </w:p>
          <w:p w14:paraId="4CFB5AB7" w14:textId="77777777" w:rsidR="00FA1574" w:rsidRPr="00FA1574" w:rsidRDefault="00FA1574" w:rsidP="00FA1574">
            <w:pPr>
              <w:rPr>
                <w:rFonts w:ascii="Arial" w:hAnsi="Arial" w:cs="Arial"/>
                <w:color w:val="auto"/>
              </w:rPr>
            </w:pPr>
            <w:r w:rsidRPr="00FA1574">
              <w:rPr>
                <w:rFonts w:ascii="Arial" w:hAnsi="Arial" w:cs="Arial"/>
                <w:color w:val="auto"/>
                <w:sz w:val="18"/>
                <w:szCs w:val="18"/>
              </w:rPr>
              <w:t xml:space="preserve"> </w:t>
            </w:r>
          </w:p>
        </w:tc>
        <w:tc>
          <w:tcPr>
            <w:tcW w:w="2642" w:type="dxa"/>
          </w:tcPr>
          <w:p w14:paraId="61D3F1CD" w14:textId="77777777" w:rsidR="00FA1574" w:rsidRPr="00FA1574" w:rsidRDefault="00FA1574" w:rsidP="00FA1574">
            <w:pPr>
              <w:rPr>
                <w:rFonts w:ascii="Arial" w:hAnsi="Arial" w:cs="Arial"/>
                <w:color w:val="000000" w:themeColor="text1"/>
                <w:sz w:val="18"/>
                <w:szCs w:val="18"/>
              </w:rPr>
            </w:pPr>
          </w:p>
        </w:tc>
      </w:tr>
    </w:tbl>
    <w:p w14:paraId="08D712C6" w14:textId="77777777" w:rsidR="00FA1574" w:rsidRPr="00FA1574" w:rsidRDefault="00FA1574" w:rsidP="00FA1574">
      <w:pPr>
        <w:rPr>
          <w:rFonts w:ascii="Arial" w:hAnsi="Arial" w:cs="Arial"/>
          <w:color w:val="auto"/>
          <w:kern w:val="0"/>
          <w:sz w:val="22"/>
          <w:szCs w:val="22"/>
          <w14:ligatures w14:val="none"/>
        </w:rPr>
      </w:pPr>
    </w:p>
    <w:p w14:paraId="3DF7E390" w14:textId="77777777" w:rsidR="00FA1574" w:rsidRPr="00FA1574" w:rsidRDefault="00FA1574" w:rsidP="00FA1574">
      <w:pPr>
        <w:rPr>
          <w:rFonts w:ascii="Arial" w:hAnsi="Arial" w:cs="Arial"/>
          <w:color w:val="auto"/>
          <w:kern w:val="0"/>
          <w:sz w:val="22"/>
          <w:szCs w:val="22"/>
          <w14:ligatures w14:val="none"/>
        </w:rPr>
      </w:pPr>
    </w:p>
    <w:p w14:paraId="69E1D68A" w14:textId="77777777" w:rsidR="00FA1574" w:rsidRPr="00FA1574" w:rsidRDefault="00FA1574" w:rsidP="00FA1574">
      <w:pPr>
        <w:rPr>
          <w:rFonts w:ascii="Arial" w:hAnsi="Arial" w:cs="Arial"/>
          <w:b/>
          <w:bCs/>
          <w:color w:val="auto"/>
          <w:kern w:val="0"/>
          <w:sz w:val="22"/>
          <w:szCs w:val="22"/>
          <w14:ligatures w14:val="none"/>
        </w:rPr>
      </w:pPr>
      <w:r w:rsidRPr="00FA1574">
        <w:rPr>
          <w:rFonts w:ascii="Arial" w:hAnsi="Arial" w:cs="Arial"/>
          <w:b/>
          <w:bCs/>
          <w:color w:val="auto"/>
          <w:kern w:val="0"/>
          <w:sz w:val="22"/>
          <w:szCs w:val="22"/>
          <w14:ligatures w14:val="none"/>
        </w:rPr>
        <w:t>The NFRS Consultation Framework</w:t>
      </w:r>
    </w:p>
    <w:p w14:paraId="17F05410"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The Nottinghamshire Fire and Rescue Service Consultation Framework serves as a guiding document to ensure that NFRS consultation processes are effective, transparent, and inclusive. It underpins the service's commitment to engaging meaningfully with Nottinghamshire communities, alongside the NFRS workforce, representative bodies, and key stakeholders. It highlights the importance of consultation in informing decisions made by the Service. </w:t>
      </w:r>
    </w:p>
    <w:p w14:paraId="79D59AD0" w14:textId="77777777" w:rsidR="00FA1574" w:rsidRPr="00FA1574" w:rsidRDefault="00FA1574" w:rsidP="00FA1574">
      <w:pPr>
        <w:rPr>
          <w:rFonts w:ascii="Arial" w:hAnsi="Arial" w:cs="Arial"/>
          <w:color w:val="auto"/>
          <w:kern w:val="0"/>
          <w:sz w:val="20"/>
          <w:szCs w:val="20"/>
          <w14:ligatures w14:val="none"/>
        </w:rPr>
      </w:pPr>
    </w:p>
    <w:p w14:paraId="12A115D3"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below table outlines the requirements of the Consultation Framework and how NFRS has met them.</w:t>
      </w:r>
    </w:p>
    <w:p w14:paraId="48CF07A9" w14:textId="77777777" w:rsidR="00FA1574" w:rsidRPr="00FA1574" w:rsidRDefault="00FA1574" w:rsidP="00FA1574">
      <w:pPr>
        <w:rPr>
          <w:rFonts w:ascii="Arial" w:hAnsi="Arial" w:cs="Arial"/>
          <w:color w:val="auto"/>
          <w:kern w:val="0"/>
          <w:sz w:val="20"/>
          <w:szCs w:val="20"/>
          <w14:ligatures w14:val="none"/>
        </w:rPr>
      </w:pPr>
    </w:p>
    <w:tbl>
      <w:tblPr>
        <w:tblStyle w:val="TableGrid1"/>
        <w:tblW w:w="10065" w:type="dxa"/>
        <w:tblInd w:w="-572" w:type="dxa"/>
        <w:tblLook w:val="04A0" w:firstRow="1" w:lastRow="0" w:firstColumn="1" w:lastColumn="0" w:noHBand="0" w:noVBand="1"/>
      </w:tblPr>
      <w:tblGrid>
        <w:gridCol w:w="4111"/>
        <w:gridCol w:w="5954"/>
      </w:tblGrid>
      <w:tr w:rsidR="00FA1574" w:rsidRPr="00FA1574" w14:paraId="79E196BE" w14:textId="77777777" w:rsidTr="00F5532B">
        <w:tc>
          <w:tcPr>
            <w:tcW w:w="4111" w:type="dxa"/>
            <w:shd w:val="clear" w:color="auto" w:fill="D9D9D9" w:themeFill="background1" w:themeFillShade="D9"/>
          </w:tcPr>
          <w:p w14:paraId="4965A739" w14:textId="77777777" w:rsidR="00FA1574" w:rsidRPr="00FA1574" w:rsidRDefault="00FA1574" w:rsidP="00FA1574">
            <w:pPr>
              <w:rPr>
                <w:rFonts w:ascii="Arial" w:hAnsi="Arial" w:cs="Arial"/>
                <w:b/>
                <w:bCs/>
                <w:color w:val="auto"/>
                <w:sz w:val="18"/>
                <w:szCs w:val="18"/>
              </w:rPr>
            </w:pPr>
            <w:r w:rsidRPr="00FA1574">
              <w:rPr>
                <w:rFonts w:ascii="Arial" w:hAnsi="Arial" w:cs="Arial"/>
                <w:b/>
                <w:bCs/>
                <w:color w:val="auto"/>
                <w:sz w:val="18"/>
                <w:szCs w:val="18"/>
              </w:rPr>
              <w:t>Consultation Framework Requirement</w:t>
            </w:r>
          </w:p>
        </w:tc>
        <w:tc>
          <w:tcPr>
            <w:tcW w:w="5954" w:type="dxa"/>
            <w:shd w:val="clear" w:color="auto" w:fill="D9D9D9" w:themeFill="background1" w:themeFillShade="D9"/>
          </w:tcPr>
          <w:p w14:paraId="5BCD24D3" w14:textId="77777777" w:rsidR="00FA1574" w:rsidRPr="00FA1574" w:rsidRDefault="00FA1574" w:rsidP="00FA1574">
            <w:pPr>
              <w:rPr>
                <w:rFonts w:ascii="Arial" w:hAnsi="Arial" w:cs="Arial"/>
                <w:b/>
                <w:bCs/>
                <w:color w:val="auto"/>
                <w:sz w:val="18"/>
                <w:szCs w:val="18"/>
              </w:rPr>
            </w:pPr>
            <w:r w:rsidRPr="00FA1574">
              <w:rPr>
                <w:rFonts w:ascii="Arial" w:hAnsi="Arial" w:cs="Arial"/>
                <w:b/>
                <w:bCs/>
                <w:color w:val="auto"/>
                <w:sz w:val="18"/>
                <w:szCs w:val="18"/>
              </w:rPr>
              <w:t>Draft CRMP Product Development</w:t>
            </w:r>
          </w:p>
          <w:p w14:paraId="680A9ACD" w14:textId="77777777" w:rsidR="00FA1574" w:rsidRPr="00FA1574" w:rsidRDefault="00FA1574" w:rsidP="00FA1574">
            <w:pPr>
              <w:rPr>
                <w:rFonts w:ascii="Arial" w:hAnsi="Arial" w:cs="Arial"/>
                <w:b/>
                <w:bCs/>
                <w:color w:val="auto"/>
                <w:sz w:val="18"/>
                <w:szCs w:val="18"/>
              </w:rPr>
            </w:pPr>
            <w:r w:rsidRPr="00FA1574">
              <w:rPr>
                <w:rFonts w:ascii="Arial" w:hAnsi="Arial" w:cs="Arial"/>
                <w:b/>
                <w:bCs/>
                <w:color w:val="auto"/>
                <w:sz w:val="18"/>
                <w:szCs w:val="18"/>
              </w:rPr>
              <w:t>Consultation Process</w:t>
            </w:r>
          </w:p>
        </w:tc>
      </w:tr>
      <w:tr w:rsidR="00FA1574" w:rsidRPr="00FA1574" w14:paraId="380C4A18" w14:textId="77777777" w:rsidTr="00F5532B">
        <w:tc>
          <w:tcPr>
            <w:tcW w:w="4111" w:type="dxa"/>
          </w:tcPr>
          <w:p w14:paraId="5E60E2EB" w14:textId="77777777" w:rsidR="00FA1574" w:rsidRPr="00FA1574" w:rsidRDefault="00FA1574" w:rsidP="00FA1574">
            <w:pPr>
              <w:rPr>
                <w:rFonts w:ascii="Arial" w:hAnsi="Arial" w:cs="Arial"/>
                <w:b/>
                <w:bCs/>
                <w:color w:val="auto"/>
                <w:sz w:val="18"/>
                <w:szCs w:val="18"/>
              </w:rPr>
            </w:pPr>
            <w:r w:rsidRPr="00FA1574">
              <w:rPr>
                <w:rFonts w:ascii="Arial" w:hAnsi="Arial" w:cs="Arial"/>
                <w:b/>
                <w:bCs/>
                <w:color w:val="auto"/>
                <w:sz w:val="18"/>
                <w:szCs w:val="18"/>
              </w:rPr>
              <w:t>Section 1: When to consult</w:t>
            </w:r>
          </w:p>
          <w:p w14:paraId="45EE40CA" w14:textId="77777777" w:rsidR="00FA1574" w:rsidRPr="00FA1574" w:rsidRDefault="00FA1574" w:rsidP="00FA1574">
            <w:pPr>
              <w:rPr>
                <w:rFonts w:ascii="Arial" w:hAnsi="Arial" w:cs="Arial"/>
                <w:color w:val="auto"/>
                <w:sz w:val="18"/>
                <w:szCs w:val="18"/>
              </w:rPr>
            </w:pPr>
            <w:r w:rsidRPr="00FA1574">
              <w:rPr>
                <w:rFonts w:ascii="Arial" w:hAnsi="Arial" w:cs="Arial"/>
                <w:color w:val="auto"/>
                <w:sz w:val="18"/>
                <w:szCs w:val="18"/>
              </w:rPr>
              <w:t xml:space="preserve">The NFRS Consultation Framework outlines </w:t>
            </w:r>
            <w:proofErr w:type="gramStart"/>
            <w:r w:rsidRPr="00FA1574">
              <w:rPr>
                <w:rFonts w:ascii="Arial" w:hAnsi="Arial" w:cs="Arial"/>
                <w:color w:val="auto"/>
                <w:sz w:val="18"/>
                <w:szCs w:val="18"/>
              </w:rPr>
              <w:t>that consultations</w:t>
            </w:r>
            <w:proofErr w:type="gramEnd"/>
            <w:r w:rsidRPr="00FA1574">
              <w:rPr>
                <w:rFonts w:ascii="Arial" w:hAnsi="Arial" w:cs="Arial"/>
                <w:color w:val="auto"/>
                <w:sz w:val="18"/>
                <w:szCs w:val="18"/>
              </w:rPr>
              <w:t>:</w:t>
            </w:r>
          </w:p>
          <w:p w14:paraId="6038630B" w14:textId="77777777" w:rsidR="00FA1574" w:rsidRPr="00FA1574" w:rsidRDefault="00FA1574" w:rsidP="00FA1574">
            <w:pPr>
              <w:numPr>
                <w:ilvl w:val="0"/>
                <w:numId w:val="57"/>
              </w:numPr>
              <w:rPr>
                <w:rFonts w:ascii="Arial" w:hAnsi="Arial" w:cs="Arial"/>
                <w:color w:val="auto"/>
                <w:sz w:val="18"/>
                <w:szCs w:val="18"/>
              </w:rPr>
            </w:pPr>
            <w:r w:rsidRPr="00FA1574">
              <w:rPr>
                <w:rFonts w:ascii="Arial" w:hAnsi="Arial" w:cs="Arial"/>
                <w:color w:val="auto"/>
                <w:sz w:val="18"/>
                <w:szCs w:val="18"/>
              </w:rPr>
              <w:t>Should take place when decisions are likely to have a direct impact on the public</w:t>
            </w:r>
          </w:p>
          <w:p w14:paraId="6E3C78C8" w14:textId="77777777" w:rsidR="00FA1574" w:rsidRPr="00FA1574" w:rsidRDefault="00FA1574" w:rsidP="00FA1574">
            <w:pPr>
              <w:numPr>
                <w:ilvl w:val="0"/>
                <w:numId w:val="57"/>
              </w:numPr>
              <w:rPr>
                <w:rFonts w:ascii="Arial" w:hAnsi="Arial" w:cs="Arial"/>
                <w:color w:val="auto"/>
                <w:sz w:val="18"/>
                <w:szCs w:val="18"/>
              </w:rPr>
            </w:pPr>
            <w:r w:rsidRPr="00FA1574">
              <w:rPr>
                <w:rFonts w:ascii="Arial" w:hAnsi="Arial" w:cs="Arial"/>
                <w:color w:val="auto"/>
                <w:sz w:val="18"/>
                <w:szCs w:val="18"/>
              </w:rPr>
              <w:t>Should be conducted using a range of methods</w:t>
            </w:r>
          </w:p>
          <w:p w14:paraId="20F27E0E" w14:textId="77777777" w:rsidR="00FA1574" w:rsidRPr="00FA1574" w:rsidRDefault="00FA1574" w:rsidP="00FA1574">
            <w:pPr>
              <w:numPr>
                <w:ilvl w:val="0"/>
                <w:numId w:val="57"/>
              </w:numPr>
              <w:rPr>
                <w:rFonts w:ascii="Arial" w:hAnsi="Arial" w:cs="Arial"/>
                <w:color w:val="auto"/>
                <w:sz w:val="18"/>
                <w:szCs w:val="18"/>
              </w:rPr>
            </w:pPr>
            <w:r w:rsidRPr="00FA1574">
              <w:rPr>
                <w:rFonts w:ascii="Arial" w:hAnsi="Arial" w:cs="Arial"/>
                <w:color w:val="auto"/>
                <w:sz w:val="18"/>
                <w:szCs w:val="18"/>
              </w:rPr>
              <w:lastRenderedPageBreak/>
              <w:t>May include an informal ‘pre-consultation’ period of engagement</w:t>
            </w:r>
          </w:p>
          <w:p w14:paraId="11DA9A0F" w14:textId="77777777" w:rsidR="00FA1574" w:rsidRPr="00FA1574" w:rsidRDefault="00FA1574" w:rsidP="00FA1574">
            <w:pPr>
              <w:numPr>
                <w:ilvl w:val="0"/>
                <w:numId w:val="57"/>
              </w:numPr>
              <w:rPr>
                <w:rFonts w:ascii="Arial" w:hAnsi="Arial" w:cs="Arial"/>
                <w:color w:val="auto"/>
                <w:sz w:val="18"/>
                <w:szCs w:val="18"/>
              </w:rPr>
            </w:pPr>
            <w:r w:rsidRPr="00FA1574">
              <w:rPr>
                <w:rFonts w:ascii="Arial" w:hAnsi="Arial" w:cs="Arial"/>
                <w:color w:val="auto"/>
                <w:sz w:val="18"/>
                <w:szCs w:val="18"/>
              </w:rPr>
              <w:t>Should include qualitative and quantitative data gathering methodologies</w:t>
            </w:r>
          </w:p>
          <w:p w14:paraId="0A54E30E" w14:textId="77777777" w:rsidR="00FA1574" w:rsidRPr="00FA1574" w:rsidRDefault="00FA1574" w:rsidP="00FA1574">
            <w:pPr>
              <w:numPr>
                <w:ilvl w:val="0"/>
                <w:numId w:val="57"/>
              </w:numPr>
              <w:rPr>
                <w:rFonts w:ascii="Arial" w:hAnsi="Arial" w:cs="Arial"/>
                <w:color w:val="auto"/>
                <w:sz w:val="18"/>
                <w:szCs w:val="18"/>
              </w:rPr>
            </w:pPr>
            <w:r w:rsidRPr="00FA1574">
              <w:rPr>
                <w:rFonts w:ascii="Arial" w:hAnsi="Arial" w:cs="Arial"/>
                <w:color w:val="auto"/>
                <w:sz w:val="18"/>
                <w:szCs w:val="18"/>
              </w:rPr>
              <w:t>Should avoid taking place during periods where responses may be affected (e.g. elections &amp; holiday periods).</w:t>
            </w:r>
          </w:p>
        </w:tc>
        <w:tc>
          <w:tcPr>
            <w:tcW w:w="5954" w:type="dxa"/>
          </w:tcPr>
          <w:p w14:paraId="75974D00" w14:textId="77777777" w:rsidR="00FA1574" w:rsidRPr="00FA1574" w:rsidRDefault="00FA1574" w:rsidP="00FA1574">
            <w:pPr>
              <w:rPr>
                <w:rFonts w:ascii="Arial" w:hAnsi="Arial" w:cs="Arial"/>
                <w:color w:val="auto"/>
                <w:sz w:val="18"/>
                <w:szCs w:val="18"/>
              </w:rPr>
            </w:pPr>
            <w:r w:rsidRPr="00FA1574">
              <w:rPr>
                <w:rFonts w:ascii="Arial" w:hAnsi="Arial" w:cs="Arial"/>
                <w:color w:val="auto"/>
                <w:sz w:val="18"/>
                <w:szCs w:val="18"/>
              </w:rPr>
              <w:lastRenderedPageBreak/>
              <w:t>The CRMP has a clear tangible impact on the public, as it outlines the organisations strategic commitments to the public over the next three years, including how the Service’s resources will be allocated to mitigate risks within the County. A consultation process was therefore required and was undertaken.</w:t>
            </w:r>
          </w:p>
          <w:p w14:paraId="4871ECB0" w14:textId="77777777" w:rsidR="00FA1574" w:rsidRPr="00FA1574" w:rsidRDefault="00FA1574" w:rsidP="00FA1574">
            <w:pPr>
              <w:rPr>
                <w:rFonts w:ascii="Arial" w:hAnsi="Arial" w:cs="Arial"/>
                <w:color w:val="000000" w:themeColor="text1"/>
                <w:sz w:val="18"/>
                <w:szCs w:val="18"/>
              </w:rPr>
            </w:pPr>
          </w:p>
          <w:p w14:paraId="55920729" w14:textId="77777777" w:rsidR="00FA1574" w:rsidRPr="00FA1574" w:rsidRDefault="00FA1574" w:rsidP="00FA1574">
            <w:pPr>
              <w:rPr>
                <w:rFonts w:ascii="Arial" w:hAnsi="Arial" w:cs="Arial"/>
                <w:color w:val="000000" w:themeColor="text1"/>
                <w:sz w:val="18"/>
                <w:szCs w:val="18"/>
              </w:rPr>
            </w:pPr>
            <w:r w:rsidRPr="00FA1574">
              <w:rPr>
                <w:rFonts w:ascii="Arial" w:hAnsi="Arial" w:cs="Arial"/>
                <w:color w:val="000000" w:themeColor="text1"/>
                <w:sz w:val="18"/>
                <w:szCs w:val="18"/>
              </w:rPr>
              <w:t xml:space="preserve">The survey questions and focus groups delivery were developed to inform the public about how the CRMP is likely to impact them </w:t>
            </w:r>
            <w:proofErr w:type="gramStart"/>
            <w:r w:rsidRPr="00FA1574">
              <w:rPr>
                <w:rFonts w:ascii="Arial" w:hAnsi="Arial" w:cs="Arial"/>
                <w:color w:val="000000" w:themeColor="text1"/>
                <w:sz w:val="18"/>
                <w:szCs w:val="18"/>
              </w:rPr>
              <w:t xml:space="preserve">in order </w:t>
            </w:r>
            <w:r w:rsidRPr="00FA1574">
              <w:rPr>
                <w:rFonts w:ascii="Arial" w:hAnsi="Arial" w:cs="Arial"/>
                <w:color w:val="000000" w:themeColor="text1"/>
                <w:sz w:val="18"/>
                <w:szCs w:val="18"/>
              </w:rPr>
              <w:lastRenderedPageBreak/>
              <w:t>to</w:t>
            </w:r>
            <w:proofErr w:type="gramEnd"/>
            <w:r w:rsidRPr="00FA1574">
              <w:rPr>
                <w:rFonts w:ascii="Arial" w:hAnsi="Arial" w:cs="Arial"/>
                <w:color w:val="000000" w:themeColor="text1"/>
                <w:sz w:val="18"/>
                <w:szCs w:val="18"/>
              </w:rPr>
              <w:t xml:space="preserve"> ensure the public were informed when answering whether they therefore agree with the steps taken.</w:t>
            </w:r>
          </w:p>
          <w:p w14:paraId="5E2986F6" w14:textId="77777777" w:rsidR="00FA1574" w:rsidRPr="00FA1574" w:rsidRDefault="00FA1574" w:rsidP="00FA1574">
            <w:pPr>
              <w:rPr>
                <w:rFonts w:ascii="Arial" w:hAnsi="Arial" w:cs="Arial"/>
                <w:color w:val="auto"/>
                <w:sz w:val="20"/>
                <w:szCs w:val="20"/>
              </w:rPr>
            </w:pPr>
          </w:p>
          <w:p w14:paraId="7A2B67C0" w14:textId="77777777" w:rsidR="00FA1574" w:rsidRPr="00FA1574" w:rsidRDefault="00FA1574" w:rsidP="00FA1574">
            <w:pPr>
              <w:rPr>
                <w:rFonts w:ascii="Arial" w:hAnsi="Arial" w:cs="Arial"/>
                <w:color w:val="000000" w:themeColor="text1"/>
                <w:sz w:val="18"/>
                <w:szCs w:val="18"/>
              </w:rPr>
            </w:pPr>
            <w:r w:rsidRPr="00FA1574">
              <w:rPr>
                <w:rFonts w:ascii="Arial" w:hAnsi="Arial" w:cs="Arial"/>
                <w:color w:val="000000" w:themeColor="text1"/>
                <w:sz w:val="18"/>
                <w:szCs w:val="18"/>
              </w:rPr>
              <w:t>The consultation process included multiple methods – Focus Groups, online survey, peer review, engagement with partners, correspondence, and staff engagement.</w:t>
            </w:r>
          </w:p>
          <w:p w14:paraId="6E382F87" w14:textId="77777777" w:rsidR="00FA1574" w:rsidRPr="00FA1574" w:rsidRDefault="00FA1574" w:rsidP="00FA1574">
            <w:pPr>
              <w:rPr>
                <w:rFonts w:ascii="Arial" w:hAnsi="Arial" w:cs="Arial"/>
                <w:color w:val="000000" w:themeColor="text1"/>
                <w:sz w:val="20"/>
                <w:szCs w:val="20"/>
              </w:rPr>
            </w:pPr>
          </w:p>
          <w:p w14:paraId="7C8434C4" w14:textId="77777777" w:rsidR="00FA1574" w:rsidRPr="00FA1574" w:rsidRDefault="00FA1574" w:rsidP="00FA1574">
            <w:pPr>
              <w:rPr>
                <w:rFonts w:ascii="Arial" w:hAnsi="Arial" w:cs="Arial"/>
                <w:color w:val="auto"/>
                <w:sz w:val="18"/>
                <w:szCs w:val="18"/>
              </w:rPr>
            </w:pPr>
            <w:r w:rsidRPr="00FA1574">
              <w:rPr>
                <w:rFonts w:ascii="Arial" w:hAnsi="Arial" w:cs="Arial"/>
                <w:color w:val="auto"/>
                <w:sz w:val="18"/>
                <w:szCs w:val="18"/>
              </w:rPr>
              <w:t>Informal consultation did take place. The service corresponded with partners, local FRS, and colleagues to seek opinions. These supported the development of the CRMP.</w:t>
            </w:r>
          </w:p>
          <w:p w14:paraId="76E9449A" w14:textId="77777777" w:rsidR="00FA1574" w:rsidRPr="00FA1574" w:rsidRDefault="00FA1574" w:rsidP="00FA1574">
            <w:pPr>
              <w:rPr>
                <w:rFonts w:ascii="Arial" w:hAnsi="Arial" w:cs="Arial"/>
                <w:color w:val="auto"/>
                <w:sz w:val="20"/>
                <w:szCs w:val="20"/>
              </w:rPr>
            </w:pPr>
          </w:p>
          <w:p w14:paraId="6DF9BC75" w14:textId="77777777" w:rsidR="00FA1574" w:rsidRPr="00FA1574" w:rsidRDefault="00FA1574" w:rsidP="00FA1574">
            <w:pPr>
              <w:rPr>
                <w:rFonts w:ascii="Arial" w:hAnsi="Arial" w:cs="Arial"/>
                <w:color w:val="000000" w:themeColor="text1"/>
                <w:sz w:val="18"/>
                <w:szCs w:val="18"/>
              </w:rPr>
            </w:pPr>
            <w:r w:rsidRPr="00FA1574">
              <w:rPr>
                <w:rFonts w:ascii="Arial" w:hAnsi="Arial" w:cs="Arial"/>
                <w:color w:val="000000" w:themeColor="text1"/>
                <w:sz w:val="18"/>
                <w:szCs w:val="18"/>
              </w:rPr>
              <w:t>Both qualitative and quantitative data was gathered via a range of methods – primarily the online survey and Focus Groups.</w:t>
            </w:r>
          </w:p>
          <w:p w14:paraId="20BFBFBB" w14:textId="77777777" w:rsidR="00FA1574" w:rsidRPr="00FA1574" w:rsidRDefault="00FA1574" w:rsidP="00FA1574">
            <w:pPr>
              <w:rPr>
                <w:rFonts w:ascii="Arial" w:hAnsi="Arial" w:cs="Arial"/>
                <w:color w:val="000000" w:themeColor="text1"/>
                <w:sz w:val="20"/>
                <w:szCs w:val="20"/>
              </w:rPr>
            </w:pPr>
          </w:p>
          <w:p w14:paraId="772B19B5" w14:textId="77777777" w:rsidR="00FA1574" w:rsidRPr="00FA1574" w:rsidRDefault="00FA1574" w:rsidP="00FA1574">
            <w:pPr>
              <w:rPr>
                <w:rFonts w:ascii="Arial" w:hAnsi="Arial" w:cs="Arial"/>
                <w:color w:val="000000" w:themeColor="text1"/>
                <w:sz w:val="18"/>
                <w:szCs w:val="18"/>
              </w:rPr>
            </w:pPr>
            <w:r w:rsidRPr="00FA1574">
              <w:rPr>
                <w:rFonts w:ascii="Arial" w:hAnsi="Arial" w:cs="Arial"/>
                <w:color w:val="000000" w:themeColor="text1"/>
                <w:sz w:val="18"/>
                <w:szCs w:val="18"/>
              </w:rPr>
              <w:t>The consultation was scheduled between the General Election (in line with Purdah) and the Christmas period in line with this requirement. It ran for 9 weeks, due to the time available between Purdah and the Christmas period, including time to analyse the results of the consultation.</w:t>
            </w:r>
          </w:p>
          <w:p w14:paraId="4B863E79" w14:textId="77777777" w:rsidR="00FA1574" w:rsidRPr="00FA1574" w:rsidRDefault="00FA1574" w:rsidP="00FA1574">
            <w:pPr>
              <w:rPr>
                <w:rFonts w:ascii="Arial" w:hAnsi="Arial" w:cs="Arial"/>
                <w:color w:val="000000" w:themeColor="text1"/>
                <w:sz w:val="18"/>
                <w:szCs w:val="18"/>
              </w:rPr>
            </w:pPr>
          </w:p>
          <w:p w14:paraId="78177C66" w14:textId="77777777" w:rsidR="00FA1574" w:rsidRPr="00FA1574" w:rsidRDefault="00FA1574" w:rsidP="00FA1574">
            <w:pPr>
              <w:rPr>
                <w:rFonts w:ascii="Arial" w:hAnsi="Arial" w:cs="Arial"/>
                <w:color w:val="000000" w:themeColor="text1"/>
                <w:sz w:val="18"/>
                <w:szCs w:val="18"/>
              </w:rPr>
            </w:pPr>
            <w:r w:rsidRPr="00FA1574">
              <w:rPr>
                <w:rFonts w:ascii="Arial" w:hAnsi="Arial" w:cs="Arial"/>
                <w:color w:val="000000" w:themeColor="text1"/>
                <w:sz w:val="18"/>
                <w:szCs w:val="18"/>
              </w:rPr>
              <w:t xml:space="preserve">The above outlines that NFRS met the requirements of the Consultation Framework Section 1. </w:t>
            </w:r>
          </w:p>
        </w:tc>
      </w:tr>
      <w:tr w:rsidR="00FA1574" w:rsidRPr="00FA1574" w14:paraId="49AA42DD" w14:textId="77777777" w:rsidTr="00F5532B">
        <w:tc>
          <w:tcPr>
            <w:tcW w:w="4111" w:type="dxa"/>
          </w:tcPr>
          <w:p w14:paraId="4A834A11" w14:textId="77777777" w:rsidR="00FA1574" w:rsidRPr="00FA1574" w:rsidRDefault="00FA1574" w:rsidP="00FA1574">
            <w:pPr>
              <w:rPr>
                <w:rFonts w:ascii="Arial" w:hAnsi="Arial" w:cs="Arial"/>
                <w:b/>
                <w:bCs/>
                <w:color w:val="auto"/>
                <w:sz w:val="18"/>
                <w:szCs w:val="18"/>
              </w:rPr>
            </w:pPr>
            <w:r w:rsidRPr="00FA1574">
              <w:rPr>
                <w:rFonts w:ascii="Arial" w:hAnsi="Arial" w:cs="Arial"/>
                <w:b/>
                <w:bCs/>
                <w:color w:val="auto"/>
                <w:sz w:val="18"/>
                <w:szCs w:val="18"/>
              </w:rPr>
              <w:lastRenderedPageBreak/>
              <w:t>Section 2: The duration of consultation</w:t>
            </w:r>
          </w:p>
          <w:p w14:paraId="29BD55BA" w14:textId="77777777" w:rsidR="00FA1574" w:rsidRPr="00FA1574" w:rsidRDefault="00FA1574" w:rsidP="00FA1574">
            <w:pPr>
              <w:rPr>
                <w:rFonts w:ascii="Arial" w:hAnsi="Arial" w:cs="Arial"/>
                <w:color w:val="auto"/>
                <w:sz w:val="18"/>
                <w:szCs w:val="18"/>
              </w:rPr>
            </w:pPr>
            <w:r w:rsidRPr="00FA1574">
              <w:rPr>
                <w:rFonts w:ascii="Arial" w:hAnsi="Arial" w:cs="Arial"/>
                <w:color w:val="auto"/>
                <w:sz w:val="18"/>
                <w:szCs w:val="18"/>
              </w:rPr>
              <w:t xml:space="preserve">The NFRS Consultation Framework outlines </w:t>
            </w:r>
            <w:proofErr w:type="gramStart"/>
            <w:r w:rsidRPr="00FA1574">
              <w:rPr>
                <w:rFonts w:ascii="Arial" w:hAnsi="Arial" w:cs="Arial"/>
                <w:color w:val="auto"/>
                <w:sz w:val="18"/>
                <w:szCs w:val="18"/>
              </w:rPr>
              <w:t>that consultations</w:t>
            </w:r>
            <w:proofErr w:type="gramEnd"/>
            <w:r w:rsidRPr="00FA1574">
              <w:rPr>
                <w:rFonts w:ascii="Arial" w:hAnsi="Arial" w:cs="Arial"/>
                <w:color w:val="auto"/>
                <w:sz w:val="18"/>
                <w:szCs w:val="18"/>
              </w:rPr>
              <w:t>:</w:t>
            </w:r>
          </w:p>
          <w:p w14:paraId="5F8E9B75" w14:textId="77777777" w:rsidR="00FA1574" w:rsidRPr="00FA1574" w:rsidRDefault="00FA1574" w:rsidP="00FA1574">
            <w:pPr>
              <w:numPr>
                <w:ilvl w:val="0"/>
                <w:numId w:val="58"/>
              </w:numPr>
              <w:rPr>
                <w:rFonts w:ascii="Arial" w:hAnsi="Arial" w:cs="Arial"/>
                <w:b/>
                <w:bCs/>
                <w:color w:val="auto"/>
                <w:sz w:val="18"/>
                <w:szCs w:val="18"/>
              </w:rPr>
            </w:pPr>
            <w:r w:rsidRPr="00FA1574">
              <w:rPr>
                <w:rFonts w:ascii="Arial" w:hAnsi="Arial" w:cs="Arial"/>
                <w:color w:val="auto"/>
                <w:sz w:val="18"/>
                <w:szCs w:val="18"/>
              </w:rPr>
              <w:t>Will typically last between two and twelve weeks – proportionately</w:t>
            </w:r>
          </w:p>
          <w:p w14:paraId="7CEEBE01" w14:textId="77777777" w:rsidR="00FA1574" w:rsidRPr="00FA1574" w:rsidRDefault="00FA1574" w:rsidP="00FA1574">
            <w:pPr>
              <w:numPr>
                <w:ilvl w:val="0"/>
                <w:numId w:val="58"/>
              </w:numPr>
              <w:rPr>
                <w:rFonts w:ascii="Arial" w:hAnsi="Arial" w:cs="Arial"/>
                <w:b/>
                <w:bCs/>
                <w:color w:val="auto"/>
                <w:sz w:val="18"/>
                <w:szCs w:val="18"/>
              </w:rPr>
            </w:pPr>
            <w:r w:rsidRPr="00FA1574">
              <w:rPr>
                <w:rFonts w:ascii="Arial" w:hAnsi="Arial" w:cs="Arial"/>
                <w:color w:val="auto"/>
                <w:sz w:val="18"/>
                <w:szCs w:val="18"/>
              </w:rPr>
              <w:t>May be extended if it takes place over a period where consultees are less able to respond</w:t>
            </w:r>
          </w:p>
          <w:p w14:paraId="6DFC18C8" w14:textId="77777777" w:rsidR="00FA1574" w:rsidRPr="00FA1574" w:rsidRDefault="00FA1574" w:rsidP="00FA1574">
            <w:pPr>
              <w:numPr>
                <w:ilvl w:val="0"/>
                <w:numId w:val="58"/>
              </w:numPr>
              <w:rPr>
                <w:rFonts w:ascii="Arial" w:hAnsi="Arial" w:cs="Arial"/>
                <w:b/>
                <w:bCs/>
                <w:color w:val="auto"/>
                <w:sz w:val="18"/>
                <w:szCs w:val="18"/>
              </w:rPr>
            </w:pPr>
            <w:r w:rsidRPr="00FA1574">
              <w:rPr>
                <w:rFonts w:ascii="Arial" w:hAnsi="Arial" w:cs="Arial"/>
                <w:color w:val="auto"/>
                <w:sz w:val="18"/>
                <w:szCs w:val="18"/>
              </w:rPr>
              <w:t>Should use a range of different methods to gather data</w:t>
            </w:r>
          </w:p>
          <w:p w14:paraId="7B4FAA90" w14:textId="77777777" w:rsidR="00FA1574" w:rsidRPr="00FA1574" w:rsidRDefault="00FA1574" w:rsidP="00FA1574">
            <w:pPr>
              <w:numPr>
                <w:ilvl w:val="0"/>
                <w:numId w:val="58"/>
              </w:numPr>
              <w:rPr>
                <w:rFonts w:ascii="Arial" w:hAnsi="Arial" w:cs="Arial"/>
                <w:color w:val="auto"/>
                <w:sz w:val="18"/>
                <w:szCs w:val="18"/>
              </w:rPr>
            </w:pPr>
            <w:r w:rsidRPr="00FA1574">
              <w:rPr>
                <w:rFonts w:ascii="Arial" w:hAnsi="Arial" w:cs="Arial"/>
                <w:color w:val="auto"/>
                <w:sz w:val="18"/>
                <w:szCs w:val="18"/>
              </w:rPr>
              <w:t>Should ensure that the public, stakeholders and staff have a wide range of option to express their views.</w:t>
            </w:r>
          </w:p>
        </w:tc>
        <w:tc>
          <w:tcPr>
            <w:tcW w:w="5954" w:type="dxa"/>
          </w:tcPr>
          <w:p w14:paraId="3A4F4488" w14:textId="77777777" w:rsidR="00FA1574" w:rsidRPr="00FA1574" w:rsidRDefault="00FA1574" w:rsidP="00FA1574">
            <w:pPr>
              <w:rPr>
                <w:rFonts w:ascii="Arial" w:hAnsi="Arial" w:cs="Arial"/>
                <w:color w:val="000000" w:themeColor="text1"/>
                <w:sz w:val="18"/>
                <w:szCs w:val="18"/>
              </w:rPr>
            </w:pPr>
            <w:r w:rsidRPr="00FA1574">
              <w:rPr>
                <w:rFonts w:ascii="Arial" w:hAnsi="Arial" w:cs="Arial"/>
                <w:color w:val="000000" w:themeColor="text1"/>
                <w:sz w:val="18"/>
                <w:szCs w:val="18"/>
              </w:rPr>
              <w:t>The consultation was scheduled between the General Election (in line with Purdah) and the Christmas period in line with this requirement. It ran for 9 weeks, due to the time available between Purdah and the Christmas period, including time to analyse the results of the consultation.</w:t>
            </w:r>
          </w:p>
          <w:p w14:paraId="0E04F6BE" w14:textId="77777777" w:rsidR="00FA1574" w:rsidRPr="00FA1574" w:rsidRDefault="00FA1574" w:rsidP="00FA1574">
            <w:pPr>
              <w:rPr>
                <w:rFonts w:ascii="Arial" w:hAnsi="Arial" w:cs="Arial"/>
                <w:color w:val="000000" w:themeColor="text1"/>
                <w:sz w:val="18"/>
                <w:szCs w:val="18"/>
              </w:rPr>
            </w:pPr>
          </w:p>
          <w:p w14:paraId="6F7A88A0" w14:textId="77777777" w:rsidR="00FA1574" w:rsidRPr="00FA1574" w:rsidRDefault="00FA1574" w:rsidP="00FA1574">
            <w:pPr>
              <w:rPr>
                <w:rFonts w:ascii="Arial" w:hAnsi="Arial" w:cs="Arial"/>
                <w:color w:val="000000" w:themeColor="text1"/>
                <w:sz w:val="18"/>
                <w:szCs w:val="18"/>
              </w:rPr>
            </w:pPr>
            <w:r w:rsidRPr="00FA1574">
              <w:rPr>
                <w:rFonts w:ascii="Arial" w:hAnsi="Arial" w:cs="Arial"/>
                <w:color w:val="000000" w:themeColor="text1"/>
                <w:sz w:val="18"/>
                <w:szCs w:val="18"/>
              </w:rPr>
              <w:t>The consultation process included multiple methods – Focus Groups, online survey, peer review, engagement with partners, correspondence, and staff engagement – to ensure a wide range of people had the opportunity to express their views, in a variety of ways.</w:t>
            </w:r>
          </w:p>
          <w:p w14:paraId="4AD84568" w14:textId="77777777" w:rsidR="00FA1574" w:rsidRPr="00FA1574" w:rsidRDefault="00FA1574" w:rsidP="00FA1574">
            <w:pPr>
              <w:rPr>
                <w:rFonts w:ascii="Arial" w:hAnsi="Arial" w:cs="Arial"/>
                <w:color w:val="000000" w:themeColor="text1"/>
                <w:sz w:val="18"/>
                <w:szCs w:val="18"/>
              </w:rPr>
            </w:pPr>
          </w:p>
          <w:p w14:paraId="65EB742E" w14:textId="77777777" w:rsidR="00FA1574" w:rsidRPr="00FA1574" w:rsidRDefault="00FA1574" w:rsidP="00FA1574">
            <w:pPr>
              <w:rPr>
                <w:rFonts w:ascii="Arial" w:hAnsi="Arial" w:cs="Arial"/>
                <w:color w:val="000000" w:themeColor="text1"/>
                <w:sz w:val="18"/>
                <w:szCs w:val="18"/>
              </w:rPr>
            </w:pPr>
            <w:r w:rsidRPr="00FA1574">
              <w:rPr>
                <w:rFonts w:ascii="Arial" w:hAnsi="Arial" w:cs="Arial"/>
                <w:color w:val="000000" w:themeColor="text1"/>
                <w:sz w:val="18"/>
                <w:szCs w:val="18"/>
              </w:rPr>
              <w:t>The above outlines that NFRS met the requirements of the Consultation Framework Section 2.</w:t>
            </w:r>
          </w:p>
          <w:p w14:paraId="14D4FAE8" w14:textId="77777777" w:rsidR="00FA1574" w:rsidRPr="00FA1574" w:rsidRDefault="00FA1574" w:rsidP="00FA1574">
            <w:pPr>
              <w:rPr>
                <w:rFonts w:ascii="Arial" w:hAnsi="Arial" w:cs="Arial"/>
                <w:color w:val="000000" w:themeColor="text1"/>
                <w:sz w:val="18"/>
                <w:szCs w:val="18"/>
              </w:rPr>
            </w:pPr>
          </w:p>
        </w:tc>
      </w:tr>
      <w:tr w:rsidR="00FA1574" w:rsidRPr="00FA1574" w14:paraId="43425805" w14:textId="77777777" w:rsidTr="00F5532B">
        <w:tc>
          <w:tcPr>
            <w:tcW w:w="4111" w:type="dxa"/>
          </w:tcPr>
          <w:p w14:paraId="23D3F50C" w14:textId="77777777" w:rsidR="00FA1574" w:rsidRPr="00FA1574" w:rsidRDefault="00FA1574" w:rsidP="00FA1574">
            <w:pPr>
              <w:rPr>
                <w:rFonts w:ascii="Arial" w:hAnsi="Arial" w:cs="Arial"/>
                <w:b/>
                <w:bCs/>
                <w:color w:val="auto"/>
                <w:sz w:val="18"/>
                <w:szCs w:val="18"/>
              </w:rPr>
            </w:pPr>
            <w:r w:rsidRPr="00FA1574">
              <w:rPr>
                <w:rFonts w:ascii="Arial" w:hAnsi="Arial" w:cs="Arial"/>
                <w:b/>
                <w:bCs/>
                <w:color w:val="auto"/>
                <w:sz w:val="18"/>
                <w:szCs w:val="18"/>
              </w:rPr>
              <w:t>Section 3: The content of our consultation</w:t>
            </w:r>
          </w:p>
          <w:p w14:paraId="156CA242" w14:textId="77777777" w:rsidR="00FA1574" w:rsidRPr="00FA1574" w:rsidRDefault="00FA1574" w:rsidP="00FA1574">
            <w:pPr>
              <w:rPr>
                <w:rFonts w:ascii="Arial" w:hAnsi="Arial" w:cs="Arial"/>
                <w:color w:val="auto"/>
                <w:sz w:val="18"/>
                <w:szCs w:val="18"/>
              </w:rPr>
            </w:pPr>
            <w:r w:rsidRPr="00FA1574">
              <w:rPr>
                <w:rFonts w:ascii="Arial" w:hAnsi="Arial" w:cs="Arial"/>
                <w:color w:val="auto"/>
                <w:sz w:val="18"/>
                <w:szCs w:val="18"/>
              </w:rPr>
              <w:t xml:space="preserve">The NFRS Consultation Framework outlines </w:t>
            </w:r>
            <w:proofErr w:type="gramStart"/>
            <w:r w:rsidRPr="00FA1574">
              <w:rPr>
                <w:rFonts w:ascii="Arial" w:hAnsi="Arial" w:cs="Arial"/>
                <w:color w:val="auto"/>
                <w:sz w:val="18"/>
                <w:szCs w:val="18"/>
              </w:rPr>
              <w:t>that consultations</w:t>
            </w:r>
            <w:proofErr w:type="gramEnd"/>
            <w:r w:rsidRPr="00FA1574">
              <w:rPr>
                <w:rFonts w:ascii="Arial" w:hAnsi="Arial" w:cs="Arial"/>
                <w:color w:val="auto"/>
                <w:sz w:val="18"/>
                <w:szCs w:val="18"/>
              </w:rPr>
              <w:t>:</w:t>
            </w:r>
          </w:p>
          <w:p w14:paraId="039969BD" w14:textId="77777777" w:rsidR="00FA1574" w:rsidRPr="00FA1574" w:rsidRDefault="00FA1574" w:rsidP="00FA1574">
            <w:pPr>
              <w:numPr>
                <w:ilvl w:val="0"/>
                <w:numId w:val="59"/>
              </w:numPr>
              <w:rPr>
                <w:rFonts w:ascii="Arial" w:hAnsi="Arial" w:cs="Arial"/>
                <w:color w:val="auto"/>
                <w:sz w:val="18"/>
                <w:szCs w:val="18"/>
              </w:rPr>
            </w:pPr>
            <w:r w:rsidRPr="00FA1574">
              <w:rPr>
                <w:rFonts w:ascii="Arial" w:hAnsi="Arial" w:cs="Arial"/>
                <w:color w:val="auto"/>
                <w:sz w:val="18"/>
                <w:szCs w:val="18"/>
              </w:rPr>
              <w:t>Are clear about the reasons for the consultation</w:t>
            </w:r>
          </w:p>
          <w:p w14:paraId="2F7A2E22" w14:textId="77777777" w:rsidR="00FA1574" w:rsidRPr="00FA1574" w:rsidRDefault="00FA1574" w:rsidP="00FA1574">
            <w:pPr>
              <w:numPr>
                <w:ilvl w:val="0"/>
                <w:numId w:val="59"/>
              </w:numPr>
              <w:rPr>
                <w:rFonts w:ascii="Arial" w:hAnsi="Arial" w:cs="Arial"/>
                <w:color w:val="auto"/>
                <w:sz w:val="18"/>
                <w:szCs w:val="18"/>
              </w:rPr>
            </w:pPr>
            <w:r w:rsidRPr="00FA1574">
              <w:rPr>
                <w:rFonts w:ascii="Arial" w:hAnsi="Arial" w:cs="Arial"/>
                <w:color w:val="auto"/>
                <w:sz w:val="18"/>
                <w:szCs w:val="18"/>
              </w:rPr>
              <w:t>Are clear about the proposals</w:t>
            </w:r>
          </w:p>
          <w:p w14:paraId="7D48AA36" w14:textId="77777777" w:rsidR="00FA1574" w:rsidRPr="00FA1574" w:rsidRDefault="00FA1574" w:rsidP="00FA1574">
            <w:pPr>
              <w:numPr>
                <w:ilvl w:val="0"/>
                <w:numId w:val="59"/>
              </w:numPr>
              <w:rPr>
                <w:rFonts w:ascii="Arial" w:hAnsi="Arial" w:cs="Arial"/>
                <w:color w:val="auto"/>
                <w:sz w:val="18"/>
                <w:szCs w:val="18"/>
              </w:rPr>
            </w:pPr>
            <w:r w:rsidRPr="00FA1574">
              <w:rPr>
                <w:rFonts w:ascii="Arial" w:hAnsi="Arial" w:cs="Arial"/>
                <w:color w:val="auto"/>
                <w:sz w:val="18"/>
                <w:szCs w:val="18"/>
              </w:rPr>
              <w:t>Are clear about how the public and stakeholders might be affected</w:t>
            </w:r>
          </w:p>
          <w:p w14:paraId="67B6CDFB" w14:textId="77777777" w:rsidR="00FA1574" w:rsidRPr="00FA1574" w:rsidRDefault="00FA1574" w:rsidP="00FA1574">
            <w:pPr>
              <w:numPr>
                <w:ilvl w:val="0"/>
                <w:numId w:val="59"/>
              </w:numPr>
              <w:rPr>
                <w:rFonts w:ascii="Arial" w:hAnsi="Arial" w:cs="Arial"/>
                <w:color w:val="auto"/>
                <w:sz w:val="18"/>
                <w:szCs w:val="18"/>
              </w:rPr>
            </w:pPr>
            <w:r w:rsidRPr="00FA1574">
              <w:rPr>
                <w:rFonts w:ascii="Arial" w:hAnsi="Arial" w:cs="Arial"/>
                <w:color w:val="auto"/>
                <w:sz w:val="18"/>
                <w:szCs w:val="18"/>
              </w:rPr>
              <w:t>State how the consultation will run and what we will do with the information gathered</w:t>
            </w:r>
          </w:p>
          <w:p w14:paraId="6B08F378" w14:textId="77777777" w:rsidR="00FA1574" w:rsidRPr="00FA1574" w:rsidRDefault="00FA1574" w:rsidP="00FA1574">
            <w:pPr>
              <w:numPr>
                <w:ilvl w:val="0"/>
                <w:numId w:val="59"/>
              </w:numPr>
              <w:rPr>
                <w:rFonts w:ascii="Arial" w:hAnsi="Arial" w:cs="Arial"/>
                <w:color w:val="auto"/>
                <w:sz w:val="18"/>
                <w:szCs w:val="18"/>
              </w:rPr>
            </w:pPr>
            <w:r w:rsidRPr="00FA1574">
              <w:rPr>
                <w:rFonts w:ascii="Arial" w:hAnsi="Arial" w:cs="Arial"/>
                <w:color w:val="auto"/>
                <w:sz w:val="18"/>
                <w:szCs w:val="18"/>
              </w:rPr>
              <w:t>Should provide options, costs, benefits and additional information</w:t>
            </w:r>
          </w:p>
          <w:p w14:paraId="517121E7" w14:textId="77777777" w:rsidR="00FA1574" w:rsidRPr="00FA1574" w:rsidRDefault="00FA1574" w:rsidP="00FA1574">
            <w:pPr>
              <w:numPr>
                <w:ilvl w:val="0"/>
                <w:numId w:val="59"/>
              </w:numPr>
              <w:rPr>
                <w:rFonts w:ascii="Arial" w:hAnsi="Arial" w:cs="Arial"/>
                <w:color w:val="auto"/>
                <w:sz w:val="18"/>
                <w:szCs w:val="18"/>
              </w:rPr>
            </w:pPr>
            <w:r w:rsidRPr="00FA1574">
              <w:rPr>
                <w:rFonts w:ascii="Arial" w:hAnsi="Arial" w:cs="Arial"/>
                <w:color w:val="auto"/>
                <w:sz w:val="18"/>
                <w:szCs w:val="18"/>
              </w:rPr>
              <w:t>Should be equality impact assessed, ensuring that methods of engaging with communities are considered to ensure their needs are reflected</w:t>
            </w:r>
          </w:p>
          <w:p w14:paraId="7C2E768D" w14:textId="77777777" w:rsidR="00FA1574" w:rsidRPr="00FA1574" w:rsidRDefault="00FA1574" w:rsidP="00FA1574">
            <w:pPr>
              <w:numPr>
                <w:ilvl w:val="0"/>
                <w:numId w:val="59"/>
              </w:numPr>
              <w:rPr>
                <w:rFonts w:ascii="Arial" w:hAnsi="Arial" w:cs="Arial"/>
                <w:color w:val="auto"/>
                <w:sz w:val="18"/>
                <w:szCs w:val="18"/>
              </w:rPr>
            </w:pPr>
            <w:r w:rsidRPr="00FA1574">
              <w:rPr>
                <w:rFonts w:ascii="Arial" w:hAnsi="Arial" w:cs="Arial"/>
                <w:color w:val="auto"/>
                <w:sz w:val="18"/>
                <w:szCs w:val="18"/>
              </w:rPr>
              <w:t>Should include a mixture of questions, which should be as clear as possible</w:t>
            </w:r>
          </w:p>
        </w:tc>
        <w:tc>
          <w:tcPr>
            <w:tcW w:w="5954" w:type="dxa"/>
          </w:tcPr>
          <w:p w14:paraId="1D87050C" w14:textId="77777777" w:rsidR="00FA1574" w:rsidRPr="00FA1574" w:rsidRDefault="00FA1574" w:rsidP="00FA1574">
            <w:pPr>
              <w:rPr>
                <w:rFonts w:ascii="Arial" w:hAnsi="Arial" w:cs="Arial"/>
                <w:color w:val="000000" w:themeColor="text1"/>
                <w:sz w:val="18"/>
                <w:szCs w:val="18"/>
              </w:rPr>
            </w:pPr>
            <w:r w:rsidRPr="00FA1574">
              <w:rPr>
                <w:rFonts w:ascii="Arial" w:hAnsi="Arial" w:cs="Arial"/>
                <w:color w:val="000000" w:themeColor="text1"/>
                <w:sz w:val="18"/>
                <w:szCs w:val="18"/>
              </w:rPr>
              <w:t xml:space="preserve">The consultation process included a clear description of what the consultation was for, and what it was about. </w:t>
            </w:r>
          </w:p>
          <w:p w14:paraId="5FD960B8" w14:textId="77777777" w:rsidR="00FA1574" w:rsidRPr="00FA1574" w:rsidRDefault="00FA1574" w:rsidP="00FA1574">
            <w:pPr>
              <w:rPr>
                <w:rFonts w:ascii="Arial" w:hAnsi="Arial" w:cs="Arial"/>
                <w:color w:val="000000" w:themeColor="text1"/>
                <w:sz w:val="18"/>
                <w:szCs w:val="18"/>
              </w:rPr>
            </w:pPr>
          </w:p>
          <w:p w14:paraId="31605800" w14:textId="77777777" w:rsidR="00FA1574" w:rsidRPr="00FA1574" w:rsidRDefault="00FA1574" w:rsidP="00FA1574">
            <w:pPr>
              <w:rPr>
                <w:rFonts w:ascii="Arial" w:hAnsi="Arial" w:cs="Arial"/>
                <w:color w:val="000000" w:themeColor="text1"/>
                <w:sz w:val="18"/>
                <w:szCs w:val="18"/>
              </w:rPr>
            </w:pPr>
            <w:r w:rsidRPr="00FA1574">
              <w:rPr>
                <w:rFonts w:ascii="Arial" w:hAnsi="Arial" w:cs="Arial"/>
                <w:color w:val="000000" w:themeColor="text1"/>
                <w:sz w:val="18"/>
                <w:szCs w:val="18"/>
              </w:rPr>
              <w:t xml:space="preserve">Questions provided on the online survey provided an explanation of why the question was being asked. </w:t>
            </w:r>
          </w:p>
          <w:p w14:paraId="581CB3B7" w14:textId="77777777" w:rsidR="00FA1574" w:rsidRPr="00FA1574" w:rsidRDefault="00FA1574" w:rsidP="00FA1574">
            <w:pPr>
              <w:rPr>
                <w:rFonts w:ascii="Arial" w:hAnsi="Arial" w:cs="Arial"/>
                <w:color w:val="000000" w:themeColor="text1"/>
                <w:sz w:val="18"/>
                <w:szCs w:val="18"/>
              </w:rPr>
            </w:pPr>
          </w:p>
          <w:p w14:paraId="60276AC4" w14:textId="77777777" w:rsidR="00FA1574" w:rsidRPr="00FA1574" w:rsidRDefault="00FA1574" w:rsidP="00FA1574">
            <w:pPr>
              <w:rPr>
                <w:rFonts w:ascii="Arial" w:hAnsi="Arial" w:cs="Arial"/>
                <w:color w:val="000000" w:themeColor="text1"/>
                <w:sz w:val="18"/>
                <w:szCs w:val="18"/>
              </w:rPr>
            </w:pPr>
            <w:r w:rsidRPr="00FA1574">
              <w:rPr>
                <w:rFonts w:ascii="Arial" w:hAnsi="Arial" w:cs="Arial"/>
                <w:color w:val="000000" w:themeColor="text1"/>
                <w:sz w:val="18"/>
                <w:szCs w:val="18"/>
              </w:rPr>
              <w:t xml:space="preserve">Both the survey and focus groups provided an explanation of why NFRS was gathering the data, and what it would be used for. </w:t>
            </w:r>
          </w:p>
          <w:p w14:paraId="6337C1A2" w14:textId="77777777" w:rsidR="00FA1574" w:rsidRPr="00FA1574" w:rsidRDefault="00FA1574" w:rsidP="00FA1574">
            <w:pPr>
              <w:rPr>
                <w:rFonts w:ascii="Arial" w:hAnsi="Arial" w:cs="Arial"/>
                <w:color w:val="000000" w:themeColor="text1"/>
                <w:sz w:val="18"/>
                <w:szCs w:val="18"/>
              </w:rPr>
            </w:pPr>
          </w:p>
          <w:p w14:paraId="6D0C5B49" w14:textId="77777777" w:rsidR="00FA1574" w:rsidRPr="00FA1574" w:rsidRDefault="00FA1574" w:rsidP="00FA1574">
            <w:pPr>
              <w:rPr>
                <w:rFonts w:ascii="Arial" w:hAnsi="Arial" w:cs="Arial"/>
                <w:color w:val="000000" w:themeColor="text1"/>
                <w:sz w:val="18"/>
                <w:szCs w:val="18"/>
              </w:rPr>
            </w:pPr>
            <w:r w:rsidRPr="00FA1574">
              <w:rPr>
                <w:rFonts w:ascii="Arial" w:hAnsi="Arial" w:cs="Arial"/>
                <w:color w:val="000000" w:themeColor="text1"/>
                <w:sz w:val="18"/>
                <w:szCs w:val="18"/>
              </w:rPr>
              <w:t xml:space="preserve">An </w:t>
            </w:r>
            <w:proofErr w:type="spellStart"/>
            <w:r w:rsidRPr="00FA1574">
              <w:rPr>
                <w:rFonts w:ascii="Arial" w:hAnsi="Arial" w:cs="Arial"/>
                <w:color w:val="000000" w:themeColor="text1"/>
                <w:sz w:val="18"/>
                <w:szCs w:val="18"/>
              </w:rPr>
              <w:t>EqIA</w:t>
            </w:r>
            <w:proofErr w:type="spellEnd"/>
            <w:r w:rsidRPr="00FA1574">
              <w:rPr>
                <w:rFonts w:ascii="Arial" w:hAnsi="Arial" w:cs="Arial"/>
                <w:color w:val="000000" w:themeColor="text1"/>
                <w:sz w:val="18"/>
                <w:szCs w:val="18"/>
              </w:rPr>
              <w:t xml:space="preserve"> was completed prior to the consultation and reviewed during the consultation to ensure that minoritised communities were considered and represented throughout.</w:t>
            </w:r>
          </w:p>
          <w:p w14:paraId="0E16EDE4" w14:textId="77777777" w:rsidR="00FA1574" w:rsidRPr="00FA1574" w:rsidRDefault="00FA1574" w:rsidP="00FA1574">
            <w:pPr>
              <w:rPr>
                <w:rFonts w:ascii="Arial" w:hAnsi="Arial" w:cs="Arial"/>
                <w:color w:val="000000" w:themeColor="text1"/>
                <w:sz w:val="18"/>
                <w:szCs w:val="18"/>
              </w:rPr>
            </w:pPr>
          </w:p>
          <w:p w14:paraId="20B10CBC" w14:textId="77777777" w:rsidR="00FA1574" w:rsidRPr="00FA1574" w:rsidRDefault="00FA1574" w:rsidP="00FA1574">
            <w:pPr>
              <w:rPr>
                <w:rFonts w:ascii="Arial" w:hAnsi="Arial" w:cs="Arial"/>
                <w:color w:val="000000" w:themeColor="text1"/>
                <w:sz w:val="18"/>
                <w:szCs w:val="18"/>
              </w:rPr>
            </w:pPr>
            <w:r w:rsidRPr="00FA1574">
              <w:rPr>
                <w:rFonts w:ascii="Arial" w:hAnsi="Arial" w:cs="Arial"/>
                <w:color w:val="000000" w:themeColor="text1"/>
                <w:sz w:val="18"/>
                <w:szCs w:val="18"/>
              </w:rPr>
              <w:t>The methodology used was multi-faceted, with a mixture of methods of responding to the consultation as well as a mixture of qualitative and quantitative data/questions.</w:t>
            </w:r>
          </w:p>
        </w:tc>
      </w:tr>
      <w:tr w:rsidR="00FA1574" w:rsidRPr="00FA1574" w14:paraId="3479C967" w14:textId="77777777" w:rsidTr="00F5532B">
        <w:tc>
          <w:tcPr>
            <w:tcW w:w="4111" w:type="dxa"/>
          </w:tcPr>
          <w:p w14:paraId="63379BD8" w14:textId="77777777" w:rsidR="00FA1574" w:rsidRPr="00FA1574" w:rsidRDefault="00FA1574" w:rsidP="00FA1574">
            <w:pPr>
              <w:rPr>
                <w:rFonts w:ascii="Arial" w:hAnsi="Arial" w:cs="Arial"/>
                <w:b/>
                <w:bCs/>
                <w:color w:val="auto"/>
                <w:sz w:val="18"/>
                <w:szCs w:val="18"/>
              </w:rPr>
            </w:pPr>
            <w:r w:rsidRPr="00FA1574">
              <w:rPr>
                <w:rFonts w:ascii="Arial" w:hAnsi="Arial" w:cs="Arial"/>
                <w:b/>
                <w:bCs/>
                <w:color w:val="auto"/>
                <w:sz w:val="18"/>
                <w:szCs w:val="18"/>
              </w:rPr>
              <w:t>Section 4: The accessibility of our consultation</w:t>
            </w:r>
          </w:p>
          <w:p w14:paraId="67629A1D" w14:textId="77777777" w:rsidR="00FA1574" w:rsidRPr="00FA1574" w:rsidRDefault="00FA1574" w:rsidP="00FA1574">
            <w:pPr>
              <w:rPr>
                <w:rFonts w:ascii="Arial" w:hAnsi="Arial" w:cs="Arial"/>
                <w:color w:val="auto"/>
                <w:sz w:val="18"/>
                <w:szCs w:val="18"/>
              </w:rPr>
            </w:pPr>
            <w:r w:rsidRPr="00FA1574">
              <w:rPr>
                <w:rFonts w:ascii="Arial" w:hAnsi="Arial" w:cs="Arial"/>
                <w:color w:val="auto"/>
                <w:sz w:val="18"/>
                <w:szCs w:val="18"/>
              </w:rPr>
              <w:t xml:space="preserve">The NFRS Consultation Framework outlines </w:t>
            </w:r>
            <w:proofErr w:type="gramStart"/>
            <w:r w:rsidRPr="00FA1574">
              <w:rPr>
                <w:rFonts w:ascii="Arial" w:hAnsi="Arial" w:cs="Arial"/>
                <w:color w:val="auto"/>
                <w:sz w:val="18"/>
                <w:szCs w:val="18"/>
              </w:rPr>
              <w:t>that consultations</w:t>
            </w:r>
            <w:proofErr w:type="gramEnd"/>
            <w:r w:rsidRPr="00FA1574">
              <w:rPr>
                <w:rFonts w:ascii="Arial" w:hAnsi="Arial" w:cs="Arial"/>
                <w:color w:val="auto"/>
                <w:sz w:val="18"/>
                <w:szCs w:val="18"/>
              </w:rPr>
              <w:t>:</w:t>
            </w:r>
          </w:p>
          <w:p w14:paraId="4CBF32E9" w14:textId="77777777" w:rsidR="00FA1574" w:rsidRPr="00FA1574" w:rsidRDefault="00FA1574" w:rsidP="00FA1574">
            <w:pPr>
              <w:numPr>
                <w:ilvl w:val="0"/>
                <w:numId w:val="60"/>
              </w:numPr>
              <w:rPr>
                <w:rFonts w:ascii="Arial" w:hAnsi="Arial" w:cs="Arial"/>
                <w:color w:val="auto"/>
                <w:sz w:val="18"/>
                <w:szCs w:val="18"/>
              </w:rPr>
            </w:pPr>
            <w:r w:rsidRPr="00FA1574">
              <w:rPr>
                <w:rFonts w:ascii="Arial" w:hAnsi="Arial" w:cs="Arial"/>
                <w:color w:val="auto"/>
                <w:sz w:val="18"/>
                <w:szCs w:val="18"/>
              </w:rPr>
              <w:t>Should be accessible by and targeted toward people affected by decisions</w:t>
            </w:r>
          </w:p>
          <w:p w14:paraId="5E10EF75" w14:textId="77777777" w:rsidR="00FA1574" w:rsidRPr="00FA1574" w:rsidRDefault="00FA1574" w:rsidP="00FA1574">
            <w:pPr>
              <w:numPr>
                <w:ilvl w:val="0"/>
                <w:numId w:val="60"/>
              </w:numPr>
              <w:rPr>
                <w:rFonts w:ascii="Arial" w:hAnsi="Arial" w:cs="Arial"/>
                <w:color w:val="auto"/>
                <w:sz w:val="18"/>
                <w:szCs w:val="18"/>
              </w:rPr>
            </w:pPr>
            <w:r w:rsidRPr="00FA1574">
              <w:rPr>
                <w:rFonts w:ascii="Arial" w:hAnsi="Arial" w:cs="Arial"/>
                <w:color w:val="auto"/>
                <w:sz w:val="18"/>
                <w:szCs w:val="18"/>
              </w:rPr>
              <w:lastRenderedPageBreak/>
              <w:t>Use a range of methods which can be targeted according to need</w:t>
            </w:r>
          </w:p>
          <w:p w14:paraId="4ABF3B0A" w14:textId="77777777" w:rsidR="00FA1574" w:rsidRPr="00FA1574" w:rsidRDefault="00FA1574" w:rsidP="00FA1574">
            <w:pPr>
              <w:numPr>
                <w:ilvl w:val="0"/>
                <w:numId w:val="60"/>
              </w:numPr>
              <w:rPr>
                <w:rFonts w:ascii="Arial" w:hAnsi="Arial" w:cs="Arial"/>
                <w:color w:val="auto"/>
                <w:sz w:val="18"/>
                <w:szCs w:val="18"/>
              </w:rPr>
            </w:pPr>
            <w:r w:rsidRPr="00FA1574">
              <w:rPr>
                <w:rFonts w:ascii="Arial" w:hAnsi="Arial" w:cs="Arial"/>
                <w:color w:val="auto"/>
                <w:sz w:val="18"/>
                <w:szCs w:val="18"/>
              </w:rPr>
              <w:t>Should state how people can participate</w:t>
            </w:r>
          </w:p>
          <w:p w14:paraId="2548B8D0" w14:textId="77777777" w:rsidR="00FA1574" w:rsidRPr="00FA1574" w:rsidRDefault="00FA1574" w:rsidP="00FA1574">
            <w:pPr>
              <w:numPr>
                <w:ilvl w:val="0"/>
                <w:numId w:val="60"/>
              </w:numPr>
              <w:rPr>
                <w:rFonts w:ascii="Arial" w:hAnsi="Arial" w:cs="Arial"/>
                <w:color w:val="auto"/>
                <w:sz w:val="18"/>
                <w:szCs w:val="18"/>
              </w:rPr>
            </w:pPr>
            <w:r w:rsidRPr="00FA1574">
              <w:rPr>
                <w:rFonts w:ascii="Arial" w:hAnsi="Arial" w:cs="Arial"/>
                <w:color w:val="auto"/>
                <w:sz w:val="18"/>
                <w:szCs w:val="18"/>
              </w:rPr>
              <w:t xml:space="preserve">Be easy to understand, avoiding jargon </w:t>
            </w:r>
          </w:p>
          <w:p w14:paraId="71E6D6A8" w14:textId="77777777" w:rsidR="00FA1574" w:rsidRPr="00FA1574" w:rsidRDefault="00FA1574" w:rsidP="00FA1574">
            <w:pPr>
              <w:numPr>
                <w:ilvl w:val="0"/>
                <w:numId w:val="60"/>
              </w:numPr>
              <w:rPr>
                <w:rFonts w:ascii="Arial" w:hAnsi="Arial" w:cs="Arial"/>
                <w:color w:val="auto"/>
                <w:sz w:val="18"/>
                <w:szCs w:val="18"/>
              </w:rPr>
            </w:pPr>
            <w:r w:rsidRPr="00FA1574">
              <w:rPr>
                <w:rFonts w:ascii="Arial" w:hAnsi="Arial" w:cs="Arial"/>
                <w:color w:val="auto"/>
                <w:sz w:val="18"/>
                <w:szCs w:val="18"/>
              </w:rPr>
              <w:t>Be pro-active, and use alternative versions to ensure accessibility</w:t>
            </w:r>
          </w:p>
        </w:tc>
        <w:tc>
          <w:tcPr>
            <w:tcW w:w="5954" w:type="dxa"/>
          </w:tcPr>
          <w:p w14:paraId="3FC5D5BB" w14:textId="77777777" w:rsidR="00FA1574" w:rsidRPr="00FA1574" w:rsidRDefault="00FA1574" w:rsidP="00FA1574">
            <w:pPr>
              <w:rPr>
                <w:rFonts w:ascii="Arial" w:hAnsi="Arial" w:cs="Arial"/>
                <w:color w:val="000000" w:themeColor="text1"/>
                <w:sz w:val="18"/>
                <w:szCs w:val="18"/>
              </w:rPr>
            </w:pPr>
            <w:r w:rsidRPr="00FA1574">
              <w:rPr>
                <w:rFonts w:ascii="Arial" w:hAnsi="Arial" w:cs="Arial"/>
                <w:color w:val="000000" w:themeColor="text1"/>
                <w:sz w:val="18"/>
                <w:szCs w:val="18"/>
              </w:rPr>
              <w:lastRenderedPageBreak/>
              <w:t>The CRMP is available in accessible versions, and questions regarding its accessibility were specifically asked within the consultation. 81% of respondents agreed or strongly agreed that the CRMP is accessible to them and their community.</w:t>
            </w:r>
          </w:p>
          <w:p w14:paraId="23A53396" w14:textId="77777777" w:rsidR="00FA1574" w:rsidRPr="00FA1574" w:rsidRDefault="00FA1574" w:rsidP="00FA1574">
            <w:pPr>
              <w:rPr>
                <w:rFonts w:ascii="Arial" w:hAnsi="Arial" w:cs="Arial"/>
                <w:color w:val="000000" w:themeColor="text1"/>
                <w:sz w:val="18"/>
                <w:szCs w:val="18"/>
              </w:rPr>
            </w:pPr>
          </w:p>
          <w:p w14:paraId="13B8D45E" w14:textId="77777777" w:rsidR="00FA1574" w:rsidRPr="00FA1574" w:rsidRDefault="00FA1574" w:rsidP="00FA1574">
            <w:pPr>
              <w:rPr>
                <w:rFonts w:ascii="Arial" w:hAnsi="Arial" w:cs="Arial"/>
                <w:color w:val="000000" w:themeColor="text1"/>
                <w:sz w:val="18"/>
                <w:szCs w:val="18"/>
              </w:rPr>
            </w:pPr>
            <w:r w:rsidRPr="00FA1574">
              <w:rPr>
                <w:rFonts w:ascii="Arial" w:hAnsi="Arial" w:cs="Arial"/>
                <w:color w:val="000000" w:themeColor="text1"/>
                <w:sz w:val="18"/>
                <w:szCs w:val="18"/>
              </w:rPr>
              <w:lastRenderedPageBreak/>
              <w:t>The consultation was hosted on the NFRS website which is highly regarded for its accessibility scores – this level of accessibility applied to the consultation survey.</w:t>
            </w:r>
          </w:p>
          <w:p w14:paraId="34B7C994" w14:textId="77777777" w:rsidR="00FA1574" w:rsidRPr="00FA1574" w:rsidRDefault="00FA1574" w:rsidP="00FA1574">
            <w:pPr>
              <w:rPr>
                <w:rFonts w:ascii="Arial" w:hAnsi="Arial" w:cs="Arial"/>
                <w:color w:val="000000" w:themeColor="text1"/>
                <w:sz w:val="18"/>
                <w:szCs w:val="18"/>
              </w:rPr>
            </w:pPr>
          </w:p>
          <w:p w14:paraId="09BD0BC9" w14:textId="77777777" w:rsidR="00FA1574" w:rsidRPr="00FA1574" w:rsidRDefault="00FA1574" w:rsidP="00FA1574">
            <w:pPr>
              <w:rPr>
                <w:rFonts w:ascii="Arial" w:hAnsi="Arial" w:cs="Arial"/>
                <w:color w:val="000000" w:themeColor="text1"/>
                <w:sz w:val="18"/>
                <w:szCs w:val="18"/>
              </w:rPr>
            </w:pPr>
            <w:r w:rsidRPr="00FA1574">
              <w:rPr>
                <w:rFonts w:ascii="Arial" w:hAnsi="Arial" w:cs="Arial"/>
                <w:color w:val="000000" w:themeColor="text1"/>
                <w:sz w:val="18"/>
                <w:szCs w:val="18"/>
              </w:rPr>
              <w:t>To ensure minoritised voices were heard, focus groups with minoritised communities were arranged and undertaken. Style, language and delivery was adjusted to accommodate different people.</w:t>
            </w:r>
          </w:p>
        </w:tc>
      </w:tr>
      <w:tr w:rsidR="00FA1574" w:rsidRPr="00FA1574" w14:paraId="7032D256" w14:textId="77777777" w:rsidTr="00F5532B">
        <w:tc>
          <w:tcPr>
            <w:tcW w:w="4111" w:type="dxa"/>
          </w:tcPr>
          <w:p w14:paraId="3F3054C7" w14:textId="77777777" w:rsidR="00FA1574" w:rsidRPr="00FA1574" w:rsidRDefault="00FA1574" w:rsidP="00FA1574">
            <w:pPr>
              <w:rPr>
                <w:rFonts w:ascii="Arial" w:hAnsi="Arial" w:cs="Arial"/>
                <w:b/>
                <w:bCs/>
                <w:color w:val="auto"/>
                <w:sz w:val="18"/>
                <w:szCs w:val="18"/>
              </w:rPr>
            </w:pPr>
            <w:r w:rsidRPr="00FA1574">
              <w:rPr>
                <w:rFonts w:ascii="Arial" w:hAnsi="Arial" w:cs="Arial"/>
                <w:b/>
                <w:bCs/>
                <w:color w:val="auto"/>
                <w:sz w:val="18"/>
                <w:szCs w:val="18"/>
              </w:rPr>
              <w:lastRenderedPageBreak/>
              <w:t>Section 5: The cost of our consultation</w:t>
            </w:r>
          </w:p>
          <w:p w14:paraId="3C312066" w14:textId="77777777" w:rsidR="00FA1574" w:rsidRPr="00FA1574" w:rsidRDefault="00FA1574" w:rsidP="00FA1574">
            <w:pPr>
              <w:rPr>
                <w:rFonts w:ascii="Arial" w:hAnsi="Arial" w:cs="Arial"/>
                <w:color w:val="auto"/>
                <w:sz w:val="18"/>
                <w:szCs w:val="18"/>
              </w:rPr>
            </w:pPr>
            <w:r w:rsidRPr="00FA1574">
              <w:rPr>
                <w:rFonts w:ascii="Arial" w:hAnsi="Arial" w:cs="Arial"/>
                <w:color w:val="auto"/>
                <w:sz w:val="18"/>
                <w:szCs w:val="18"/>
              </w:rPr>
              <w:t xml:space="preserve">The NFRS Consultation Framework outlines </w:t>
            </w:r>
            <w:proofErr w:type="gramStart"/>
            <w:r w:rsidRPr="00FA1574">
              <w:rPr>
                <w:rFonts w:ascii="Arial" w:hAnsi="Arial" w:cs="Arial"/>
                <w:color w:val="auto"/>
                <w:sz w:val="18"/>
                <w:szCs w:val="18"/>
              </w:rPr>
              <w:t>that consultations</w:t>
            </w:r>
            <w:proofErr w:type="gramEnd"/>
            <w:r w:rsidRPr="00FA1574">
              <w:rPr>
                <w:rFonts w:ascii="Arial" w:hAnsi="Arial" w:cs="Arial"/>
                <w:color w:val="auto"/>
                <w:sz w:val="18"/>
                <w:szCs w:val="18"/>
              </w:rPr>
              <w:t>:</w:t>
            </w:r>
          </w:p>
          <w:p w14:paraId="43B4B52F" w14:textId="77777777" w:rsidR="00FA1574" w:rsidRPr="00FA1574" w:rsidRDefault="00FA1574" w:rsidP="00FA1574">
            <w:pPr>
              <w:numPr>
                <w:ilvl w:val="0"/>
                <w:numId w:val="61"/>
              </w:numPr>
              <w:rPr>
                <w:rFonts w:ascii="Arial" w:hAnsi="Arial" w:cs="Arial"/>
                <w:color w:val="auto"/>
                <w:sz w:val="18"/>
                <w:szCs w:val="18"/>
              </w:rPr>
            </w:pPr>
            <w:r w:rsidRPr="00FA1574">
              <w:rPr>
                <w:rFonts w:ascii="Arial" w:hAnsi="Arial" w:cs="Arial"/>
                <w:color w:val="auto"/>
                <w:sz w:val="18"/>
                <w:szCs w:val="18"/>
              </w:rPr>
              <w:t>Should consider the burden and cost on the organisation</w:t>
            </w:r>
          </w:p>
          <w:p w14:paraId="06979489" w14:textId="77777777" w:rsidR="00FA1574" w:rsidRPr="00FA1574" w:rsidRDefault="00FA1574" w:rsidP="00FA1574">
            <w:pPr>
              <w:numPr>
                <w:ilvl w:val="0"/>
                <w:numId w:val="61"/>
              </w:numPr>
              <w:rPr>
                <w:rFonts w:ascii="Arial" w:hAnsi="Arial" w:cs="Arial"/>
                <w:color w:val="auto"/>
                <w:sz w:val="18"/>
                <w:szCs w:val="18"/>
              </w:rPr>
            </w:pPr>
            <w:r w:rsidRPr="00FA1574">
              <w:rPr>
                <w:rFonts w:ascii="Arial" w:hAnsi="Arial" w:cs="Arial"/>
                <w:color w:val="auto"/>
                <w:sz w:val="18"/>
                <w:szCs w:val="18"/>
              </w:rPr>
              <w:t>May consider referring people to information already in the public domain</w:t>
            </w:r>
          </w:p>
          <w:p w14:paraId="0029F1B0" w14:textId="77777777" w:rsidR="00FA1574" w:rsidRPr="00FA1574" w:rsidRDefault="00FA1574" w:rsidP="00FA1574">
            <w:pPr>
              <w:numPr>
                <w:ilvl w:val="0"/>
                <w:numId w:val="61"/>
              </w:numPr>
              <w:rPr>
                <w:rFonts w:ascii="Arial" w:hAnsi="Arial" w:cs="Arial"/>
                <w:color w:val="auto"/>
                <w:sz w:val="18"/>
                <w:szCs w:val="18"/>
              </w:rPr>
            </w:pPr>
            <w:r w:rsidRPr="00FA1574">
              <w:rPr>
                <w:rFonts w:ascii="Arial" w:hAnsi="Arial" w:cs="Arial"/>
                <w:color w:val="auto"/>
                <w:sz w:val="18"/>
                <w:szCs w:val="18"/>
              </w:rPr>
              <w:t>Use social media to keep costs down, but won’t rely on this option alone</w:t>
            </w:r>
          </w:p>
          <w:p w14:paraId="64299CF7" w14:textId="77777777" w:rsidR="00FA1574" w:rsidRPr="00FA1574" w:rsidRDefault="00FA1574" w:rsidP="00FA1574">
            <w:pPr>
              <w:numPr>
                <w:ilvl w:val="0"/>
                <w:numId w:val="61"/>
              </w:numPr>
              <w:rPr>
                <w:rFonts w:ascii="Arial" w:hAnsi="Arial" w:cs="Arial"/>
                <w:color w:val="auto"/>
                <w:sz w:val="18"/>
                <w:szCs w:val="18"/>
              </w:rPr>
            </w:pPr>
            <w:r w:rsidRPr="00FA1574">
              <w:rPr>
                <w:rFonts w:ascii="Arial" w:hAnsi="Arial" w:cs="Arial"/>
                <w:color w:val="auto"/>
                <w:sz w:val="18"/>
                <w:szCs w:val="18"/>
              </w:rPr>
              <w:t>Should make budgets available for public scrutiny through our accounts</w:t>
            </w:r>
          </w:p>
        </w:tc>
        <w:tc>
          <w:tcPr>
            <w:tcW w:w="5954" w:type="dxa"/>
          </w:tcPr>
          <w:p w14:paraId="2B779A22" w14:textId="77777777" w:rsidR="00FA1574" w:rsidRPr="00FA1574" w:rsidRDefault="00FA1574" w:rsidP="00FA1574">
            <w:pPr>
              <w:rPr>
                <w:rFonts w:ascii="Arial" w:hAnsi="Arial" w:cs="Arial"/>
                <w:color w:val="000000" w:themeColor="text1"/>
                <w:sz w:val="18"/>
                <w:szCs w:val="18"/>
              </w:rPr>
            </w:pPr>
            <w:r w:rsidRPr="00FA1574">
              <w:rPr>
                <w:rFonts w:ascii="Arial" w:hAnsi="Arial" w:cs="Arial"/>
                <w:color w:val="000000" w:themeColor="text1"/>
                <w:sz w:val="18"/>
                <w:szCs w:val="18"/>
              </w:rPr>
              <w:t>NFRS elected to undertake the consultation in-house. A consideration around this was the costs of utilising a 3</w:t>
            </w:r>
            <w:r w:rsidRPr="00FA1574">
              <w:rPr>
                <w:rFonts w:ascii="Arial" w:hAnsi="Arial" w:cs="Arial"/>
                <w:color w:val="000000" w:themeColor="text1"/>
                <w:sz w:val="18"/>
                <w:szCs w:val="18"/>
                <w:vertAlign w:val="superscript"/>
              </w:rPr>
              <w:t xml:space="preserve">rd </w:t>
            </w:r>
            <w:r w:rsidRPr="00FA1574">
              <w:rPr>
                <w:rFonts w:ascii="Arial" w:hAnsi="Arial" w:cs="Arial"/>
                <w:color w:val="000000" w:themeColor="text1"/>
                <w:sz w:val="18"/>
                <w:szCs w:val="18"/>
              </w:rPr>
              <w:t>party supplier, versus undertaking this within the service.</w:t>
            </w:r>
          </w:p>
          <w:p w14:paraId="2660C985" w14:textId="77777777" w:rsidR="00FA1574" w:rsidRPr="00FA1574" w:rsidRDefault="00FA1574" w:rsidP="00FA1574">
            <w:pPr>
              <w:rPr>
                <w:rFonts w:ascii="Arial" w:hAnsi="Arial" w:cs="Arial"/>
                <w:color w:val="000000" w:themeColor="text1"/>
                <w:sz w:val="18"/>
                <w:szCs w:val="18"/>
              </w:rPr>
            </w:pPr>
          </w:p>
          <w:p w14:paraId="6A1FAB83" w14:textId="77777777" w:rsidR="00FA1574" w:rsidRPr="00FA1574" w:rsidRDefault="00FA1574" w:rsidP="00FA1574">
            <w:pPr>
              <w:rPr>
                <w:rFonts w:ascii="Arial" w:hAnsi="Arial" w:cs="Arial"/>
                <w:color w:val="000000" w:themeColor="text1"/>
                <w:sz w:val="18"/>
                <w:szCs w:val="18"/>
              </w:rPr>
            </w:pPr>
            <w:r w:rsidRPr="00FA1574">
              <w:rPr>
                <w:rFonts w:ascii="Arial" w:hAnsi="Arial" w:cs="Arial"/>
                <w:color w:val="000000" w:themeColor="text1"/>
                <w:sz w:val="18"/>
                <w:szCs w:val="18"/>
              </w:rPr>
              <w:t>This resulted in a significant saving to the organisation, detailed within this report.</w:t>
            </w:r>
          </w:p>
          <w:p w14:paraId="5C03A345" w14:textId="77777777" w:rsidR="00FA1574" w:rsidRPr="00FA1574" w:rsidRDefault="00FA1574" w:rsidP="00FA1574">
            <w:pPr>
              <w:rPr>
                <w:rFonts w:ascii="Arial" w:hAnsi="Arial" w:cs="Arial"/>
                <w:color w:val="000000" w:themeColor="text1"/>
                <w:sz w:val="18"/>
                <w:szCs w:val="18"/>
              </w:rPr>
            </w:pPr>
          </w:p>
          <w:p w14:paraId="129B7060" w14:textId="77777777" w:rsidR="00FA1574" w:rsidRPr="00FA1574" w:rsidRDefault="00FA1574" w:rsidP="00FA1574">
            <w:pPr>
              <w:rPr>
                <w:rFonts w:ascii="Arial" w:hAnsi="Arial" w:cs="Arial"/>
                <w:color w:val="000000" w:themeColor="text1"/>
                <w:sz w:val="18"/>
                <w:szCs w:val="18"/>
              </w:rPr>
            </w:pPr>
            <w:r w:rsidRPr="00FA1574">
              <w:rPr>
                <w:rFonts w:ascii="Arial" w:hAnsi="Arial" w:cs="Arial"/>
                <w:color w:val="000000" w:themeColor="text1"/>
                <w:sz w:val="18"/>
                <w:szCs w:val="18"/>
              </w:rPr>
              <w:t>Social media was utilised, along with a range of other promotional methods – including a television appearance, correspondence, and direct contact and engagement. A breakdown of costs is available.</w:t>
            </w:r>
          </w:p>
        </w:tc>
      </w:tr>
      <w:tr w:rsidR="00FA1574" w:rsidRPr="00FA1574" w14:paraId="62FFB83A" w14:textId="77777777" w:rsidTr="00F5532B">
        <w:tc>
          <w:tcPr>
            <w:tcW w:w="4111" w:type="dxa"/>
          </w:tcPr>
          <w:p w14:paraId="68BC27AC" w14:textId="77777777" w:rsidR="00FA1574" w:rsidRPr="00FA1574" w:rsidRDefault="00FA1574" w:rsidP="00FA1574">
            <w:pPr>
              <w:rPr>
                <w:rFonts w:ascii="Arial" w:hAnsi="Arial" w:cs="Arial"/>
                <w:b/>
                <w:bCs/>
                <w:color w:val="auto"/>
                <w:sz w:val="18"/>
                <w:szCs w:val="18"/>
              </w:rPr>
            </w:pPr>
            <w:r w:rsidRPr="00FA1574">
              <w:rPr>
                <w:rFonts w:ascii="Arial" w:hAnsi="Arial" w:cs="Arial"/>
                <w:b/>
                <w:bCs/>
                <w:color w:val="auto"/>
                <w:sz w:val="18"/>
                <w:szCs w:val="18"/>
              </w:rPr>
              <w:t xml:space="preserve">Section 6: Our response to the </w:t>
            </w:r>
          </w:p>
          <w:p w14:paraId="154AEA32" w14:textId="77777777" w:rsidR="00FA1574" w:rsidRPr="00FA1574" w:rsidRDefault="00FA1574" w:rsidP="00FA1574">
            <w:pPr>
              <w:rPr>
                <w:rFonts w:ascii="Arial" w:hAnsi="Arial" w:cs="Arial"/>
                <w:b/>
                <w:bCs/>
                <w:color w:val="auto"/>
                <w:sz w:val="18"/>
                <w:szCs w:val="18"/>
              </w:rPr>
            </w:pPr>
            <w:r w:rsidRPr="00FA1574">
              <w:rPr>
                <w:rFonts w:ascii="Arial" w:hAnsi="Arial" w:cs="Arial"/>
                <w:b/>
                <w:bCs/>
                <w:color w:val="auto"/>
                <w:sz w:val="18"/>
                <w:szCs w:val="18"/>
              </w:rPr>
              <w:t>Consultation</w:t>
            </w:r>
          </w:p>
          <w:p w14:paraId="76074B8A" w14:textId="77777777" w:rsidR="00FA1574" w:rsidRPr="00FA1574" w:rsidRDefault="00FA1574" w:rsidP="00FA1574">
            <w:pPr>
              <w:rPr>
                <w:rFonts w:ascii="Arial" w:hAnsi="Arial" w:cs="Arial"/>
                <w:color w:val="auto"/>
                <w:sz w:val="18"/>
                <w:szCs w:val="18"/>
              </w:rPr>
            </w:pPr>
            <w:r w:rsidRPr="00FA1574">
              <w:rPr>
                <w:rFonts w:ascii="Arial" w:hAnsi="Arial" w:cs="Arial"/>
                <w:color w:val="auto"/>
                <w:sz w:val="18"/>
                <w:szCs w:val="18"/>
              </w:rPr>
              <w:t xml:space="preserve">The NFRS Consultation Framework outlines </w:t>
            </w:r>
            <w:proofErr w:type="gramStart"/>
            <w:r w:rsidRPr="00FA1574">
              <w:rPr>
                <w:rFonts w:ascii="Arial" w:hAnsi="Arial" w:cs="Arial"/>
                <w:color w:val="auto"/>
                <w:sz w:val="18"/>
                <w:szCs w:val="18"/>
              </w:rPr>
              <w:t>that consultations</w:t>
            </w:r>
            <w:proofErr w:type="gramEnd"/>
            <w:r w:rsidRPr="00FA1574">
              <w:rPr>
                <w:rFonts w:ascii="Arial" w:hAnsi="Arial" w:cs="Arial"/>
                <w:color w:val="auto"/>
                <w:sz w:val="18"/>
                <w:szCs w:val="18"/>
              </w:rPr>
              <w:t>:</w:t>
            </w:r>
          </w:p>
          <w:p w14:paraId="10E9E300" w14:textId="77777777" w:rsidR="00FA1574" w:rsidRPr="00FA1574" w:rsidRDefault="00FA1574" w:rsidP="00FA1574">
            <w:pPr>
              <w:numPr>
                <w:ilvl w:val="0"/>
                <w:numId w:val="62"/>
              </w:numPr>
              <w:rPr>
                <w:rFonts w:ascii="Arial" w:hAnsi="Arial" w:cs="Arial"/>
                <w:b/>
                <w:bCs/>
                <w:color w:val="auto"/>
                <w:sz w:val="18"/>
                <w:szCs w:val="18"/>
              </w:rPr>
            </w:pPr>
            <w:r w:rsidRPr="00FA1574">
              <w:rPr>
                <w:rFonts w:ascii="Arial" w:hAnsi="Arial" w:cs="Arial"/>
                <w:color w:val="auto"/>
                <w:sz w:val="18"/>
                <w:szCs w:val="18"/>
              </w:rPr>
              <w:t>Should consider all responses</w:t>
            </w:r>
          </w:p>
          <w:p w14:paraId="77B61FD5" w14:textId="77777777" w:rsidR="00FA1574" w:rsidRPr="00FA1574" w:rsidRDefault="00FA1574" w:rsidP="00FA1574">
            <w:pPr>
              <w:numPr>
                <w:ilvl w:val="0"/>
                <w:numId w:val="62"/>
              </w:numPr>
              <w:rPr>
                <w:rFonts w:ascii="Arial" w:hAnsi="Arial" w:cs="Arial"/>
                <w:color w:val="auto"/>
                <w:sz w:val="18"/>
                <w:szCs w:val="18"/>
              </w:rPr>
            </w:pPr>
            <w:r w:rsidRPr="00FA1574">
              <w:rPr>
                <w:rFonts w:ascii="Arial" w:hAnsi="Arial" w:cs="Arial"/>
                <w:color w:val="auto"/>
                <w:sz w:val="18"/>
                <w:szCs w:val="18"/>
              </w:rPr>
              <w:t>May provide a general summary of who responded, and the views gathered</w:t>
            </w:r>
          </w:p>
          <w:p w14:paraId="20F02E5C" w14:textId="77777777" w:rsidR="00FA1574" w:rsidRPr="00FA1574" w:rsidRDefault="00FA1574" w:rsidP="00FA1574">
            <w:pPr>
              <w:numPr>
                <w:ilvl w:val="0"/>
                <w:numId w:val="62"/>
              </w:numPr>
              <w:rPr>
                <w:rFonts w:ascii="Arial" w:hAnsi="Arial" w:cs="Arial"/>
                <w:color w:val="auto"/>
                <w:sz w:val="18"/>
                <w:szCs w:val="18"/>
              </w:rPr>
            </w:pPr>
            <w:r w:rsidRPr="00FA1574">
              <w:rPr>
                <w:rFonts w:ascii="Arial" w:hAnsi="Arial" w:cs="Arial"/>
                <w:color w:val="auto"/>
                <w:sz w:val="18"/>
                <w:szCs w:val="18"/>
              </w:rPr>
              <w:t>Should publish responses, including how they have informed service priorities</w:t>
            </w:r>
          </w:p>
          <w:p w14:paraId="392F3C31" w14:textId="77777777" w:rsidR="00FA1574" w:rsidRPr="00FA1574" w:rsidRDefault="00FA1574" w:rsidP="00FA1574">
            <w:pPr>
              <w:numPr>
                <w:ilvl w:val="0"/>
                <w:numId w:val="62"/>
              </w:numPr>
              <w:rPr>
                <w:rFonts w:ascii="Arial" w:hAnsi="Arial" w:cs="Arial"/>
                <w:b/>
                <w:bCs/>
                <w:color w:val="auto"/>
                <w:sz w:val="18"/>
                <w:szCs w:val="18"/>
              </w:rPr>
            </w:pPr>
            <w:r w:rsidRPr="00FA1574">
              <w:rPr>
                <w:rFonts w:ascii="Arial" w:hAnsi="Arial" w:cs="Arial"/>
                <w:color w:val="auto"/>
                <w:sz w:val="18"/>
                <w:szCs w:val="18"/>
              </w:rPr>
              <w:t>Present the findings of the consultation to Full Fire Authority for decisions.</w:t>
            </w:r>
          </w:p>
        </w:tc>
        <w:tc>
          <w:tcPr>
            <w:tcW w:w="5954" w:type="dxa"/>
          </w:tcPr>
          <w:p w14:paraId="6424E330" w14:textId="77777777" w:rsidR="00FA1574" w:rsidRPr="00FA1574" w:rsidRDefault="00FA1574" w:rsidP="00FA1574">
            <w:pPr>
              <w:rPr>
                <w:rFonts w:ascii="Arial" w:hAnsi="Arial" w:cs="Arial"/>
                <w:color w:val="000000" w:themeColor="text1"/>
                <w:sz w:val="18"/>
                <w:szCs w:val="18"/>
              </w:rPr>
            </w:pPr>
            <w:r w:rsidRPr="00FA1574">
              <w:rPr>
                <w:rFonts w:ascii="Arial" w:hAnsi="Arial" w:cs="Arial"/>
                <w:color w:val="000000" w:themeColor="text1"/>
                <w:sz w:val="18"/>
                <w:szCs w:val="18"/>
              </w:rPr>
              <w:t>Work has been undertaken to consider all responses – this report summarises these findings and is provided to the Fire Authority to supplement formal reporting.</w:t>
            </w:r>
          </w:p>
          <w:p w14:paraId="762C9BE6" w14:textId="77777777" w:rsidR="00FA1574" w:rsidRPr="00FA1574" w:rsidRDefault="00FA1574" w:rsidP="00FA1574">
            <w:pPr>
              <w:rPr>
                <w:rFonts w:ascii="Arial" w:hAnsi="Arial" w:cs="Arial"/>
                <w:color w:val="000000" w:themeColor="text1"/>
                <w:sz w:val="18"/>
                <w:szCs w:val="18"/>
              </w:rPr>
            </w:pPr>
          </w:p>
          <w:p w14:paraId="2865C33D" w14:textId="77777777" w:rsidR="00FA1574" w:rsidRPr="00FA1574" w:rsidRDefault="00FA1574" w:rsidP="00FA1574">
            <w:pPr>
              <w:rPr>
                <w:rFonts w:ascii="Arial" w:hAnsi="Arial" w:cs="Arial"/>
                <w:color w:val="000000" w:themeColor="text1"/>
                <w:sz w:val="18"/>
                <w:szCs w:val="18"/>
              </w:rPr>
            </w:pPr>
            <w:r w:rsidRPr="00FA1574">
              <w:rPr>
                <w:rFonts w:ascii="Arial" w:hAnsi="Arial" w:cs="Arial"/>
                <w:color w:val="000000" w:themeColor="text1"/>
                <w:sz w:val="18"/>
                <w:szCs w:val="18"/>
              </w:rPr>
              <w:t>Responses and outcomes will be published alongside the CRMP itself, which has been updated following feedback review, and will include a section articulating the consultation results and how it has changed the plan.</w:t>
            </w:r>
          </w:p>
        </w:tc>
      </w:tr>
      <w:tr w:rsidR="00FA1574" w:rsidRPr="00FA1574" w14:paraId="79BB257A" w14:textId="77777777" w:rsidTr="00F5532B">
        <w:tc>
          <w:tcPr>
            <w:tcW w:w="4111" w:type="dxa"/>
          </w:tcPr>
          <w:p w14:paraId="074B6456" w14:textId="77777777" w:rsidR="00FA1574" w:rsidRPr="00FA1574" w:rsidRDefault="00FA1574" w:rsidP="00FA1574">
            <w:pPr>
              <w:rPr>
                <w:rFonts w:ascii="Arial" w:hAnsi="Arial" w:cs="Arial"/>
                <w:b/>
                <w:bCs/>
                <w:color w:val="auto"/>
                <w:sz w:val="18"/>
                <w:szCs w:val="18"/>
              </w:rPr>
            </w:pPr>
            <w:r w:rsidRPr="00FA1574">
              <w:rPr>
                <w:rFonts w:ascii="Arial" w:hAnsi="Arial" w:cs="Arial"/>
                <w:b/>
                <w:bCs/>
                <w:color w:val="auto"/>
                <w:sz w:val="18"/>
                <w:szCs w:val="18"/>
              </w:rPr>
              <w:t>Section 7: Our capacity to consult</w:t>
            </w:r>
          </w:p>
          <w:p w14:paraId="7254F3DB" w14:textId="77777777" w:rsidR="00FA1574" w:rsidRPr="00FA1574" w:rsidRDefault="00FA1574" w:rsidP="00FA1574">
            <w:pPr>
              <w:rPr>
                <w:rFonts w:ascii="Arial" w:hAnsi="Arial" w:cs="Arial"/>
                <w:color w:val="auto"/>
                <w:sz w:val="18"/>
                <w:szCs w:val="18"/>
              </w:rPr>
            </w:pPr>
            <w:r w:rsidRPr="00FA1574">
              <w:rPr>
                <w:rFonts w:ascii="Arial" w:hAnsi="Arial" w:cs="Arial"/>
                <w:color w:val="auto"/>
                <w:sz w:val="18"/>
                <w:szCs w:val="18"/>
              </w:rPr>
              <w:t xml:space="preserve">The NFRS Consultation Framework outlines </w:t>
            </w:r>
            <w:proofErr w:type="gramStart"/>
            <w:r w:rsidRPr="00FA1574">
              <w:rPr>
                <w:rFonts w:ascii="Arial" w:hAnsi="Arial" w:cs="Arial"/>
                <w:color w:val="auto"/>
                <w:sz w:val="18"/>
                <w:szCs w:val="18"/>
              </w:rPr>
              <w:t>that consultations</w:t>
            </w:r>
            <w:proofErr w:type="gramEnd"/>
            <w:r w:rsidRPr="00FA1574">
              <w:rPr>
                <w:rFonts w:ascii="Arial" w:hAnsi="Arial" w:cs="Arial"/>
                <w:color w:val="auto"/>
                <w:sz w:val="18"/>
                <w:szCs w:val="18"/>
              </w:rPr>
              <w:t>:</w:t>
            </w:r>
          </w:p>
          <w:p w14:paraId="401C16BD" w14:textId="77777777" w:rsidR="00FA1574" w:rsidRPr="00FA1574" w:rsidRDefault="00FA1574" w:rsidP="00FA1574">
            <w:pPr>
              <w:numPr>
                <w:ilvl w:val="0"/>
                <w:numId w:val="63"/>
              </w:numPr>
              <w:rPr>
                <w:rFonts w:ascii="Arial" w:hAnsi="Arial" w:cs="Arial"/>
                <w:color w:val="auto"/>
                <w:sz w:val="18"/>
                <w:szCs w:val="18"/>
              </w:rPr>
            </w:pPr>
            <w:r w:rsidRPr="00FA1574">
              <w:rPr>
                <w:rFonts w:ascii="Arial" w:hAnsi="Arial" w:cs="Arial"/>
                <w:color w:val="auto"/>
                <w:sz w:val="18"/>
                <w:szCs w:val="18"/>
              </w:rPr>
              <w:t>Should be conducted by NFRS where possible</w:t>
            </w:r>
          </w:p>
          <w:p w14:paraId="10A12602" w14:textId="77777777" w:rsidR="00FA1574" w:rsidRPr="00FA1574" w:rsidRDefault="00FA1574" w:rsidP="00FA1574">
            <w:pPr>
              <w:numPr>
                <w:ilvl w:val="0"/>
                <w:numId w:val="63"/>
              </w:numPr>
              <w:rPr>
                <w:rFonts w:ascii="Arial" w:hAnsi="Arial" w:cs="Arial"/>
                <w:color w:val="auto"/>
                <w:sz w:val="18"/>
                <w:szCs w:val="18"/>
              </w:rPr>
            </w:pPr>
            <w:r w:rsidRPr="00FA1574">
              <w:rPr>
                <w:rFonts w:ascii="Arial" w:hAnsi="Arial" w:cs="Arial"/>
                <w:color w:val="auto"/>
                <w:sz w:val="18"/>
                <w:szCs w:val="18"/>
              </w:rPr>
              <w:t>May utilise independent/3</w:t>
            </w:r>
            <w:r w:rsidRPr="00FA1574">
              <w:rPr>
                <w:rFonts w:ascii="Arial" w:hAnsi="Arial" w:cs="Arial"/>
                <w:color w:val="auto"/>
                <w:sz w:val="18"/>
                <w:szCs w:val="18"/>
                <w:vertAlign w:val="superscript"/>
              </w:rPr>
              <w:t>rd</w:t>
            </w:r>
            <w:r w:rsidRPr="00FA1574">
              <w:rPr>
                <w:rFonts w:ascii="Arial" w:hAnsi="Arial" w:cs="Arial"/>
                <w:color w:val="auto"/>
                <w:sz w:val="18"/>
                <w:szCs w:val="18"/>
              </w:rPr>
              <w:t xml:space="preserve"> parties where necessary</w:t>
            </w:r>
          </w:p>
          <w:p w14:paraId="113BC9EF" w14:textId="77777777" w:rsidR="00FA1574" w:rsidRPr="00FA1574" w:rsidRDefault="00FA1574" w:rsidP="00FA1574">
            <w:pPr>
              <w:numPr>
                <w:ilvl w:val="0"/>
                <w:numId w:val="63"/>
              </w:numPr>
              <w:rPr>
                <w:rFonts w:ascii="Arial" w:hAnsi="Arial" w:cs="Arial"/>
                <w:b/>
                <w:bCs/>
                <w:color w:val="auto"/>
                <w:sz w:val="18"/>
                <w:szCs w:val="18"/>
              </w:rPr>
            </w:pPr>
            <w:r w:rsidRPr="00FA1574">
              <w:rPr>
                <w:rFonts w:ascii="Arial" w:hAnsi="Arial" w:cs="Arial"/>
                <w:color w:val="auto"/>
                <w:sz w:val="18"/>
                <w:szCs w:val="18"/>
              </w:rPr>
              <w:t>Should only use providers who meet Framework and best value requirements.</w:t>
            </w:r>
          </w:p>
        </w:tc>
        <w:tc>
          <w:tcPr>
            <w:tcW w:w="5954" w:type="dxa"/>
          </w:tcPr>
          <w:p w14:paraId="3DBE99EF" w14:textId="77777777" w:rsidR="00FA1574" w:rsidRPr="00FA1574" w:rsidRDefault="00FA1574" w:rsidP="00FA1574">
            <w:pPr>
              <w:rPr>
                <w:rFonts w:ascii="Arial" w:hAnsi="Arial" w:cs="Arial"/>
                <w:color w:val="000000" w:themeColor="text1"/>
                <w:sz w:val="18"/>
                <w:szCs w:val="18"/>
              </w:rPr>
            </w:pPr>
            <w:r w:rsidRPr="00FA1574">
              <w:rPr>
                <w:rFonts w:ascii="Arial" w:hAnsi="Arial" w:cs="Arial"/>
                <w:color w:val="000000" w:themeColor="text1"/>
                <w:sz w:val="18"/>
                <w:szCs w:val="18"/>
              </w:rPr>
              <w:t>NFRS elected to undertake the consultation in-house. A consideration around this was the costs of utilising a 3</w:t>
            </w:r>
            <w:r w:rsidRPr="00FA1574">
              <w:rPr>
                <w:rFonts w:ascii="Arial" w:hAnsi="Arial" w:cs="Arial"/>
                <w:color w:val="000000" w:themeColor="text1"/>
                <w:sz w:val="18"/>
                <w:szCs w:val="18"/>
                <w:vertAlign w:val="superscript"/>
              </w:rPr>
              <w:t xml:space="preserve">rd </w:t>
            </w:r>
            <w:r w:rsidRPr="00FA1574">
              <w:rPr>
                <w:rFonts w:ascii="Arial" w:hAnsi="Arial" w:cs="Arial"/>
                <w:color w:val="000000" w:themeColor="text1"/>
                <w:sz w:val="18"/>
                <w:szCs w:val="18"/>
              </w:rPr>
              <w:t>party supplier, versus undertaking this within the service.</w:t>
            </w:r>
          </w:p>
          <w:p w14:paraId="542443EF" w14:textId="77777777" w:rsidR="00FA1574" w:rsidRPr="00FA1574" w:rsidRDefault="00FA1574" w:rsidP="00FA1574">
            <w:pPr>
              <w:rPr>
                <w:rFonts w:ascii="Arial" w:hAnsi="Arial" w:cs="Arial"/>
                <w:color w:val="000000" w:themeColor="text1"/>
                <w:sz w:val="18"/>
                <w:szCs w:val="18"/>
              </w:rPr>
            </w:pPr>
          </w:p>
          <w:p w14:paraId="0E4F0710" w14:textId="77777777" w:rsidR="00FA1574" w:rsidRPr="00FA1574" w:rsidRDefault="00FA1574" w:rsidP="00FA1574">
            <w:pPr>
              <w:rPr>
                <w:rFonts w:ascii="Arial" w:hAnsi="Arial" w:cs="Arial"/>
                <w:color w:val="000000" w:themeColor="text1"/>
                <w:sz w:val="18"/>
                <w:szCs w:val="18"/>
              </w:rPr>
            </w:pPr>
            <w:r w:rsidRPr="00FA1574">
              <w:rPr>
                <w:rFonts w:ascii="Arial" w:hAnsi="Arial" w:cs="Arial"/>
                <w:color w:val="000000" w:themeColor="text1"/>
                <w:sz w:val="18"/>
                <w:szCs w:val="18"/>
              </w:rPr>
              <w:t>This resulted in a significant saving to the organisation, detailed within this report.</w:t>
            </w:r>
          </w:p>
          <w:p w14:paraId="08CE9F1F" w14:textId="77777777" w:rsidR="00FA1574" w:rsidRPr="00FA1574" w:rsidRDefault="00FA1574" w:rsidP="00FA1574">
            <w:pPr>
              <w:rPr>
                <w:rFonts w:ascii="Arial" w:hAnsi="Arial" w:cs="Arial"/>
                <w:color w:val="000000" w:themeColor="text1"/>
                <w:sz w:val="18"/>
                <w:szCs w:val="18"/>
              </w:rPr>
            </w:pPr>
          </w:p>
        </w:tc>
      </w:tr>
    </w:tbl>
    <w:p w14:paraId="1B99A286" w14:textId="77777777" w:rsidR="00FA1574" w:rsidRPr="00FA1574" w:rsidRDefault="00FA1574" w:rsidP="00FA1574">
      <w:pPr>
        <w:rPr>
          <w:rFonts w:ascii="Arial" w:hAnsi="Arial" w:cs="Arial"/>
          <w:color w:val="auto"/>
          <w:kern w:val="0"/>
          <w:sz w:val="22"/>
          <w:szCs w:val="22"/>
          <w14:ligatures w14:val="none"/>
        </w:rPr>
      </w:pPr>
    </w:p>
    <w:p w14:paraId="6FFCA30D" w14:textId="77777777" w:rsidR="00FA1574" w:rsidRPr="00FA1574" w:rsidRDefault="00FA1574" w:rsidP="00FA1574">
      <w:pPr>
        <w:rPr>
          <w:rFonts w:ascii="Arial" w:hAnsi="Arial" w:cs="Arial"/>
          <w:color w:val="auto"/>
          <w:kern w:val="0"/>
          <w:sz w:val="22"/>
          <w:szCs w:val="22"/>
          <w14:ligatures w14:val="none"/>
        </w:rPr>
      </w:pPr>
    </w:p>
    <w:p w14:paraId="4A0828A7" w14:textId="77777777" w:rsidR="00FA1574" w:rsidRPr="00FA1574" w:rsidRDefault="00FA1574" w:rsidP="00FA1574">
      <w:pPr>
        <w:numPr>
          <w:ilvl w:val="0"/>
          <w:numId w:val="45"/>
        </w:numPr>
        <w:spacing w:after="160" w:line="259" w:lineRule="auto"/>
        <w:rPr>
          <w:rFonts w:ascii="Arial" w:hAnsi="Arial" w:cs="Arial"/>
          <w:b/>
          <w:bCs/>
          <w:color w:val="auto"/>
          <w:kern w:val="0"/>
          <w:sz w:val="32"/>
          <w:szCs w:val="32"/>
          <w14:ligatures w14:val="none"/>
        </w:rPr>
      </w:pPr>
      <w:r w:rsidRPr="00FA1574">
        <w:rPr>
          <w:rFonts w:ascii="Arial" w:hAnsi="Arial" w:cs="Arial"/>
          <w:b/>
          <w:bCs/>
          <w:color w:val="auto"/>
          <w:kern w:val="0"/>
          <w:sz w:val="32"/>
          <w:szCs w:val="32"/>
          <w14:ligatures w14:val="none"/>
        </w:rPr>
        <w:t>Consultation Goals</w:t>
      </w:r>
    </w:p>
    <w:p w14:paraId="360C5D1E" w14:textId="77777777" w:rsidR="00FA1574" w:rsidRPr="00FA1574" w:rsidRDefault="00FA1574" w:rsidP="00FA1574">
      <w:pPr>
        <w:rPr>
          <w:rFonts w:ascii="Arial" w:hAnsi="Arial" w:cs="Arial"/>
          <w:color w:val="auto"/>
          <w:kern w:val="0"/>
          <w:sz w:val="20"/>
          <w:szCs w:val="20"/>
          <w14:ligatures w14:val="none"/>
        </w:rPr>
      </w:pPr>
    </w:p>
    <w:p w14:paraId="135D288F"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Prior to undertaking the consultation, various objectives and targets for the consultation were agreed. They were designed to be challenging, ambitious, achievable and measurable.</w:t>
      </w:r>
    </w:p>
    <w:p w14:paraId="77E9B58F" w14:textId="77777777" w:rsidR="00FA1574" w:rsidRPr="00FA1574" w:rsidRDefault="00FA1574" w:rsidP="00FA1574">
      <w:pPr>
        <w:rPr>
          <w:rFonts w:ascii="Arial" w:hAnsi="Arial" w:cs="Arial"/>
          <w:color w:val="auto"/>
          <w:kern w:val="0"/>
          <w:sz w:val="20"/>
          <w:szCs w:val="20"/>
          <w14:ligatures w14:val="none"/>
        </w:rPr>
      </w:pPr>
    </w:p>
    <w:p w14:paraId="5BE73751"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goal via the online survey was to reach 330,000+ members of the public, anticipating this would elicit a survey response rate of approximately 333 to 667 responses.</w:t>
      </w:r>
    </w:p>
    <w:p w14:paraId="50420EBE" w14:textId="77777777" w:rsidR="00FA1574" w:rsidRPr="00FA1574" w:rsidRDefault="00FA1574" w:rsidP="00FA1574">
      <w:pPr>
        <w:rPr>
          <w:rFonts w:ascii="Arial" w:hAnsi="Arial" w:cs="Arial"/>
          <w:color w:val="auto"/>
          <w:kern w:val="0"/>
          <w:sz w:val="20"/>
          <w:szCs w:val="20"/>
          <w14:ligatures w14:val="none"/>
        </w:rPr>
      </w:pPr>
    </w:p>
    <w:p w14:paraId="113C7395"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Of these, NFRS aimed to reach: </w:t>
      </w:r>
    </w:p>
    <w:p w14:paraId="572AC576" w14:textId="77777777" w:rsidR="00FA1574" w:rsidRPr="00FA1574" w:rsidRDefault="00FA1574" w:rsidP="00A30C20">
      <w:pPr>
        <w:numPr>
          <w:ilvl w:val="0"/>
          <w:numId w:val="46"/>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Racially minoritised groups: Target of 96 responses.</w:t>
      </w:r>
    </w:p>
    <w:p w14:paraId="1EE631C3" w14:textId="77777777" w:rsidR="00FA1574" w:rsidRPr="00FA1574" w:rsidRDefault="00FA1574" w:rsidP="00A30C20">
      <w:pPr>
        <w:numPr>
          <w:ilvl w:val="0"/>
          <w:numId w:val="46"/>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Disabled people, LGBTQ+ community, older people: 20 responses each.</w:t>
      </w:r>
    </w:p>
    <w:p w14:paraId="000FBCEB" w14:textId="77777777" w:rsidR="00FA1574" w:rsidRPr="00FA1574" w:rsidRDefault="00FA1574" w:rsidP="00A30C20">
      <w:pPr>
        <w:numPr>
          <w:ilvl w:val="0"/>
          <w:numId w:val="46"/>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Young People: Estimated 96 participants</w:t>
      </w:r>
    </w:p>
    <w:p w14:paraId="76CF23E3" w14:textId="77777777" w:rsidR="00FA1574" w:rsidRPr="00FA1574" w:rsidRDefault="00FA1574" w:rsidP="00FA1574">
      <w:pPr>
        <w:rPr>
          <w:rFonts w:ascii="Arial" w:hAnsi="Arial" w:cs="Arial"/>
          <w:color w:val="auto"/>
          <w:kern w:val="0"/>
          <w:sz w:val="20"/>
          <w:szCs w:val="20"/>
          <w14:ligatures w14:val="none"/>
        </w:rPr>
      </w:pPr>
    </w:p>
    <w:p w14:paraId="03A0B53B"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lastRenderedPageBreak/>
        <w:t>The survey would be supplemented via focus groups, involving fewer participants but offering richer, more nuanced feedback. The Service’s goal was to undertake a minimum of five Focus Groups, with one for each of the following demographics:</w:t>
      </w:r>
    </w:p>
    <w:p w14:paraId="475539A0" w14:textId="77777777" w:rsidR="00FA1574" w:rsidRPr="00FA1574" w:rsidRDefault="00FA1574" w:rsidP="00A30C20">
      <w:pPr>
        <w:numPr>
          <w:ilvl w:val="0"/>
          <w:numId w:val="47"/>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Racially minoritised groups</w:t>
      </w:r>
    </w:p>
    <w:p w14:paraId="2B909AE0" w14:textId="77777777" w:rsidR="00FA1574" w:rsidRPr="00FA1574" w:rsidRDefault="00FA1574" w:rsidP="00A30C20">
      <w:pPr>
        <w:numPr>
          <w:ilvl w:val="0"/>
          <w:numId w:val="47"/>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Disabled People</w:t>
      </w:r>
    </w:p>
    <w:p w14:paraId="65923E7E" w14:textId="77777777" w:rsidR="00FA1574" w:rsidRPr="00FA1574" w:rsidRDefault="00FA1574" w:rsidP="00A30C20">
      <w:pPr>
        <w:numPr>
          <w:ilvl w:val="0"/>
          <w:numId w:val="47"/>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LGBTQ+ Community</w:t>
      </w:r>
    </w:p>
    <w:p w14:paraId="36744DAD" w14:textId="77777777" w:rsidR="00FA1574" w:rsidRPr="00FA1574" w:rsidRDefault="00FA1574" w:rsidP="00A30C20">
      <w:pPr>
        <w:numPr>
          <w:ilvl w:val="0"/>
          <w:numId w:val="47"/>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Older People</w:t>
      </w:r>
    </w:p>
    <w:p w14:paraId="26D4C0E3" w14:textId="77777777" w:rsidR="00FA1574" w:rsidRPr="00FA1574" w:rsidRDefault="00FA1574" w:rsidP="00A30C20">
      <w:pPr>
        <w:numPr>
          <w:ilvl w:val="0"/>
          <w:numId w:val="47"/>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Young People</w:t>
      </w:r>
    </w:p>
    <w:p w14:paraId="4AF8928A" w14:textId="77777777" w:rsidR="00FA1574" w:rsidRPr="00FA1574" w:rsidRDefault="00FA1574" w:rsidP="00A30C20">
      <w:pPr>
        <w:numPr>
          <w:ilvl w:val="0"/>
          <w:numId w:val="47"/>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General population</w:t>
      </w:r>
    </w:p>
    <w:p w14:paraId="3D1A9C50" w14:textId="77777777" w:rsidR="00FA1574" w:rsidRPr="00FA1574" w:rsidRDefault="00FA1574" w:rsidP="00FA1574">
      <w:pPr>
        <w:rPr>
          <w:rFonts w:ascii="Arial" w:hAnsi="Arial" w:cs="Arial"/>
          <w:color w:val="auto"/>
          <w:kern w:val="0"/>
          <w:sz w:val="20"/>
          <w:szCs w:val="20"/>
          <w14:ligatures w14:val="none"/>
        </w:rPr>
      </w:pPr>
    </w:p>
    <w:p w14:paraId="40EB7D48"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NFRS aimed to have at least 10 participants at each Focus Group.</w:t>
      </w:r>
    </w:p>
    <w:p w14:paraId="2532134B" w14:textId="77777777" w:rsidR="00FA1574" w:rsidRPr="00FA1574" w:rsidRDefault="00FA1574" w:rsidP="00FA1574">
      <w:pPr>
        <w:rPr>
          <w:rFonts w:ascii="Arial" w:hAnsi="Arial" w:cs="Arial"/>
          <w:color w:val="auto"/>
          <w:kern w:val="0"/>
          <w:sz w:val="20"/>
          <w:szCs w:val="20"/>
          <w14:ligatures w14:val="none"/>
        </w:rPr>
      </w:pPr>
    </w:p>
    <w:p w14:paraId="0D1AD973"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Internally, the Service’s goal was to engage service staff (~300 responses), the Fire Authority (19 members), representative bodies (~3 responses), and stakeholders/partners (20 responses).</w:t>
      </w:r>
    </w:p>
    <w:p w14:paraId="5A14C2E7" w14:textId="77777777" w:rsidR="00FA1574" w:rsidRPr="00FA1574" w:rsidRDefault="00FA1574" w:rsidP="00FA1574">
      <w:pPr>
        <w:rPr>
          <w:rFonts w:ascii="Arial" w:hAnsi="Arial" w:cs="Arial"/>
          <w:color w:val="auto"/>
          <w:kern w:val="0"/>
          <w:sz w:val="20"/>
          <w:szCs w:val="20"/>
          <w14:ligatures w14:val="none"/>
        </w:rPr>
      </w:pPr>
    </w:p>
    <w:p w14:paraId="6986059C" w14:textId="77777777" w:rsidR="00FA1574" w:rsidRPr="00FA1574" w:rsidRDefault="00FA1574" w:rsidP="00FA1574">
      <w:pPr>
        <w:rPr>
          <w:rFonts w:ascii="Arial" w:hAnsi="Arial" w:cs="Arial"/>
          <w:b/>
          <w:bCs/>
          <w:color w:val="auto"/>
          <w:kern w:val="0"/>
          <w:sz w:val="20"/>
          <w:szCs w:val="20"/>
          <w14:ligatures w14:val="none"/>
        </w:rPr>
      </w:pPr>
      <w:r w:rsidRPr="00FA1574">
        <w:rPr>
          <w:rFonts w:ascii="Arial" w:hAnsi="Arial" w:cs="Arial"/>
          <w:b/>
          <w:bCs/>
          <w:color w:val="auto"/>
          <w:kern w:val="0"/>
          <w:sz w:val="20"/>
          <w:szCs w:val="20"/>
          <w14:ligatures w14:val="none"/>
        </w:rPr>
        <w:t>Promotion</w:t>
      </w:r>
    </w:p>
    <w:p w14:paraId="55922EE0"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To achieve reach and responses ambitions, promotion of the consultation was critical. The Service aimed to undertake a robust campaign utilising both online reach and direct correspondence to leverage responses. This included:</w:t>
      </w:r>
    </w:p>
    <w:p w14:paraId="641D3538" w14:textId="77777777" w:rsidR="00FA1574" w:rsidRPr="00FA1574" w:rsidRDefault="00FA1574" w:rsidP="00A30C20">
      <w:pPr>
        <w:numPr>
          <w:ilvl w:val="0"/>
          <w:numId w:val="48"/>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Social Media Marketing (external)</w:t>
      </w:r>
    </w:p>
    <w:p w14:paraId="4F8F8A1F" w14:textId="77777777" w:rsidR="00FA1574" w:rsidRPr="00FA1574" w:rsidRDefault="00FA1574" w:rsidP="00A30C20">
      <w:pPr>
        <w:numPr>
          <w:ilvl w:val="0"/>
          <w:numId w:val="48"/>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Press Releases and a media launch to maximize public awareness (external)</w:t>
      </w:r>
    </w:p>
    <w:p w14:paraId="50B2ACDD" w14:textId="77777777" w:rsidR="00FA1574" w:rsidRPr="00FA1574" w:rsidRDefault="00FA1574" w:rsidP="00A30C20">
      <w:pPr>
        <w:numPr>
          <w:ilvl w:val="0"/>
          <w:numId w:val="48"/>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Use of leaflets, flyers, and station dressing to capture attention (internal &amp; external)</w:t>
      </w:r>
    </w:p>
    <w:p w14:paraId="719E7FCF" w14:textId="77777777" w:rsidR="00FA1574" w:rsidRPr="00FA1574" w:rsidRDefault="00FA1574" w:rsidP="00A30C20">
      <w:pPr>
        <w:numPr>
          <w:ilvl w:val="0"/>
          <w:numId w:val="48"/>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Partner communications, newsletters, and correspondence to enhance visibility through existing networks (external)</w:t>
      </w:r>
    </w:p>
    <w:p w14:paraId="689A2D1F" w14:textId="77777777" w:rsidR="00FA1574" w:rsidRPr="00FA1574" w:rsidRDefault="00FA1574" w:rsidP="00A30C20">
      <w:pPr>
        <w:numPr>
          <w:ilvl w:val="0"/>
          <w:numId w:val="48"/>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Incentive - entry into a £100 prize draw for completing the survey (internal &amp; external)</w:t>
      </w:r>
    </w:p>
    <w:p w14:paraId="7DC1E117" w14:textId="77777777" w:rsidR="00FA1574" w:rsidRPr="00FA1574" w:rsidRDefault="00FA1574" w:rsidP="00A30C20">
      <w:pPr>
        <w:numPr>
          <w:ilvl w:val="0"/>
          <w:numId w:val="48"/>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Service communications such as CFO briefings, newsletter, informative and staff meetings (internal)</w:t>
      </w:r>
    </w:p>
    <w:p w14:paraId="11E51F9A" w14:textId="77777777" w:rsidR="00FA1574" w:rsidRPr="00FA1574" w:rsidRDefault="00FA1574" w:rsidP="00FA1574">
      <w:pPr>
        <w:ind w:left="720"/>
        <w:rPr>
          <w:rFonts w:ascii="Arial" w:hAnsi="Arial" w:cs="Arial"/>
          <w:color w:val="auto"/>
          <w:kern w:val="0"/>
          <w:sz w:val="20"/>
          <w:szCs w:val="20"/>
          <w14:ligatures w14:val="none"/>
        </w:rPr>
      </w:pPr>
    </w:p>
    <w:p w14:paraId="1DFA0E52"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In addition to the above consultation-specific activities, the Service aimed to maximise its existing, typical activities and leverage them to raise awareness of the consultation at every opportunity. This included:</w:t>
      </w:r>
    </w:p>
    <w:p w14:paraId="1D041C2F" w14:textId="77777777" w:rsidR="00FA1574" w:rsidRPr="00FA1574" w:rsidRDefault="00FA1574" w:rsidP="00A30C20">
      <w:pPr>
        <w:numPr>
          <w:ilvl w:val="0"/>
          <w:numId w:val="49"/>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Safe &amp; Well Visits: Approximately 1,250 per month during the consultation period.</w:t>
      </w:r>
    </w:p>
    <w:p w14:paraId="41B9F9FC" w14:textId="77777777" w:rsidR="00FA1574" w:rsidRPr="00FA1574" w:rsidRDefault="00FA1574" w:rsidP="00A30C20">
      <w:pPr>
        <w:numPr>
          <w:ilvl w:val="0"/>
          <w:numId w:val="49"/>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Community Befriending Scheme: One engagement per watch during the consultation period.</w:t>
      </w:r>
    </w:p>
    <w:p w14:paraId="16B81A42" w14:textId="77777777" w:rsidR="00FA1574" w:rsidRPr="00FA1574" w:rsidRDefault="00FA1574" w:rsidP="00A30C20">
      <w:pPr>
        <w:numPr>
          <w:ilvl w:val="0"/>
          <w:numId w:val="49"/>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Leaflets: Included in every outgoing letter (circa 2,500 during the consultation).</w:t>
      </w:r>
    </w:p>
    <w:p w14:paraId="2FD4040F" w14:textId="77777777" w:rsidR="00FA1574" w:rsidRPr="00FA1574" w:rsidRDefault="00FA1574" w:rsidP="00A30C20">
      <w:pPr>
        <w:numPr>
          <w:ilvl w:val="0"/>
          <w:numId w:val="49"/>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Partnerships: Raise awareness with City and County Councils, safeguarding boards, universities, and various community networks.</w:t>
      </w:r>
    </w:p>
    <w:p w14:paraId="73AC821F" w14:textId="77777777" w:rsidR="00FA1574" w:rsidRPr="00FA1574" w:rsidRDefault="00FA1574" w:rsidP="00FA1574">
      <w:pPr>
        <w:rPr>
          <w:rFonts w:ascii="Arial" w:hAnsi="Arial" w:cs="Arial"/>
          <w:color w:val="auto"/>
          <w:kern w:val="0"/>
          <w:sz w:val="20"/>
          <w:szCs w:val="20"/>
          <w14:ligatures w14:val="none"/>
        </w:rPr>
      </w:pPr>
    </w:p>
    <w:p w14:paraId="3C08D4D3" w14:textId="77777777" w:rsidR="00FA1574" w:rsidRPr="00FA1574" w:rsidRDefault="00FA1574" w:rsidP="00FA1574">
      <w:pPr>
        <w:rPr>
          <w:rFonts w:ascii="Arial" w:hAnsi="Arial" w:cs="Arial"/>
          <w:b/>
          <w:bCs/>
          <w:color w:val="auto"/>
          <w:kern w:val="0"/>
          <w:sz w:val="20"/>
          <w:szCs w:val="20"/>
          <w14:ligatures w14:val="none"/>
        </w:rPr>
      </w:pPr>
      <w:r w:rsidRPr="00FA1574">
        <w:rPr>
          <w:rFonts w:ascii="Arial" w:hAnsi="Arial" w:cs="Arial"/>
          <w:b/>
          <w:bCs/>
          <w:color w:val="auto"/>
          <w:kern w:val="0"/>
          <w:sz w:val="20"/>
          <w:szCs w:val="20"/>
          <w14:ligatures w14:val="none"/>
        </w:rPr>
        <w:t>Efficiency and Cost-Effectiveness</w:t>
      </w:r>
    </w:p>
    <w:p w14:paraId="39D97C58"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consultation was delivered entirely in-house, with the goal of reducing costs from £30,000 (previous external consultation) to no more than £8,000.</w:t>
      </w:r>
    </w:p>
    <w:p w14:paraId="6783FFB4" w14:textId="77777777" w:rsidR="00FA1574" w:rsidRPr="00FA1574" w:rsidRDefault="00FA1574" w:rsidP="00FA1574">
      <w:pPr>
        <w:rPr>
          <w:rFonts w:ascii="Arial" w:hAnsi="Arial" w:cs="Arial"/>
          <w:color w:val="auto"/>
          <w:kern w:val="0"/>
          <w:sz w:val="20"/>
          <w:szCs w:val="20"/>
          <w14:ligatures w14:val="none"/>
        </w:rPr>
      </w:pPr>
    </w:p>
    <w:p w14:paraId="4DF57E06"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This would include covering all activities, incentives, and marketing, e.g.:</w:t>
      </w:r>
    </w:p>
    <w:p w14:paraId="5DF079A7" w14:textId="77777777" w:rsidR="00FA1574" w:rsidRPr="00FA1574" w:rsidRDefault="00FA1574" w:rsidP="00A30C20">
      <w:pPr>
        <w:numPr>
          <w:ilvl w:val="0"/>
          <w:numId w:val="50"/>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£1,500 budget for paid advertising.</w:t>
      </w:r>
    </w:p>
    <w:p w14:paraId="6D77F4D3" w14:textId="77777777" w:rsidR="00FA1574" w:rsidRPr="00FA1574" w:rsidRDefault="00FA1574" w:rsidP="00A30C20">
      <w:pPr>
        <w:numPr>
          <w:ilvl w:val="0"/>
          <w:numId w:val="50"/>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£30 vouchers per Focus Group participant, totalling £3,000.</w:t>
      </w:r>
    </w:p>
    <w:p w14:paraId="2DF837D7" w14:textId="77777777" w:rsidR="00FA1574" w:rsidRPr="00FA1574" w:rsidRDefault="00FA1574" w:rsidP="00A30C20">
      <w:pPr>
        <w:numPr>
          <w:ilvl w:val="0"/>
          <w:numId w:val="50"/>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£100 prize for one survey participant</w:t>
      </w:r>
    </w:p>
    <w:p w14:paraId="2683103E" w14:textId="77777777" w:rsidR="00FA1574" w:rsidRPr="00FA1574" w:rsidRDefault="00FA1574" w:rsidP="00A30C20">
      <w:pPr>
        <w:numPr>
          <w:ilvl w:val="0"/>
          <w:numId w:val="50"/>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Design &amp; print of various promotional materials including flyers/leaflets and posters.</w:t>
      </w:r>
    </w:p>
    <w:p w14:paraId="0D12EBE6" w14:textId="77777777" w:rsidR="00FA1574" w:rsidRPr="00FA1574" w:rsidRDefault="00FA1574" w:rsidP="00FA1574">
      <w:pPr>
        <w:rPr>
          <w:rFonts w:ascii="Arial" w:hAnsi="Arial" w:cs="Arial"/>
          <w:color w:val="auto"/>
          <w:kern w:val="0"/>
          <w:sz w:val="20"/>
          <w:szCs w:val="20"/>
          <w14:ligatures w14:val="none"/>
        </w:rPr>
      </w:pPr>
    </w:p>
    <w:p w14:paraId="29F09413"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Corporate Team and the Communications &amp; Engagement Team managed all aspects, including survey design, focus groups, and promotion.</w:t>
      </w:r>
    </w:p>
    <w:p w14:paraId="0D6D5540" w14:textId="77777777" w:rsidR="00FA1574" w:rsidRPr="00FA1574" w:rsidRDefault="00FA1574" w:rsidP="00FA1574">
      <w:pPr>
        <w:rPr>
          <w:rFonts w:ascii="Arial" w:hAnsi="Arial" w:cs="Arial"/>
          <w:color w:val="auto"/>
          <w:kern w:val="0"/>
          <w:sz w:val="20"/>
          <w:szCs w:val="20"/>
          <w14:ligatures w14:val="none"/>
        </w:rPr>
      </w:pPr>
    </w:p>
    <w:p w14:paraId="366C4281" w14:textId="77777777" w:rsidR="00FA1574" w:rsidRPr="00FA1574" w:rsidRDefault="00FA1574" w:rsidP="00FA1574">
      <w:pPr>
        <w:rPr>
          <w:rFonts w:ascii="Arial" w:hAnsi="Arial" w:cs="Arial"/>
          <w:b/>
          <w:bCs/>
          <w:color w:val="auto"/>
          <w:kern w:val="0"/>
          <w:sz w:val="20"/>
          <w:szCs w:val="20"/>
          <w14:ligatures w14:val="none"/>
        </w:rPr>
      </w:pPr>
      <w:r w:rsidRPr="00FA1574">
        <w:rPr>
          <w:rFonts w:ascii="Arial" w:hAnsi="Arial" w:cs="Arial"/>
          <w:b/>
          <w:bCs/>
          <w:color w:val="auto"/>
          <w:kern w:val="0"/>
          <w:sz w:val="20"/>
          <w:szCs w:val="20"/>
          <w14:ligatures w14:val="none"/>
        </w:rPr>
        <w:t>Monitoring and Adaptation</w:t>
      </w:r>
    </w:p>
    <w:p w14:paraId="724028ED"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To ensure the consultation remained on track, NFRs undertook regular reviews within the timeline, including a mid-point evaluation in Week 6.</w:t>
      </w:r>
    </w:p>
    <w:p w14:paraId="1560A3F4" w14:textId="77777777" w:rsidR="00FA1574" w:rsidRPr="00FA1574" w:rsidRDefault="00FA1574" w:rsidP="00FA1574">
      <w:pPr>
        <w:spacing w:after="160" w:line="259" w:lineRule="auto"/>
        <w:rPr>
          <w:rFonts w:ascii="Arial" w:hAnsi="Arial" w:cs="Arial"/>
          <w:b/>
          <w:bCs/>
          <w:color w:val="auto"/>
          <w:kern w:val="0"/>
          <w:sz w:val="52"/>
          <w:szCs w:val="52"/>
          <w14:ligatures w14:val="none"/>
        </w:rPr>
      </w:pPr>
      <w:r w:rsidRPr="00FA1574">
        <w:rPr>
          <w:rFonts w:ascii="Arial" w:hAnsi="Arial" w:cs="Arial"/>
          <w:b/>
          <w:bCs/>
          <w:color w:val="auto"/>
          <w:kern w:val="0"/>
          <w:sz w:val="52"/>
          <w:szCs w:val="52"/>
          <w14:ligatures w14:val="none"/>
        </w:rPr>
        <w:lastRenderedPageBreak/>
        <w:t xml:space="preserve">PART TWO: </w:t>
      </w:r>
    </w:p>
    <w:p w14:paraId="377E7798" w14:textId="77777777" w:rsidR="00FA1574" w:rsidRPr="00FA1574" w:rsidRDefault="00FA1574" w:rsidP="00FA1574">
      <w:pPr>
        <w:spacing w:after="160" w:line="259" w:lineRule="auto"/>
        <w:rPr>
          <w:rFonts w:ascii="Arial" w:hAnsi="Arial" w:cs="Arial"/>
          <w:b/>
          <w:bCs/>
          <w:color w:val="auto"/>
          <w:kern w:val="0"/>
          <w:sz w:val="52"/>
          <w:szCs w:val="52"/>
          <w14:ligatures w14:val="none"/>
        </w:rPr>
      </w:pPr>
      <w:r w:rsidRPr="00FA1574">
        <w:rPr>
          <w:rFonts w:ascii="Arial" w:hAnsi="Arial" w:cs="Arial"/>
          <w:b/>
          <w:bCs/>
          <w:color w:val="auto"/>
          <w:kern w:val="0"/>
          <w:sz w:val="52"/>
          <w:szCs w:val="52"/>
          <w14:ligatures w14:val="none"/>
        </w:rPr>
        <w:t>CONSULTATION PARTICIPATION</w:t>
      </w:r>
    </w:p>
    <w:p w14:paraId="09BEE5A7" w14:textId="77777777" w:rsidR="00FA1574" w:rsidRPr="00FA1574" w:rsidRDefault="00FA1574" w:rsidP="00FA1574">
      <w:pPr>
        <w:rPr>
          <w:rFonts w:ascii="Arial" w:hAnsi="Arial" w:cs="Arial"/>
          <w:color w:val="auto"/>
          <w:kern w:val="0"/>
          <w:sz w:val="20"/>
          <w:szCs w:val="20"/>
          <w14:ligatures w14:val="none"/>
        </w:rPr>
      </w:pPr>
    </w:p>
    <w:p w14:paraId="7B7CEC90" w14:textId="77777777" w:rsidR="00FA1574" w:rsidRPr="00FA1574" w:rsidRDefault="00FA1574" w:rsidP="00FA1574">
      <w:pPr>
        <w:numPr>
          <w:ilvl w:val="0"/>
          <w:numId w:val="52"/>
        </w:numPr>
        <w:spacing w:after="160" w:line="259" w:lineRule="auto"/>
        <w:contextualSpacing/>
        <w:rPr>
          <w:rFonts w:ascii="Arial" w:hAnsi="Arial" w:cs="Arial"/>
          <w:b/>
          <w:bCs/>
          <w:color w:val="auto"/>
          <w:kern w:val="0"/>
          <w:sz w:val="32"/>
          <w:szCs w:val="32"/>
          <w14:ligatures w14:val="none"/>
        </w:rPr>
      </w:pPr>
      <w:r w:rsidRPr="00FA1574">
        <w:rPr>
          <w:rFonts w:ascii="Arial" w:hAnsi="Arial" w:cs="Arial"/>
          <w:b/>
          <w:bCs/>
          <w:color w:val="auto"/>
          <w:kern w:val="0"/>
          <w:sz w:val="32"/>
          <w:szCs w:val="32"/>
          <w14:ligatures w14:val="none"/>
        </w:rPr>
        <w:t>Overall Response Figures</w:t>
      </w:r>
    </w:p>
    <w:p w14:paraId="028C59A9" w14:textId="77777777" w:rsidR="00FA1574" w:rsidRPr="00FA1574" w:rsidRDefault="00FA1574" w:rsidP="00FA1574">
      <w:pPr>
        <w:spacing w:after="160" w:line="259" w:lineRule="auto"/>
        <w:rPr>
          <w:rFonts w:ascii="Arial" w:hAnsi="Arial" w:cs="Arial"/>
          <w:b/>
          <w:bCs/>
          <w:color w:val="auto"/>
          <w:kern w:val="0"/>
          <w14:ligatures w14:val="none"/>
        </w:rPr>
      </w:pPr>
      <w:r w:rsidRPr="00FA1574">
        <w:rPr>
          <w:rFonts w:ascii="Arial" w:hAnsi="Arial" w:cs="Arial"/>
          <w:b/>
          <w:bCs/>
          <w:color w:val="auto"/>
          <w:kern w:val="0"/>
          <w14:ligatures w14:val="none"/>
        </w:rPr>
        <w:t>Total Responses</w:t>
      </w:r>
    </w:p>
    <w:tbl>
      <w:tblPr>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1143"/>
        <w:gridCol w:w="1134"/>
        <w:gridCol w:w="1417"/>
      </w:tblGrid>
      <w:tr w:rsidR="00FA1574" w:rsidRPr="00FA1574" w14:paraId="47E92599" w14:textId="77777777" w:rsidTr="00F5532B">
        <w:trPr>
          <w:trHeight w:val="263"/>
        </w:trPr>
        <w:tc>
          <w:tcPr>
            <w:tcW w:w="2680" w:type="dxa"/>
            <w:shd w:val="clear" w:color="auto" w:fill="auto"/>
            <w:noWrap/>
            <w:vAlign w:val="bottom"/>
            <w:hideMark/>
          </w:tcPr>
          <w:p w14:paraId="5D5859EC" w14:textId="77777777" w:rsidR="00FA1574" w:rsidRPr="00FA1574" w:rsidRDefault="00FA1574" w:rsidP="00FA1574">
            <w:pPr>
              <w:rPr>
                <w:rFonts w:asciiTheme="minorHAnsi" w:eastAsia="Times New Roman" w:hAnsiTheme="minorHAnsi" w:cstheme="minorHAnsi"/>
                <w:color w:val="auto"/>
                <w:kern w:val="0"/>
                <w:sz w:val="22"/>
                <w:szCs w:val="22"/>
                <w:lang w:eastAsia="en-GB"/>
                <w14:ligatures w14:val="none"/>
              </w:rPr>
            </w:pPr>
          </w:p>
        </w:tc>
        <w:tc>
          <w:tcPr>
            <w:tcW w:w="1143" w:type="dxa"/>
            <w:shd w:val="clear" w:color="auto" w:fill="auto"/>
            <w:noWrap/>
            <w:vAlign w:val="bottom"/>
            <w:hideMark/>
          </w:tcPr>
          <w:p w14:paraId="217E8F0D" w14:textId="77777777" w:rsidR="00FA1574" w:rsidRPr="00FA1574" w:rsidRDefault="00FA1574" w:rsidP="00FA1574">
            <w:pPr>
              <w:rPr>
                <w:rFonts w:asciiTheme="minorHAnsi" w:eastAsia="Times New Roman" w:hAnsiTheme="minorHAnsi" w:cstheme="minorHAnsi"/>
                <w:b/>
                <w:bCs/>
                <w:color w:val="000000"/>
                <w:kern w:val="0"/>
                <w:sz w:val="22"/>
                <w:szCs w:val="22"/>
                <w:lang w:eastAsia="en-GB"/>
                <w14:ligatures w14:val="none"/>
              </w:rPr>
            </w:pPr>
            <w:r w:rsidRPr="00FA1574">
              <w:rPr>
                <w:rFonts w:asciiTheme="minorHAnsi" w:eastAsia="Times New Roman" w:hAnsiTheme="minorHAnsi" w:cstheme="minorHAnsi"/>
                <w:b/>
                <w:bCs/>
                <w:color w:val="000000"/>
                <w:kern w:val="0"/>
                <w:sz w:val="22"/>
                <w:szCs w:val="22"/>
                <w:lang w:eastAsia="en-GB"/>
                <w14:ligatures w14:val="none"/>
              </w:rPr>
              <w:t>2018</w:t>
            </w:r>
          </w:p>
        </w:tc>
        <w:tc>
          <w:tcPr>
            <w:tcW w:w="1134" w:type="dxa"/>
            <w:shd w:val="clear" w:color="auto" w:fill="auto"/>
            <w:noWrap/>
            <w:vAlign w:val="bottom"/>
            <w:hideMark/>
          </w:tcPr>
          <w:p w14:paraId="0F42A7D0" w14:textId="77777777" w:rsidR="00FA1574" w:rsidRPr="00FA1574" w:rsidRDefault="00FA1574" w:rsidP="00FA1574">
            <w:pPr>
              <w:rPr>
                <w:rFonts w:asciiTheme="minorHAnsi" w:eastAsia="Times New Roman" w:hAnsiTheme="minorHAnsi" w:cstheme="minorHAnsi"/>
                <w:b/>
                <w:bCs/>
                <w:color w:val="000000"/>
                <w:kern w:val="0"/>
                <w:sz w:val="22"/>
                <w:szCs w:val="22"/>
                <w:lang w:eastAsia="en-GB"/>
                <w14:ligatures w14:val="none"/>
              </w:rPr>
            </w:pPr>
            <w:r w:rsidRPr="00FA1574">
              <w:rPr>
                <w:rFonts w:asciiTheme="minorHAnsi" w:eastAsia="Times New Roman" w:hAnsiTheme="minorHAnsi" w:cstheme="minorHAnsi"/>
                <w:b/>
                <w:bCs/>
                <w:color w:val="000000"/>
                <w:kern w:val="0"/>
                <w:sz w:val="22"/>
                <w:szCs w:val="22"/>
                <w:lang w:eastAsia="en-GB"/>
                <w14:ligatures w14:val="none"/>
              </w:rPr>
              <w:t>2021</w:t>
            </w:r>
          </w:p>
        </w:tc>
        <w:tc>
          <w:tcPr>
            <w:tcW w:w="1417" w:type="dxa"/>
            <w:shd w:val="clear" w:color="auto" w:fill="E2EFD9" w:themeFill="accent6" w:themeFillTint="33"/>
            <w:noWrap/>
            <w:vAlign w:val="bottom"/>
            <w:hideMark/>
          </w:tcPr>
          <w:p w14:paraId="0B2C91FC" w14:textId="77777777" w:rsidR="00FA1574" w:rsidRPr="00FA1574" w:rsidRDefault="00FA1574" w:rsidP="00FA1574">
            <w:pPr>
              <w:rPr>
                <w:rFonts w:asciiTheme="minorHAnsi" w:eastAsia="Times New Roman" w:hAnsiTheme="minorHAnsi" w:cstheme="minorHAnsi"/>
                <w:b/>
                <w:bCs/>
                <w:color w:val="000000"/>
                <w:kern w:val="0"/>
                <w:sz w:val="22"/>
                <w:szCs w:val="22"/>
                <w:lang w:eastAsia="en-GB"/>
                <w14:ligatures w14:val="none"/>
              </w:rPr>
            </w:pPr>
            <w:r w:rsidRPr="00FA1574">
              <w:rPr>
                <w:rFonts w:asciiTheme="minorHAnsi" w:eastAsia="Times New Roman" w:hAnsiTheme="minorHAnsi" w:cstheme="minorHAnsi"/>
                <w:b/>
                <w:bCs/>
                <w:color w:val="000000"/>
                <w:kern w:val="0"/>
                <w:sz w:val="22"/>
                <w:szCs w:val="22"/>
                <w:lang w:eastAsia="en-GB"/>
                <w14:ligatures w14:val="none"/>
              </w:rPr>
              <w:t>2024</w:t>
            </w:r>
          </w:p>
        </w:tc>
      </w:tr>
      <w:tr w:rsidR="00FA1574" w:rsidRPr="00FA1574" w14:paraId="19211378" w14:textId="77777777" w:rsidTr="00F5532B">
        <w:trPr>
          <w:trHeight w:val="263"/>
        </w:trPr>
        <w:tc>
          <w:tcPr>
            <w:tcW w:w="2680" w:type="dxa"/>
            <w:shd w:val="clear" w:color="auto" w:fill="auto"/>
            <w:noWrap/>
            <w:vAlign w:val="bottom"/>
            <w:hideMark/>
          </w:tcPr>
          <w:p w14:paraId="56542922" w14:textId="77777777" w:rsidR="00FA1574" w:rsidRPr="00FA1574" w:rsidRDefault="00FA1574" w:rsidP="00FA1574">
            <w:pPr>
              <w:rPr>
                <w:rFonts w:asciiTheme="minorHAnsi" w:eastAsia="Times New Roman" w:hAnsiTheme="minorHAnsi" w:cstheme="minorHAnsi"/>
                <w:b/>
                <w:bCs/>
                <w:color w:val="000000"/>
                <w:kern w:val="0"/>
                <w:sz w:val="22"/>
                <w:szCs w:val="22"/>
                <w:lang w:eastAsia="en-GB"/>
                <w14:ligatures w14:val="none"/>
              </w:rPr>
            </w:pPr>
            <w:r w:rsidRPr="00FA1574">
              <w:rPr>
                <w:rFonts w:asciiTheme="minorHAnsi" w:eastAsia="Times New Roman" w:hAnsiTheme="minorHAnsi" w:cstheme="minorHAnsi"/>
                <w:b/>
                <w:bCs/>
                <w:color w:val="000000"/>
                <w:kern w:val="0"/>
                <w:sz w:val="22"/>
                <w:szCs w:val="22"/>
                <w:lang w:eastAsia="en-GB"/>
                <w14:ligatures w14:val="none"/>
              </w:rPr>
              <w:t>Survey Responses</w:t>
            </w:r>
          </w:p>
        </w:tc>
        <w:tc>
          <w:tcPr>
            <w:tcW w:w="1143" w:type="dxa"/>
            <w:shd w:val="clear" w:color="auto" w:fill="auto"/>
            <w:noWrap/>
            <w:vAlign w:val="bottom"/>
            <w:hideMark/>
          </w:tcPr>
          <w:p w14:paraId="75BAF349" w14:textId="77777777" w:rsidR="00FA1574" w:rsidRPr="00FA1574" w:rsidRDefault="00FA1574" w:rsidP="00FA1574">
            <w:pPr>
              <w:rPr>
                <w:rFonts w:asciiTheme="minorHAnsi" w:eastAsia="Times New Roman" w:hAnsiTheme="minorHAnsi" w:cstheme="minorHAnsi"/>
                <w:color w:val="000000"/>
                <w:kern w:val="0"/>
                <w:sz w:val="22"/>
                <w:szCs w:val="22"/>
                <w:lang w:eastAsia="en-GB"/>
                <w14:ligatures w14:val="none"/>
              </w:rPr>
            </w:pPr>
            <w:r w:rsidRPr="00FA1574">
              <w:rPr>
                <w:rFonts w:asciiTheme="minorHAnsi" w:eastAsia="Times New Roman" w:hAnsiTheme="minorHAnsi" w:cstheme="minorHAnsi"/>
                <w:color w:val="000000"/>
                <w:kern w:val="0"/>
                <w:sz w:val="22"/>
                <w:szCs w:val="22"/>
                <w:lang w:eastAsia="en-GB"/>
                <w14:ligatures w14:val="none"/>
              </w:rPr>
              <w:t>277</w:t>
            </w:r>
          </w:p>
        </w:tc>
        <w:tc>
          <w:tcPr>
            <w:tcW w:w="1134" w:type="dxa"/>
            <w:shd w:val="clear" w:color="auto" w:fill="auto"/>
            <w:noWrap/>
            <w:vAlign w:val="bottom"/>
            <w:hideMark/>
          </w:tcPr>
          <w:p w14:paraId="201433FA" w14:textId="77777777" w:rsidR="00FA1574" w:rsidRPr="00FA1574" w:rsidRDefault="00FA1574" w:rsidP="00FA1574">
            <w:pPr>
              <w:rPr>
                <w:rFonts w:asciiTheme="minorHAnsi" w:eastAsia="Times New Roman" w:hAnsiTheme="minorHAnsi" w:cstheme="minorHAnsi"/>
                <w:color w:val="000000"/>
                <w:kern w:val="0"/>
                <w:sz w:val="22"/>
                <w:szCs w:val="22"/>
                <w:lang w:eastAsia="en-GB"/>
                <w14:ligatures w14:val="none"/>
              </w:rPr>
            </w:pPr>
            <w:r w:rsidRPr="00FA1574">
              <w:rPr>
                <w:rFonts w:asciiTheme="minorHAnsi" w:eastAsia="Times New Roman" w:hAnsiTheme="minorHAnsi" w:cstheme="minorHAnsi"/>
                <w:color w:val="000000"/>
                <w:kern w:val="0"/>
                <w:sz w:val="22"/>
                <w:szCs w:val="22"/>
                <w:lang w:eastAsia="en-GB"/>
                <w14:ligatures w14:val="none"/>
              </w:rPr>
              <w:t>98</w:t>
            </w:r>
          </w:p>
        </w:tc>
        <w:tc>
          <w:tcPr>
            <w:tcW w:w="1417" w:type="dxa"/>
            <w:shd w:val="clear" w:color="auto" w:fill="E2EFD9" w:themeFill="accent6" w:themeFillTint="33"/>
            <w:noWrap/>
            <w:vAlign w:val="bottom"/>
            <w:hideMark/>
          </w:tcPr>
          <w:p w14:paraId="421ACC6C" w14:textId="77777777" w:rsidR="00FA1574" w:rsidRPr="00FA1574" w:rsidRDefault="00FA1574" w:rsidP="00FA1574">
            <w:pPr>
              <w:rPr>
                <w:rFonts w:asciiTheme="minorHAnsi" w:eastAsia="Times New Roman" w:hAnsiTheme="minorHAnsi" w:cstheme="minorHAnsi"/>
                <w:color w:val="000000"/>
                <w:kern w:val="0"/>
                <w:sz w:val="22"/>
                <w:szCs w:val="22"/>
                <w:lang w:eastAsia="en-GB"/>
                <w14:ligatures w14:val="none"/>
              </w:rPr>
            </w:pPr>
            <w:r w:rsidRPr="00FA1574">
              <w:rPr>
                <w:rFonts w:asciiTheme="minorHAnsi" w:eastAsia="Times New Roman" w:hAnsiTheme="minorHAnsi" w:cstheme="minorHAnsi"/>
                <w:color w:val="000000"/>
                <w:kern w:val="0"/>
                <w:sz w:val="22"/>
                <w:szCs w:val="22"/>
                <w:lang w:eastAsia="en-GB"/>
                <w14:ligatures w14:val="none"/>
              </w:rPr>
              <w:t>645</w:t>
            </w:r>
          </w:p>
        </w:tc>
      </w:tr>
      <w:tr w:rsidR="00FA1574" w:rsidRPr="00FA1574" w14:paraId="084FD096" w14:textId="77777777" w:rsidTr="00F5532B">
        <w:trPr>
          <w:trHeight w:val="263"/>
        </w:trPr>
        <w:tc>
          <w:tcPr>
            <w:tcW w:w="2680" w:type="dxa"/>
            <w:shd w:val="clear" w:color="auto" w:fill="auto"/>
            <w:noWrap/>
            <w:vAlign w:val="bottom"/>
          </w:tcPr>
          <w:p w14:paraId="24F499F8" w14:textId="77777777" w:rsidR="00FA1574" w:rsidRPr="00FA1574" w:rsidRDefault="00FA1574" w:rsidP="00FA1574">
            <w:pPr>
              <w:rPr>
                <w:rFonts w:asciiTheme="minorHAnsi" w:eastAsia="Times New Roman" w:hAnsiTheme="minorHAnsi" w:cstheme="minorHAnsi"/>
                <w:b/>
                <w:bCs/>
                <w:color w:val="000000"/>
                <w:kern w:val="0"/>
                <w:sz w:val="22"/>
                <w:szCs w:val="22"/>
                <w:lang w:eastAsia="en-GB"/>
                <w14:ligatures w14:val="none"/>
              </w:rPr>
            </w:pPr>
            <w:r w:rsidRPr="00FA1574">
              <w:rPr>
                <w:rFonts w:asciiTheme="minorHAnsi" w:eastAsia="Times New Roman" w:hAnsiTheme="minorHAnsi" w:cstheme="minorHAnsi"/>
                <w:b/>
                <w:bCs/>
                <w:color w:val="000000"/>
                <w:kern w:val="0"/>
                <w:sz w:val="22"/>
                <w:szCs w:val="22"/>
                <w:lang w:eastAsia="en-GB"/>
                <w14:ligatures w14:val="none"/>
              </w:rPr>
              <w:t>Partner Responses</w:t>
            </w:r>
          </w:p>
        </w:tc>
        <w:tc>
          <w:tcPr>
            <w:tcW w:w="1143" w:type="dxa"/>
            <w:shd w:val="clear" w:color="auto" w:fill="auto"/>
            <w:noWrap/>
            <w:vAlign w:val="bottom"/>
          </w:tcPr>
          <w:p w14:paraId="56C37B7C" w14:textId="77777777" w:rsidR="00FA1574" w:rsidRPr="00FA1574" w:rsidRDefault="00FA1574" w:rsidP="00FA1574">
            <w:pPr>
              <w:rPr>
                <w:rFonts w:asciiTheme="minorHAnsi" w:eastAsia="Times New Roman" w:hAnsiTheme="minorHAnsi" w:cstheme="minorHAnsi"/>
                <w:color w:val="000000"/>
                <w:kern w:val="0"/>
                <w:sz w:val="22"/>
                <w:szCs w:val="22"/>
                <w:lang w:eastAsia="en-GB"/>
                <w14:ligatures w14:val="none"/>
              </w:rPr>
            </w:pPr>
          </w:p>
        </w:tc>
        <w:tc>
          <w:tcPr>
            <w:tcW w:w="1134" w:type="dxa"/>
            <w:shd w:val="clear" w:color="auto" w:fill="auto"/>
            <w:noWrap/>
            <w:vAlign w:val="bottom"/>
          </w:tcPr>
          <w:p w14:paraId="24652D53" w14:textId="77777777" w:rsidR="00FA1574" w:rsidRPr="00FA1574" w:rsidRDefault="00FA1574" w:rsidP="00FA1574">
            <w:pPr>
              <w:rPr>
                <w:rFonts w:asciiTheme="minorHAnsi" w:eastAsia="Times New Roman" w:hAnsiTheme="minorHAnsi" w:cstheme="minorHAnsi"/>
                <w:color w:val="000000"/>
                <w:kern w:val="0"/>
                <w:sz w:val="22"/>
                <w:szCs w:val="22"/>
                <w:lang w:eastAsia="en-GB"/>
                <w14:ligatures w14:val="none"/>
              </w:rPr>
            </w:pPr>
          </w:p>
        </w:tc>
        <w:tc>
          <w:tcPr>
            <w:tcW w:w="1417" w:type="dxa"/>
            <w:shd w:val="clear" w:color="auto" w:fill="E2EFD9" w:themeFill="accent6" w:themeFillTint="33"/>
            <w:noWrap/>
            <w:vAlign w:val="bottom"/>
          </w:tcPr>
          <w:p w14:paraId="5888847F" w14:textId="77777777" w:rsidR="00FA1574" w:rsidRPr="00FA1574" w:rsidRDefault="00FA1574" w:rsidP="00FA1574">
            <w:pPr>
              <w:rPr>
                <w:rFonts w:asciiTheme="minorHAnsi" w:eastAsia="Times New Roman" w:hAnsiTheme="minorHAnsi" w:cstheme="minorHAnsi"/>
                <w:color w:val="000000"/>
                <w:kern w:val="0"/>
                <w:sz w:val="22"/>
                <w:szCs w:val="22"/>
                <w:lang w:eastAsia="en-GB"/>
                <w14:ligatures w14:val="none"/>
              </w:rPr>
            </w:pPr>
            <w:r w:rsidRPr="00FA1574">
              <w:rPr>
                <w:rFonts w:asciiTheme="minorHAnsi" w:eastAsia="Times New Roman" w:hAnsiTheme="minorHAnsi" w:cstheme="minorHAnsi"/>
                <w:color w:val="000000"/>
                <w:kern w:val="0"/>
                <w:sz w:val="22"/>
                <w:szCs w:val="22"/>
                <w:lang w:eastAsia="en-GB"/>
                <w14:ligatures w14:val="none"/>
              </w:rPr>
              <w:t>35</w:t>
            </w:r>
          </w:p>
        </w:tc>
      </w:tr>
      <w:tr w:rsidR="00FA1574" w:rsidRPr="00FA1574" w14:paraId="2BD83E14" w14:textId="77777777" w:rsidTr="00F5532B">
        <w:trPr>
          <w:trHeight w:val="263"/>
        </w:trPr>
        <w:tc>
          <w:tcPr>
            <w:tcW w:w="2680" w:type="dxa"/>
            <w:shd w:val="clear" w:color="auto" w:fill="auto"/>
            <w:noWrap/>
            <w:vAlign w:val="bottom"/>
            <w:hideMark/>
          </w:tcPr>
          <w:p w14:paraId="7901B2CD" w14:textId="77777777" w:rsidR="00FA1574" w:rsidRPr="00FA1574" w:rsidRDefault="00FA1574" w:rsidP="00FA1574">
            <w:pPr>
              <w:rPr>
                <w:rFonts w:asciiTheme="minorHAnsi" w:eastAsia="Times New Roman" w:hAnsiTheme="minorHAnsi" w:cstheme="minorHAnsi"/>
                <w:b/>
                <w:bCs/>
                <w:color w:val="000000"/>
                <w:kern w:val="0"/>
                <w:sz w:val="22"/>
                <w:szCs w:val="22"/>
                <w:lang w:eastAsia="en-GB"/>
                <w14:ligatures w14:val="none"/>
              </w:rPr>
            </w:pPr>
            <w:r w:rsidRPr="00FA1574">
              <w:rPr>
                <w:rFonts w:asciiTheme="minorHAnsi" w:eastAsia="Times New Roman" w:hAnsiTheme="minorHAnsi" w:cstheme="minorHAnsi"/>
                <w:b/>
                <w:bCs/>
                <w:color w:val="000000"/>
                <w:kern w:val="0"/>
                <w:sz w:val="22"/>
                <w:szCs w:val="22"/>
                <w:lang w:eastAsia="en-GB"/>
                <w14:ligatures w14:val="none"/>
              </w:rPr>
              <w:t>Employee Responses</w:t>
            </w:r>
          </w:p>
        </w:tc>
        <w:tc>
          <w:tcPr>
            <w:tcW w:w="1143" w:type="dxa"/>
            <w:shd w:val="clear" w:color="auto" w:fill="auto"/>
            <w:noWrap/>
            <w:vAlign w:val="bottom"/>
            <w:hideMark/>
          </w:tcPr>
          <w:p w14:paraId="51355809" w14:textId="77777777" w:rsidR="00FA1574" w:rsidRPr="00FA1574" w:rsidRDefault="00FA1574" w:rsidP="00FA1574">
            <w:pPr>
              <w:rPr>
                <w:rFonts w:asciiTheme="minorHAnsi" w:eastAsia="Times New Roman" w:hAnsiTheme="minorHAnsi" w:cstheme="minorHAnsi"/>
                <w:color w:val="000000"/>
                <w:kern w:val="0"/>
                <w:sz w:val="22"/>
                <w:szCs w:val="22"/>
                <w:lang w:eastAsia="en-GB"/>
                <w14:ligatures w14:val="none"/>
              </w:rPr>
            </w:pPr>
            <w:r w:rsidRPr="00FA1574">
              <w:rPr>
                <w:rFonts w:asciiTheme="minorHAnsi" w:eastAsia="Times New Roman" w:hAnsiTheme="minorHAnsi" w:cstheme="minorHAnsi"/>
                <w:color w:val="000000"/>
                <w:kern w:val="0"/>
                <w:sz w:val="22"/>
                <w:szCs w:val="22"/>
                <w:lang w:eastAsia="en-GB"/>
                <w14:ligatures w14:val="none"/>
              </w:rPr>
              <w:t>49</w:t>
            </w:r>
          </w:p>
        </w:tc>
        <w:tc>
          <w:tcPr>
            <w:tcW w:w="1134" w:type="dxa"/>
            <w:shd w:val="clear" w:color="auto" w:fill="auto"/>
            <w:noWrap/>
            <w:vAlign w:val="bottom"/>
            <w:hideMark/>
          </w:tcPr>
          <w:p w14:paraId="067F2AF6" w14:textId="77777777" w:rsidR="00FA1574" w:rsidRPr="00FA1574" w:rsidRDefault="00FA1574" w:rsidP="00FA1574">
            <w:pPr>
              <w:rPr>
                <w:rFonts w:asciiTheme="minorHAnsi" w:eastAsia="Times New Roman" w:hAnsiTheme="minorHAnsi" w:cstheme="minorHAnsi"/>
                <w:color w:val="000000"/>
                <w:kern w:val="0"/>
                <w:sz w:val="22"/>
                <w:szCs w:val="22"/>
                <w:lang w:eastAsia="en-GB"/>
                <w14:ligatures w14:val="none"/>
              </w:rPr>
            </w:pPr>
            <w:r w:rsidRPr="00FA1574">
              <w:rPr>
                <w:rFonts w:asciiTheme="minorHAnsi" w:eastAsia="Times New Roman" w:hAnsiTheme="minorHAnsi" w:cstheme="minorHAnsi"/>
                <w:color w:val="000000"/>
                <w:kern w:val="0"/>
                <w:sz w:val="22"/>
                <w:szCs w:val="22"/>
                <w:lang w:eastAsia="en-GB"/>
                <w14:ligatures w14:val="none"/>
              </w:rPr>
              <w:t>26</w:t>
            </w:r>
          </w:p>
        </w:tc>
        <w:tc>
          <w:tcPr>
            <w:tcW w:w="1417" w:type="dxa"/>
            <w:shd w:val="clear" w:color="auto" w:fill="E2EFD9" w:themeFill="accent6" w:themeFillTint="33"/>
            <w:noWrap/>
            <w:vAlign w:val="bottom"/>
            <w:hideMark/>
          </w:tcPr>
          <w:p w14:paraId="579FE31A" w14:textId="77777777" w:rsidR="00FA1574" w:rsidRPr="00FA1574" w:rsidRDefault="00FA1574" w:rsidP="00FA1574">
            <w:pPr>
              <w:rPr>
                <w:rFonts w:asciiTheme="minorHAnsi" w:eastAsia="Times New Roman" w:hAnsiTheme="minorHAnsi" w:cstheme="minorHAnsi"/>
                <w:color w:val="000000"/>
                <w:kern w:val="0"/>
                <w:sz w:val="22"/>
                <w:szCs w:val="22"/>
                <w:lang w:eastAsia="en-GB"/>
                <w14:ligatures w14:val="none"/>
              </w:rPr>
            </w:pPr>
            <w:r w:rsidRPr="00FA1574">
              <w:rPr>
                <w:rFonts w:asciiTheme="minorHAnsi" w:eastAsia="Times New Roman" w:hAnsiTheme="minorHAnsi" w:cstheme="minorHAnsi"/>
                <w:color w:val="000000"/>
                <w:kern w:val="0"/>
                <w:sz w:val="22"/>
                <w:szCs w:val="22"/>
                <w:lang w:eastAsia="en-GB"/>
                <w14:ligatures w14:val="none"/>
              </w:rPr>
              <w:t>157</w:t>
            </w:r>
          </w:p>
        </w:tc>
      </w:tr>
      <w:tr w:rsidR="00FA1574" w:rsidRPr="00FA1574" w14:paraId="148D00DC" w14:textId="77777777" w:rsidTr="00F5532B">
        <w:trPr>
          <w:trHeight w:val="263"/>
        </w:trPr>
        <w:tc>
          <w:tcPr>
            <w:tcW w:w="2680" w:type="dxa"/>
            <w:shd w:val="clear" w:color="auto" w:fill="auto"/>
            <w:noWrap/>
            <w:vAlign w:val="bottom"/>
            <w:hideMark/>
          </w:tcPr>
          <w:p w14:paraId="21D252BE" w14:textId="77777777" w:rsidR="00FA1574" w:rsidRPr="00FA1574" w:rsidRDefault="00FA1574" w:rsidP="00FA1574">
            <w:pPr>
              <w:rPr>
                <w:rFonts w:asciiTheme="minorHAnsi" w:eastAsia="Times New Roman" w:hAnsiTheme="minorHAnsi" w:cstheme="minorHAnsi"/>
                <w:b/>
                <w:bCs/>
                <w:color w:val="000000"/>
                <w:kern w:val="0"/>
                <w:sz w:val="22"/>
                <w:szCs w:val="22"/>
                <w:lang w:eastAsia="en-GB"/>
                <w14:ligatures w14:val="none"/>
              </w:rPr>
            </w:pPr>
            <w:r w:rsidRPr="00FA1574">
              <w:rPr>
                <w:rFonts w:asciiTheme="minorHAnsi" w:eastAsia="Times New Roman" w:hAnsiTheme="minorHAnsi" w:cstheme="minorHAnsi"/>
                <w:b/>
                <w:bCs/>
                <w:color w:val="000000"/>
                <w:kern w:val="0"/>
                <w:sz w:val="22"/>
                <w:szCs w:val="22"/>
                <w:lang w:eastAsia="en-GB"/>
                <w14:ligatures w14:val="none"/>
              </w:rPr>
              <w:t>Focus Group Attendees</w:t>
            </w:r>
          </w:p>
        </w:tc>
        <w:tc>
          <w:tcPr>
            <w:tcW w:w="1143" w:type="dxa"/>
            <w:shd w:val="clear" w:color="auto" w:fill="auto"/>
            <w:noWrap/>
            <w:vAlign w:val="bottom"/>
            <w:hideMark/>
          </w:tcPr>
          <w:p w14:paraId="1CBD15D2" w14:textId="77777777" w:rsidR="00FA1574" w:rsidRPr="00FA1574" w:rsidRDefault="00FA1574" w:rsidP="00FA1574">
            <w:pPr>
              <w:rPr>
                <w:rFonts w:asciiTheme="minorHAnsi" w:eastAsia="Times New Roman" w:hAnsiTheme="minorHAnsi" w:cstheme="minorHAnsi"/>
                <w:color w:val="000000"/>
                <w:kern w:val="0"/>
                <w:sz w:val="22"/>
                <w:szCs w:val="22"/>
                <w:lang w:eastAsia="en-GB"/>
                <w14:ligatures w14:val="none"/>
              </w:rPr>
            </w:pPr>
            <w:r w:rsidRPr="00FA1574">
              <w:rPr>
                <w:rFonts w:asciiTheme="minorHAnsi" w:eastAsia="Times New Roman" w:hAnsiTheme="minorHAnsi" w:cstheme="minorHAnsi"/>
                <w:color w:val="000000"/>
                <w:kern w:val="0"/>
                <w:sz w:val="22"/>
                <w:szCs w:val="22"/>
                <w:lang w:eastAsia="en-GB"/>
                <w14:ligatures w14:val="none"/>
              </w:rPr>
              <w:t>43</w:t>
            </w:r>
          </w:p>
        </w:tc>
        <w:tc>
          <w:tcPr>
            <w:tcW w:w="1134" w:type="dxa"/>
            <w:shd w:val="clear" w:color="auto" w:fill="auto"/>
            <w:noWrap/>
            <w:vAlign w:val="bottom"/>
            <w:hideMark/>
          </w:tcPr>
          <w:p w14:paraId="1CFAE81E" w14:textId="77777777" w:rsidR="00FA1574" w:rsidRPr="00FA1574" w:rsidRDefault="00FA1574" w:rsidP="00FA1574">
            <w:pPr>
              <w:rPr>
                <w:rFonts w:asciiTheme="minorHAnsi" w:eastAsia="Times New Roman" w:hAnsiTheme="minorHAnsi" w:cstheme="minorHAnsi"/>
                <w:color w:val="000000"/>
                <w:kern w:val="0"/>
                <w:sz w:val="22"/>
                <w:szCs w:val="22"/>
                <w:lang w:eastAsia="en-GB"/>
                <w14:ligatures w14:val="none"/>
              </w:rPr>
            </w:pPr>
            <w:r w:rsidRPr="00FA1574">
              <w:rPr>
                <w:rFonts w:asciiTheme="minorHAnsi" w:eastAsia="Times New Roman" w:hAnsiTheme="minorHAnsi" w:cstheme="minorHAnsi"/>
                <w:color w:val="000000"/>
                <w:kern w:val="0"/>
                <w:sz w:val="22"/>
                <w:szCs w:val="22"/>
                <w:lang w:eastAsia="en-GB"/>
                <w14:ligatures w14:val="none"/>
              </w:rPr>
              <w:t>38</w:t>
            </w:r>
          </w:p>
        </w:tc>
        <w:tc>
          <w:tcPr>
            <w:tcW w:w="1417" w:type="dxa"/>
            <w:shd w:val="clear" w:color="auto" w:fill="E2EFD9" w:themeFill="accent6" w:themeFillTint="33"/>
            <w:noWrap/>
            <w:vAlign w:val="bottom"/>
            <w:hideMark/>
          </w:tcPr>
          <w:p w14:paraId="60A77DAB" w14:textId="77777777" w:rsidR="00FA1574" w:rsidRPr="00FA1574" w:rsidRDefault="00FA1574" w:rsidP="00FA1574">
            <w:pPr>
              <w:rPr>
                <w:rFonts w:asciiTheme="minorHAnsi" w:eastAsia="Times New Roman" w:hAnsiTheme="minorHAnsi" w:cstheme="minorHAnsi"/>
                <w:color w:val="000000"/>
                <w:kern w:val="0"/>
                <w:sz w:val="22"/>
                <w:szCs w:val="22"/>
                <w:lang w:eastAsia="en-GB"/>
                <w14:ligatures w14:val="none"/>
              </w:rPr>
            </w:pPr>
            <w:r w:rsidRPr="00FA1574">
              <w:rPr>
                <w:rFonts w:asciiTheme="minorHAnsi" w:eastAsia="Times New Roman" w:hAnsiTheme="minorHAnsi" w:cstheme="minorHAnsi"/>
                <w:color w:val="000000"/>
                <w:kern w:val="0"/>
                <w:sz w:val="22"/>
                <w:szCs w:val="22"/>
                <w:lang w:eastAsia="en-GB"/>
                <w14:ligatures w14:val="none"/>
              </w:rPr>
              <w:t>78</w:t>
            </w:r>
          </w:p>
        </w:tc>
      </w:tr>
    </w:tbl>
    <w:p w14:paraId="0066B571" w14:textId="77777777" w:rsidR="00FA1574" w:rsidRPr="00FA1574" w:rsidRDefault="00FA1574" w:rsidP="00FA1574">
      <w:pPr>
        <w:rPr>
          <w:rFonts w:asciiTheme="minorHAnsi" w:hAnsiTheme="minorHAnsi" w:cstheme="minorBidi"/>
          <w:color w:val="auto"/>
          <w:kern w:val="0"/>
          <w:sz w:val="22"/>
          <w:szCs w:val="22"/>
          <w14:ligatures w14:val="none"/>
        </w:rPr>
      </w:pPr>
    </w:p>
    <w:p w14:paraId="7F4B6865" w14:textId="77777777" w:rsidR="00FA1574" w:rsidRPr="00FA1574" w:rsidRDefault="00FA1574" w:rsidP="00FA1574">
      <w:pPr>
        <w:pBdr>
          <w:bottom w:val="single" w:sz="6" w:space="1" w:color="auto"/>
        </w:pBd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Response rates for this consultation exceeded previous CRMP consultations in all areas.</w:t>
      </w:r>
    </w:p>
    <w:p w14:paraId="0AF0DB50" w14:textId="77777777" w:rsidR="00FA1574" w:rsidRPr="00FA1574" w:rsidRDefault="00FA1574" w:rsidP="00FA1574">
      <w:pPr>
        <w:pBdr>
          <w:bottom w:val="single" w:sz="6" w:space="1" w:color="auto"/>
        </w:pBd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consultation generated 658% more total responses than in 2021 and 233% more responses than in 2018.</w:t>
      </w:r>
    </w:p>
    <w:p w14:paraId="551A4E39" w14:textId="77777777" w:rsidR="00FA1574" w:rsidRPr="00FA1574" w:rsidRDefault="00FA1574" w:rsidP="00FA1574">
      <w:pPr>
        <w:pBdr>
          <w:bottom w:val="single" w:sz="6" w:space="1" w:color="auto"/>
        </w:pBd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Staff responses increased by 604% compared with 2021 and 320% compared with 2018.</w:t>
      </w:r>
    </w:p>
    <w:p w14:paraId="6D37C974" w14:textId="77777777" w:rsidR="00FA1574" w:rsidRPr="00FA1574" w:rsidRDefault="00FA1574" w:rsidP="00FA1574">
      <w:pPr>
        <w:pBdr>
          <w:bottom w:val="single" w:sz="6" w:space="1" w:color="auto"/>
        </w:pBd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More Focus Groups with community members took place, resulting in a 205% increase in participation compared with 2021 and 181% increase compared with 2018.</w:t>
      </w:r>
    </w:p>
    <w:p w14:paraId="103864CC" w14:textId="77777777" w:rsidR="00FA1574" w:rsidRPr="00FA1574" w:rsidRDefault="00FA1574" w:rsidP="00FA1574">
      <w:pPr>
        <w:pBdr>
          <w:bottom w:val="single" w:sz="6" w:space="1" w:color="auto"/>
        </w:pBdr>
        <w:spacing w:after="160" w:line="259" w:lineRule="auto"/>
        <w:rPr>
          <w:rFonts w:ascii="Arial" w:hAnsi="Arial" w:cs="Arial"/>
          <w:color w:val="auto"/>
          <w:kern w:val="0"/>
          <w:sz w:val="22"/>
          <w:szCs w:val="22"/>
          <w14:ligatures w14:val="none"/>
        </w:rPr>
      </w:pPr>
      <w:r w:rsidRPr="00FA1574">
        <w:rPr>
          <w:rFonts w:asciiTheme="minorHAnsi" w:hAnsiTheme="minorHAnsi" w:cstheme="minorBidi"/>
          <w:noProof/>
          <w:color w:val="auto"/>
          <w:kern w:val="0"/>
          <w:sz w:val="22"/>
          <w:szCs w:val="22"/>
          <w14:ligatures w14:val="none"/>
        </w:rPr>
        <w:drawing>
          <wp:inline distT="0" distB="0" distL="0" distR="0" wp14:anchorId="2D28E8EB" wp14:editId="157C56E4">
            <wp:extent cx="4587688" cy="2777659"/>
            <wp:effectExtent l="0" t="0" r="3810" b="3810"/>
            <wp:docPr id="500751220" name="Chart 1">
              <a:extLst xmlns:a="http://schemas.openxmlformats.org/drawingml/2006/main">
                <a:ext uri="{FF2B5EF4-FFF2-40B4-BE49-F238E27FC236}">
                  <a16:creationId xmlns:a16="http://schemas.microsoft.com/office/drawing/2014/main" id="{6CABA7D0-F459-6969-3B0A-905E949BE3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E7FB11C" w14:textId="77777777" w:rsidR="00FA1574" w:rsidRPr="00FA1574" w:rsidRDefault="00FA1574" w:rsidP="00FA1574">
      <w:pPr>
        <w:pBdr>
          <w:bottom w:val="single" w:sz="6" w:space="1" w:color="auto"/>
        </w:pBd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NFRS received multiple ‘critical friend’ responses from other services, providing detailed, in depth, feedback (aligned to the National Framework, NFCC guidance, and HMICFRS expectations).</w:t>
      </w:r>
    </w:p>
    <w:p w14:paraId="63BA788E" w14:textId="77777777" w:rsidR="00FA1574" w:rsidRPr="00FA1574" w:rsidRDefault="00FA1574" w:rsidP="00FA1574">
      <w:pPr>
        <w:pBdr>
          <w:bottom w:val="single" w:sz="6" w:space="1" w:color="auto"/>
        </w:pBd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In addition, 33 partner responses have been received.</w:t>
      </w:r>
    </w:p>
    <w:p w14:paraId="03AFC352" w14:textId="77777777" w:rsidR="00FA1574" w:rsidRPr="00FA1574" w:rsidRDefault="00FA1574" w:rsidP="00FA1574">
      <w:pPr>
        <w:pBdr>
          <w:bottom w:val="single" w:sz="6" w:space="1" w:color="auto"/>
        </w:pBd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Compared with original goals, the response rate from the public and partners exceeded original targets. The response rate from staff is below target but is still significantly increased compared with previous CRMP Consultations.</w:t>
      </w:r>
    </w:p>
    <w:p w14:paraId="08E4CB34" w14:textId="77777777" w:rsidR="00FA1574" w:rsidRPr="00FA1574" w:rsidRDefault="00FA1574" w:rsidP="00FA1574">
      <w:pPr>
        <w:pBdr>
          <w:bottom w:val="single" w:sz="6" w:space="1" w:color="auto"/>
        </w:pBdr>
        <w:spacing w:after="160" w:line="259" w:lineRule="auto"/>
        <w:rPr>
          <w:rFonts w:ascii="Arial" w:hAnsi="Arial" w:cs="Arial"/>
          <w:color w:val="auto"/>
          <w:kern w:val="0"/>
          <w:sz w:val="22"/>
          <w:szCs w:val="22"/>
          <w14:ligatures w14:val="none"/>
        </w:rPr>
      </w:pPr>
    </w:p>
    <w:p w14:paraId="55A95D7E" w14:textId="1D3DC169" w:rsidR="00FA1574" w:rsidRPr="00FA1574" w:rsidRDefault="00FA1574" w:rsidP="00FA1574">
      <w:pPr>
        <w:numPr>
          <w:ilvl w:val="0"/>
          <w:numId w:val="51"/>
        </w:numPr>
        <w:spacing w:after="160" w:line="259" w:lineRule="auto"/>
        <w:rPr>
          <w:rFonts w:ascii="Arial" w:hAnsi="Arial" w:cs="Arial"/>
          <w:b/>
          <w:bCs/>
          <w:color w:val="auto"/>
          <w:kern w:val="0"/>
          <w:sz w:val="32"/>
          <w:szCs w:val="32"/>
          <w14:ligatures w14:val="none"/>
        </w:rPr>
      </w:pPr>
      <w:r w:rsidRPr="00FA1574">
        <w:rPr>
          <w:rFonts w:ascii="Arial" w:hAnsi="Arial" w:cs="Arial"/>
          <w:b/>
          <w:bCs/>
          <w:color w:val="auto"/>
          <w:kern w:val="0"/>
          <w:sz w:val="32"/>
          <w:szCs w:val="32"/>
          <w14:ligatures w14:val="none"/>
        </w:rPr>
        <w:t>Social Media Reach</w:t>
      </w:r>
    </w:p>
    <w:p w14:paraId="5D749864" w14:textId="77777777" w:rsidR="00FA1574" w:rsidRPr="00FA1574" w:rsidRDefault="00FA1574" w:rsidP="00FA1574">
      <w:pPr>
        <w:pBdr>
          <w:bottom w:val="single" w:sz="6" w:space="1" w:color="auto"/>
        </w:pBd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Targeted Facebook Adverts reached 260,000 people, generating 8,900 link clicks.</w:t>
      </w:r>
    </w:p>
    <w:p w14:paraId="5D072A90" w14:textId="77777777" w:rsidR="00FA1574" w:rsidRPr="00FA1574" w:rsidRDefault="00FA1574" w:rsidP="00FA1574">
      <w:pPr>
        <w:pBdr>
          <w:bottom w:val="single" w:sz="6" w:space="1" w:color="auto"/>
        </w:pBd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reach of organic social posts was 30,000 on Facebook and 9,700 on X, making for an organic combined reach on social channels of 39,700.</w:t>
      </w:r>
    </w:p>
    <w:p w14:paraId="76F8C847" w14:textId="77777777" w:rsidR="00FA1574" w:rsidRPr="00FA1574" w:rsidRDefault="00FA1574" w:rsidP="00FA1574">
      <w:pPr>
        <w:pBdr>
          <w:bottom w:val="single" w:sz="6" w:space="1" w:color="auto"/>
        </w:pBd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consultation survey page was viewed 6,500 times by 1,900 users. (30%)</w:t>
      </w:r>
    </w:p>
    <w:p w14:paraId="41283032" w14:textId="77777777" w:rsidR="00FA1574" w:rsidRPr="00FA1574" w:rsidRDefault="00FA1574" w:rsidP="00FA1574">
      <w:pPr>
        <w:pBdr>
          <w:bottom w:val="single" w:sz="6" w:space="1" w:color="auto"/>
        </w:pBd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This reach is within 10% of our reach goal.</w:t>
      </w:r>
    </w:p>
    <w:p w14:paraId="3DCDD74A" w14:textId="77777777" w:rsidR="00FA1574" w:rsidRPr="00FA1574" w:rsidRDefault="00FA1574" w:rsidP="00FA1574">
      <w:pPr>
        <w:pBdr>
          <w:bottom w:val="single" w:sz="6" w:space="1" w:color="auto"/>
        </w:pBdr>
        <w:spacing w:after="160" w:line="259" w:lineRule="auto"/>
        <w:rPr>
          <w:rFonts w:ascii="Arial" w:hAnsi="Arial" w:cs="Arial"/>
          <w:color w:val="auto"/>
          <w:kern w:val="0"/>
          <w:sz w:val="2"/>
          <w:szCs w:val="2"/>
          <w14:ligatures w14:val="none"/>
        </w:rPr>
      </w:pPr>
    </w:p>
    <w:p w14:paraId="1CC905A8" w14:textId="77777777" w:rsidR="00FA1574" w:rsidRDefault="00FA1574" w:rsidP="00FA1574">
      <w:pPr>
        <w:numPr>
          <w:ilvl w:val="0"/>
          <w:numId w:val="51"/>
        </w:numPr>
        <w:spacing w:after="160" w:line="259" w:lineRule="auto"/>
        <w:contextualSpacing/>
        <w:rPr>
          <w:rFonts w:ascii="Arial" w:hAnsi="Arial" w:cs="Arial"/>
          <w:b/>
          <w:color w:val="auto"/>
          <w:kern w:val="0"/>
          <w:sz w:val="32"/>
          <w:szCs w:val="32"/>
          <w14:ligatures w14:val="none"/>
        </w:rPr>
      </w:pPr>
      <w:r w:rsidRPr="00FA1574">
        <w:rPr>
          <w:rFonts w:ascii="Arial" w:hAnsi="Arial" w:cs="Arial"/>
          <w:b/>
          <w:color w:val="auto"/>
          <w:kern w:val="0"/>
          <w:sz w:val="32"/>
          <w:szCs w:val="32"/>
          <w14:ligatures w14:val="none"/>
        </w:rPr>
        <w:t>Budget Spend</w:t>
      </w:r>
    </w:p>
    <w:p w14:paraId="3CD4D46E" w14:textId="77777777" w:rsidR="00A30C20" w:rsidRPr="00FA1574" w:rsidRDefault="00A30C20" w:rsidP="00A30C20">
      <w:pPr>
        <w:spacing w:after="160" w:line="259" w:lineRule="auto"/>
        <w:contextualSpacing/>
        <w:rPr>
          <w:rFonts w:ascii="Arial" w:hAnsi="Arial" w:cs="Arial"/>
          <w:b/>
          <w:color w:val="auto"/>
          <w:kern w:val="0"/>
          <w:sz w:val="32"/>
          <w:szCs w:val="32"/>
          <w14:ligatures w14:val="none"/>
        </w:rPr>
      </w:pPr>
    </w:p>
    <w:p w14:paraId="66EAB45A"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total cost of the Consultation was £6,342, broken down as follows:</w:t>
      </w:r>
    </w:p>
    <w:p w14:paraId="5515D4FC" w14:textId="77777777" w:rsidR="00FA1574" w:rsidRPr="00FA1574" w:rsidRDefault="00FA1574" w:rsidP="00A30C20">
      <w:pPr>
        <w:numPr>
          <w:ilvl w:val="0"/>
          <w:numId w:val="27"/>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Leaflet production &amp; printing: £750</w:t>
      </w:r>
    </w:p>
    <w:p w14:paraId="41989DCA" w14:textId="77777777" w:rsidR="00FA1574" w:rsidRPr="00FA1574" w:rsidRDefault="00FA1574" w:rsidP="00A30C20">
      <w:pPr>
        <w:numPr>
          <w:ilvl w:val="0"/>
          <w:numId w:val="27"/>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Facebook advertising: £2,162</w:t>
      </w:r>
    </w:p>
    <w:p w14:paraId="16EA2AD9" w14:textId="77777777" w:rsidR="00FA1574" w:rsidRPr="00FA1574" w:rsidRDefault="00FA1574" w:rsidP="00A30C20">
      <w:pPr>
        <w:numPr>
          <w:ilvl w:val="0"/>
          <w:numId w:val="27"/>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Videography: £990</w:t>
      </w:r>
    </w:p>
    <w:p w14:paraId="307A7FDB" w14:textId="77777777" w:rsidR="00FA1574" w:rsidRPr="00FA1574" w:rsidRDefault="00FA1574" w:rsidP="00A30C20">
      <w:pPr>
        <w:numPr>
          <w:ilvl w:val="0"/>
          <w:numId w:val="27"/>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Focus Group attendees’ vouchers: £2,340</w:t>
      </w:r>
    </w:p>
    <w:p w14:paraId="6687B0CD" w14:textId="77777777" w:rsidR="00FA1574" w:rsidRPr="00FA1574" w:rsidRDefault="00FA1574" w:rsidP="00A30C20">
      <w:pPr>
        <w:numPr>
          <w:ilvl w:val="0"/>
          <w:numId w:val="27"/>
        </w:numPr>
        <w:spacing w:line="259" w:lineRule="auto"/>
        <w:ind w:left="714"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Voucher for winning survey participant: £100</w:t>
      </w:r>
    </w:p>
    <w:p w14:paraId="7E9683CF" w14:textId="77777777" w:rsidR="00FA1574" w:rsidRPr="00FA1574" w:rsidRDefault="00FA1574" w:rsidP="00FA1574">
      <w:pPr>
        <w:rPr>
          <w:rFonts w:ascii="Arial" w:hAnsi="Arial" w:cs="Arial"/>
          <w:color w:val="auto"/>
          <w:kern w:val="0"/>
          <w:sz w:val="20"/>
          <w:szCs w:val="20"/>
          <w14:ligatures w14:val="none"/>
        </w:rPr>
      </w:pPr>
    </w:p>
    <w:p w14:paraId="6F4B8625"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This expenditure represents a significant saving on previous consultations and is a lower figure than our originally projected spend. </w:t>
      </w:r>
    </w:p>
    <w:p w14:paraId="3F6633A6" w14:textId="77777777" w:rsidR="00FA1574" w:rsidRPr="00FA1574" w:rsidRDefault="00FA1574" w:rsidP="00FA1574">
      <w:pPr>
        <w:pBdr>
          <w:bottom w:val="single" w:sz="6" w:space="1" w:color="auto"/>
        </w:pBdr>
        <w:spacing w:after="160" w:line="259" w:lineRule="auto"/>
        <w:rPr>
          <w:rFonts w:ascii="Arial" w:hAnsi="Arial" w:cs="Arial"/>
          <w:b/>
          <w:bCs/>
          <w:color w:val="auto"/>
          <w:kern w:val="0"/>
          <w:sz w:val="12"/>
          <w:szCs w:val="12"/>
          <w14:ligatures w14:val="none"/>
        </w:rPr>
      </w:pPr>
    </w:p>
    <w:p w14:paraId="4ED84B09" w14:textId="77777777" w:rsidR="00FA1574" w:rsidRPr="00FA1574" w:rsidRDefault="00FA1574" w:rsidP="00FA1574">
      <w:pPr>
        <w:numPr>
          <w:ilvl w:val="0"/>
          <w:numId w:val="51"/>
        </w:numPr>
        <w:spacing w:after="160" w:line="259" w:lineRule="auto"/>
        <w:contextualSpacing/>
        <w:rPr>
          <w:rFonts w:ascii="Arial" w:hAnsi="Arial" w:cs="Arial"/>
          <w:b/>
          <w:bCs/>
          <w:color w:val="auto"/>
          <w:kern w:val="0"/>
          <w:sz w:val="32"/>
          <w:szCs w:val="32"/>
          <w14:ligatures w14:val="none"/>
        </w:rPr>
      </w:pPr>
      <w:r w:rsidRPr="00FA1574">
        <w:rPr>
          <w:rFonts w:ascii="Arial" w:hAnsi="Arial" w:cs="Arial"/>
          <w:b/>
          <w:bCs/>
          <w:color w:val="auto"/>
          <w:kern w:val="0"/>
          <w:sz w:val="32"/>
          <w:szCs w:val="32"/>
          <w14:ligatures w14:val="none"/>
        </w:rPr>
        <w:t>Equality, Diversity &amp; Inclusion Demographic Data Analysis</w:t>
      </w:r>
    </w:p>
    <w:p w14:paraId="5CCB3944" w14:textId="77777777" w:rsidR="00A30C20" w:rsidRDefault="00A30C20" w:rsidP="00FA1574">
      <w:pPr>
        <w:spacing w:after="160" w:line="259" w:lineRule="auto"/>
        <w:rPr>
          <w:rFonts w:ascii="Arial" w:hAnsi="Arial" w:cs="Arial"/>
          <w:color w:val="auto"/>
          <w:kern w:val="0"/>
          <w:sz w:val="20"/>
          <w:szCs w:val="20"/>
          <w14:ligatures w14:val="none"/>
        </w:rPr>
      </w:pPr>
    </w:p>
    <w:p w14:paraId="5AC3690A" w14:textId="4BE64AAA"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Demographic data is as follows:</w:t>
      </w:r>
    </w:p>
    <w:p w14:paraId="15A19D7F" w14:textId="77777777" w:rsidR="00FA1574" w:rsidRPr="00FA1574" w:rsidRDefault="00FA1574" w:rsidP="00FA1574">
      <w:pPr>
        <w:spacing w:after="160" w:line="259" w:lineRule="auto"/>
        <w:rPr>
          <w:rFonts w:ascii="Arial" w:hAnsi="Arial" w:cs="Arial"/>
          <w:b/>
          <w:bCs/>
          <w:color w:val="auto"/>
          <w:kern w:val="0"/>
          <w14:ligatures w14:val="none"/>
        </w:rPr>
      </w:pPr>
      <w:r w:rsidRPr="00FA1574">
        <w:rPr>
          <w:rFonts w:ascii="Arial" w:hAnsi="Arial" w:cs="Arial"/>
          <w:b/>
          <w:bCs/>
          <w:color w:val="auto"/>
          <w:kern w:val="0"/>
          <w14:ligatures w14:val="none"/>
        </w:rPr>
        <w:t>Age</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125"/>
        <w:gridCol w:w="1125"/>
        <w:gridCol w:w="1125"/>
        <w:gridCol w:w="1125"/>
        <w:gridCol w:w="1125"/>
        <w:gridCol w:w="1125"/>
        <w:gridCol w:w="1125"/>
        <w:gridCol w:w="1125"/>
      </w:tblGrid>
      <w:tr w:rsidR="00FA1574" w:rsidRPr="00FA1574" w14:paraId="548D5AE2" w14:textId="77777777" w:rsidTr="00F5532B">
        <w:trPr>
          <w:trHeight w:val="285"/>
        </w:trPr>
        <w:tc>
          <w:tcPr>
            <w:tcW w:w="1125" w:type="dxa"/>
            <w:noWrap/>
            <w:vAlign w:val="bottom"/>
            <w:hideMark/>
          </w:tcPr>
          <w:p w14:paraId="7423C416" w14:textId="77777777" w:rsidR="00FA1574" w:rsidRPr="00FA1574" w:rsidRDefault="00FA1574" w:rsidP="00FA1574">
            <w:pPr>
              <w:rPr>
                <w:rFonts w:asciiTheme="minorHAnsi" w:eastAsia="Times New Roman" w:hAnsiTheme="minorHAnsi" w:cstheme="minorHAnsi"/>
                <w:color w:val="auto"/>
                <w:kern w:val="0"/>
                <w:sz w:val="22"/>
                <w:szCs w:val="22"/>
                <w:lang w:eastAsia="en-GB"/>
                <w14:ligatures w14:val="none"/>
              </w:rPr>
            </w:pPr>
            <w:r w:rsidRPr="00FA1574">
              <w:rPr>
                <w:rFonts w:asciiTheme="minorHAnsi" w:eastAsia="Times New Roman" w:hAnsiTheme="minorHAnsi" w:cstheme="minorHAnsi"/>
                <w:color w:val="auto"/>
                <w:kern w:val="0"/>
                <w:sz w:val="22"/>
                <w:szCs w:val="22"/>
                <w:lang w:eastAsia="en-GB"/>
                <w14:ligatures w14:val="none"/>
              </w:rPr>
              <w:t>Under 18</w:t>
            </w:r>
          </w:p>
        </w:tc>
        <w:tc>
          <w:tcPr>
            <w:tcW w:w="1125" w:type="dxa"/>
            <w:noWrap/>
            <w:vAlign w:val="bottom"/>
            <w:hideMark/>
          </w:tcPr>
          <w:p w14:paraId="1B266D9D" w14:textId="77777777" w:rsidR="00FA1574" w:rsidRPr="00FA1574" w:rsidRDefault="00FA1574" w:rsidP="00FA1574">
            <w:pPr>
              <w:rPr>
                <w:rFonts w:asciiTheme="minorHAnsi" w:eastAsia="Times New Roman" w:hAnsiTheme="minorHAnsi" w:cstheme="minorHAnsi"/>
                <w:color w:val="auto"/>
                <w:kern w:val="0"/>
                <w:sz w:val="22"/>
                <w:szCs w:val="22"/>
                <w:lang w:eastAsia="en-GB"/>
                <w14:ligatures w14:val="none"/>
              </w:rPr>
            </w:pPr>
            <w:r w:rsidRPr="00FA1574">
              <w:rPr>
                <w:rFonts w:asciiTheme="minorHAnsi" w:eastAsia="Times New Roman" w:hAnsiTheme="minorHAnsi" w:cstheme="minorHAnsi"/>
                <w:color w:val="auto"/>
                <w:kern w:val="0"/>
                <w:sz w:val="22"/>
                <w:szCs w:val="22"/>
                <w:lang w:eastAsia="en-GB"/>
                <w14:ligatures w14:val="none"/>
              </w:rPr>
              <w:t>18-24</w:t>
            </w:r>
          </w:p>
        </w:tc>
        <w:tc>
          <w:tcPr>
            <w:tcW w:w="1125" w:type="dxa"/>
            <w:noWrap/>
            <w:vAlign w:val="bottom"/>
            <w:hideMark/>
          </w:tcPr>
          <w:p w14:paraId="2C47EFFC" w14:textId="77777777" w:rsidR="00FA1574" w:rsidRPr="00FA1574" w:rsidRDefault="00FA1574" w:rsidP="00FA1574">
            <w:pPr>
              <w:rPr>
                <w:rFonts w:asciiTheme="minorHAnsi" w:eastAsia="Times New Roman" w:hAnsiTheme="minorHAnsi" w:cstheme="minorHAnsi"/>
                <w:color w:val="auto"/>
                <w:kern w:val="0"/>
                <w:sz w:val="22"/>
                <w:szCs w:val="22"/>
                <w:lang w:eastAsia="en-GB"/>
                <w14:ligatures w14:val="none"/>
              </w:rPr>
            </w:pPr>
            <w:r w:rsidRPr="00FA1574">
              <w:rPr>
                <w:rFonts w:asciiTheme="minorHAnsi" w:eastAsia="Times New Roman" w:hAnsiTheme="minorHAnsi" w:cstheme="minorHAnsi"/>
                <w:color w:val="auto"/>
                <w:kern w:val="0"/>
                <w:sz w:val="22"/>
                <w:szCs w:val="22"/>
                <w:lang w:eastAsia="en-GB"/>
                <w14:ligatures w14:val="none"/>
              </w:rPr>
              <w:t>25-34</w:t>
            </w:r>
          </w:p>
        </w:tc>
        <w:tc>
          <w:tcPr>
            <w:tcW w:w="1125" w:type="dxa"/>
            <w:noWrap/>
            <w:vAlign w:val="bottom"/>
            <w:hideMark/>
          </w:tcPr>
          <w:p w14:paraId="5ECE691E" w14:textId="77777777" w:rsidR="00FA1574" w:rsidRPr="00FA1574" w:rsidRDefault="00FA1574" w:rsidP="00FA1574">
            <w:pPr>
              <w:rPr>
                <w:rFonts w:asciiTheme="minorHAnsi" w:eastAsia="Times New Roman" w:hAnsiTheme="minorHAnsi" w:cstheme="minorHAnsi"/>
                <w:color w:val="auto"/>
                <w:kern w:val="0"/>
                <w:sz w:val="22"/>
                <w:szCs w:val="22"/>
                <w:lang w:eastAsia="en-GB"/>
                <w14:ligatures w14:val="none"/>
              </w:rPr>
            </w:pPr>
            <w:r w:rsidRPr="00FA1574">
              <w:rPr>
                <w:rFonts w:asciiTheme="minorHAnsi" w:eastAsia="Times New Roman" w:hAnsiTheme="minorHAnsi" w:cstheme="minorHAnsi"/>
                <w:color w:val="auto"/>
                <w:kern w:val="0"/>
                <w:sz w:val="22"/>
                <w:szCs w:val="22"/>
                <w:lang w:eastAsia="en-GB"/>
                <w14:ligatures w14:val="none"/>
              </w:rPr>
              <w:t>35-44</w:t>
            </w:r>
          </w:p>
        </w:tc>
        <w:tc>
          <w:tcPr>
            <w:tcW w:w="1125" w:type="dxa"/>
            <w:noWrap/>
            <w:vAlign w:val="bottom"/>
            <w:hideMark/>
          </w:tcPr>
          <w:p w14:paraId="2FA3842F" w14:textId="77777777" w:rsidR="00FA1574" w:rsidRPr="00FA1574" w:rsidRDefault="00FA1574" w:rsidP="00FA1574">
            <w:pPr>
              <w:rPr>
                <w:rFonts w:asciiTheme="minorHAnsi" w:eastAsia="Times New Roman" w:hAnsiTheme="minorHAnsi" w:cstheme="minorHAnsi"/>
                <w:color w:val="auto"/>
                <w:kern w:val="0"/>
                <w:sz w:val="22"/>
                <w:szCs w:val="22"/>
                <w:lang w:eastAsia="en-GB"/>
                <w14:ligatures w14:val="none"/>
              </w:rPr>
            </w:pPr>
            <w:r w:rsidRPr="00FA1574">
              <w:rPr>
                <w:rFonts w:asciiTheme="minorHAnsi" w:eastAsia="Times New Roman" w:hAnsiTheme="minorHAnsi" w:cstheme="minorHAnsi"/>
                <w:color w:val="auto"/>
                <w:kern w:val="0"/>
                <w:sz w:val="22"/>
                <w:szCs w:val="22"/>
                <w:lang w:eastAsia="en-GB"/>
                <w14:ligatures w14:val="none"/>
              </w:rPr>
              <w:t>45-54</w:t>
            </w:r>
          </w:p>
        </w:tc>
        <w:tc>
          <w:tcPr>
            <w:tcW w:w="1125" w:type="dxa"/>
            <w:noWrap/>
            <w:vAlign w:val="bottom"/>
            <w:hideMark/>
          </w:tcPr>
          <w:p w14:paraId="2F12C236" w14:textId="77777777" w:rsidR="00FA1574" w:rsidRPr="00FA1574" w:rsidRDefault="00FA1574" w:rsidP="00FA1574">
            <w:pPr>
              <w:rPr>
                <w:rFonts w:asciiTheme="minorHAnsi" w:eastAsia="Times New Roman" w:hAnsiTheme="minorHAnsi" w:cstheme="minorHAnsi"/>
                <w:color w:val="auto"/>
                <w:kern w:val="0"/>
                <w:sz w:val="22"/>
                <w:szCs w:val="22"/>
                <w:lang w:eastAsia="en-GB"/>
                <w14:ligatures w14:val="none"/>
              </w:rPr>
            </w:pPr>
            <w:r w:rsidRPr="00FA1574">
              <w:rPr>
                <w:rFonts w:asciiTheme="minorHAnsi" w:eastAsia="Times New Roman" w:hAnsiTheme="minorHAnsi" w:cstheme="minorHAnsi"/>
                <w:color w:val="auto"/>
                <w:kern w:val="0"/>
                <w:sz w:val="22"/>
                <w:szCs w:val="22"/>
                <w:lang w:eastAsia="en-GB"/>
                <w14:ligatures w14:val="none"/>
              </w:rPr>
              <w:t>55-64</w:t>
            </w:r>
          </w:p>
        </w:tc>
        <w:tc>
          <w:tcPr>
            <w:tcW w:w="1125" w:type="dxa"/>
            <w:noWrap/>
            <w:vAlign w:val="bottom"/>
            <w:hideMark/>
          </w:tcPr>
          <w:p w14:paraId="7DB161DD" w14:textId="77777777" w:rsidR="00FA1574" w:rsidRPr="00FA1574" w:rsidRDefault="00FA1574" w:rsidP="00FA1574">
            <w:pPr>
              <w:rPr>
                <w:rFonts w:asciiTheme="minorHAnsi" w:eastAsia="Times New Roman" w:hAnsiTheme="minorHAnsi" w:cstheme="minorHAnsi"/>
                <w:color w:val="auto"/>
                <w:kern w:val="0"/>
                <w:sz w:val="22"/>
                <w:szCs w:val="22"/>
                <w:lang w:eastAsia="en-GB"/>
                <w14:ligatures w14:val="none"/>
              </w:rPr>
            </w:pPr>
            <w:r w:rsidRPr="00FA1574">
              <w:rPr>
                <w:rFonts w:asciiTheme="minorHAnsi" w:eastAsia="Times New Roman" w:hAnsiTheme="minorHAnsi" w:cstheme="minorHAnsi"/>
                <w:color w:val="auto"/>
                <w:kern w:val="0"/>
                <w:sz w:val="22"/>
                <w:szCs w:val="22"/>
                <w:lang w:eastAsia="en-GB"/>
                <w14:ligatures w14:val="none"/>
              </w:rPr>
              <w:t>65-74</w:t>
            </w:r>
          </w:p>
        </w:tc>
        <w:tc>
          <w:tcPr>
            <w:tcW w:w="1125" w:type="dxa"/>
            <w:noWrap/>
            <w:vAlign w:val="bottom"/>
            <w:hideMark/>
          </w:tcPr>
          <w:p w14:paraId="190449BB" w14:textId="77777777" w:rsidR="00FA1574" w:rsidRPr="00FA1574" w:rsidRDefault="00FA1574" w:rsidP="00FA1574">
            <w:pPr>
              <w:rPr>
                <w:rFonts w:asciiTheme="minorHAnsi" w:eastAsia="Times New Roman" w:hAnsiTheme="minorHAnsi" w:cstheme="minorHAnsi"/>
                <w:color w:val="auto"/>
                <w:kern w:val="0"/>
                <w:sz w:val="22"/>
                <w:szCs w:val="22"/>
                <w:lang w:eastAsia="en-GB"/>
                <w14:ligatures w14:val="none"/>
              </w:rPr>
            </w:pPr>
            <w:r w:rsidRPr="00FA1574">
              <w:rPr>
                <w:rFonts w:asciiTheme="minorHAnsi" w:eastAsia="Times New Roman" w:hAnsiTheme="minorHAnsi" w:cstheme="minorHAnsi"/>
                <w:color w:val="auto"/>
                <w:kern w:val="0"/>
                <w:sz w:val="22"/>
                <w:szCs w:val="22"/>
                <w:lang w:eastAsia="en-GB"/>
                <w14:ligatures w14:val="none"/>
              </w:rPr>
              <w:t>75 and over</w:t>
            </w:r>
          </w:p>
        </w:tc>
      </w:tr>
      <w:tr w:rsidR="00FA1574" w:rsidRPr="00FA1574" w14:paraId="6CAAAA99" w14:textId="77777777" w:rsidTr="00F5532B">
        <w:trPr>
          <w:trHeight w:val="285"/>
        </w:trPr>
        <w:tc>
          <w:tcPr>
            <w:tcW w:w="1125" w:type="dxa"/>
            <w:noWrap/>
            <w:vAlign w:val="bottom"/>
            <w:hideMark/>
          </w:tcPr>
          <w:p w14:paraId="4DE462AC" w14:textId="77777777" w:rsidR="00FA1574" w:rsidRPr="00FA1574" w:rsidRDefault="00FA1574" w:rsidP="00FA1574">
            <w:pPr>
              <w:rPr>
                <w:rFonts w:asciiTheme="minorHAnsi" w:eastAsia="Times New Roman" w:hAnsiTheme="minorHAnsi" w:cstheme="minorHAnsi"/>
                <w:color w:val="auto"/>
                <w:kern w:val="0"/>
                <w:sz w:val="22"/>
                <w:szCs w:val="22"/>
                <w:lang w:eastAsia="en-GB"/>
                <w14:ligatures w14:val="none"/>
              </w:rPr>
            </w:pPr>
            <w:r w:rsidRPr="00FA1574">
              <w:rPr>
                <w:rFonts w:asciiTheme="minorHAnsi" w:hAnsiTheme="minorHAnsi" w:cstheme="minorHAnsi"/>
                <w:color w:val="auto"/>
                <w:kern w:val="0"/>
                <w:sz w:val="22"/>
                <w:szCs w:val="22"/>
                <w14:ligatures w14:val="none"/>
              </w:rPr>
              <w:t>5</w:t>
            </w:r>
          </w:p>
        </w:tc>
        <w:tc>
          <w:tcPr>
            <w:tcW w:w="1125" w:type="dxa"/>
            <w:noWrap/>
            <w:vAlign w:val="bottom"/>
            <w:hideMark/>
          </w:tcPr>
          <w:p w14:paraId="4DAA40C4" w14:textId="77777777" w:rsidR="00FA1574" w:rsidRPr="00FA1574" w:rsidRDefault="00FA1574" w:rsidP="00FA1574">
            <w:pPr>
              <w:rPr>
                <w:rFonts w:asciiTheme="minorHAnsi" w:eastAsia="Times New Roman" w:hAnsiTheme="minorHAnsi" w:cstheme="minorHAnsi"/>
                <w:color w:val="auto"/>
                <w:kern w:val="0"/>
                <w:sz w:val="22"/>
                <w:szCs w:val="22"/>
                <w:lang w:eastAsia="en-GB"/>
                <w14:ligatures w14:val="none"/>
              </w:rPr>
            </w:pPr>
            <w:r w:rsidRPr="00FA1574">
              <w:rPr>
                <w:rFonts w:asciiTheme="minorHAnsi" w:hAnsiTheme="minorHAnsi" w:cstheme="minorHAnsi"/>
                <w:color w:val="auto"/>
                <w:kern w:val="0"/>
                <w:sz w:val="22"/>
                <w:szCs w:val="22"/>
                <w14:ligatures w14:val="none"/>
              </w:rPr>
              <w:t>31</w:t>
            </w:r>
          </w:p>
        </w:tc>
        <w:tc>
          <w:tcPr>
            <w:tcW w:w="1125" w:type="dxa"/>
            <w:noWrap/>
            <w:vAlign w:val="bottom"/>
            <w:hideMark/>
          </w:tcPr>
          <w:p w14:paraId="178388B4" w14:textId="77777777" w:rsidR="00FA1574" w:rsidRPr="00FA1574" w:rsidRDefault="00FA1574" w:rsidP="00FA1574">
            <w:pPr>
              <w:rPr>
                <w:rFonts w:asciiTheme="minorHAnsi" w:eastAsia="Times New Roman" w:hAnsiTheme="minorHAnsi" w:cstheme="minorHAnsi"/>
                <w:color w:val="auto"/>
                <w:kern w:val="0"/>
                <w:sz w:val="22"/>
                <w:szCs w:val="22"/>
                <w:lang w:eastAsia="en-GB"/>
                <w14:ligatures w14:val="none"/>
              </w:rPr>
            </w:pPr>
            <w:r w:rsidRPr="00FA1574">
              <w:rPr>
                <w:rFonts w:asciiTheme="minorHAnsi" w:hAnsiTheme="minorHAnsi" w:cstheme="minorHAnsi"/>
                <w:color w:val="auto"/>
                <w:kern w:val="0"/>
                <w:sz w:val="22"/>
                <w:szCs w:val="22"/>
                <w14:ligatures w14:val="none"/>
              </w:rPr>
              <w:t>107</w:t>
            </w:r>
          </w:p>
        </w:tc>
        <w:tc>
          <w:tcPr>
            <w:tcW w:w="1125" w:type="dxa"/>
            <w:noWrap/>
            <w:vAlign w:val="bottom"/>
            <w:hideMark/>
          </w:tcPr>
          <w:p w14:paraId="2C2031A4" w14:textId="77777777" w:rsidR="00FA1574" w:rsidRPr="00FA1574" w:rsidRDefault="00FA1574" w:rsidP="00FA1574">
            <w:pPr>
              <w:rPr>
                <w:rFonts w:asciiTheme="minorHAnsi" w:eastAsia="Times New Roman" w:hAnsiTheme="minorHAnsi" w:cstheme="minorHAnsi"/>
                <w:color w:val="auto"/>
                <w:kern w:val="0"/>
                <w:sz w:val="22"/>
                <w:szCs w:val="22"/>
                <w:lang w:eastAsia="en-GB"/>
                <w14:ligatures w14:val="none"/>
              </w:rPr>
            </w:pPr>
            <w:r w:rsidRPr="00FA1574">
              <w:rPr>
                <w:rFonts w:asciiTheme="minorHAnsi" w:hAnsiTheme="minorHAnsi" w:cstheme="minorHAnsi"/>
                <w:color w:val="auto"/>
                <w:kern w:val="0"/>
                <w:sz w:val="22"/>
                <w:szCs w:val="22"/>
                <w14:ligatures w14:val="none"/>
              </w:rPr>
              <w:t>148</w:t>
            </w:r>
          </w:p>
        </w:tc>
        <w:tc>
          <w:tcPr>
            <w:tcW w:w="1125" w:type="dxa"/>
            <w:noWrap/>
            <w:vAlign w:val="bottom"/>
            <w:hideMark/>
          </w:tcPr>
          <w:p w14:paraId="6A1D28A8" w14:textId="77777777" w:rsidR="00FA1574" w:rsidRPr="00FA1574" w:rsidRDefault="00FA1574" w:rsidP="00FA1574">
            <w:pPr>
              <w:rPr>
                <w:rFonts w:asciiTheme="minorHAnsi" w:eastAsia="Times New Roman" w:hAnsiTheme="minorHAnsi" w:cstheme="minorHAnsi"/>
                <w:color w:val="auto"/>
                <w:kern w:val="0"/>
                <w:sz w:val="22"/>
                <w:szCs w:val="22"/>
                <w:lang w:eastAsia="en-GB"/>
                <w14:ligatures w14:val="none"/>
              </w:rPr>
            </w:pPr>
            <w:r w:rsidRPr="00FA1574">
              <w:rPr>
                <w:rFonts w:asciiTheme="minorHAnsi" w:hAnsiTheme="minorHAnsi" w:cstheme="minorHAnsi"/>
                <w:color w:val="auto"/>
                <w:kern w:val="0"/>
                <w:sz w:val="22"/>
                <w:szCs w:val="22"/>
                <w14:ligatures w14:val="none"/>
              </w:rPr>
              <w:t>135</w:t>
            </w:r>
          </w:p>
        </w:tc>
        <w:tc>
          <w:tcPr>
            <w:tcW w:w="1125" w:type="dxa"/>
            <w:noWrap/>
            <w:vAlign w:val="bottom"/>
            <w:hideMark/>
          </w:tcPr>
          <w:p w14:paraId="7BADAB31" w14:textId="77777777" w:rsidR="00FA1574" w:rsidRPr="00FA1574" w:rsidRDefault="00FA1574" w:rsidP="00FA1574">
            <w:pPr>
              <w:rPr>
                <w:rFonts w:asciiTheme="minorHAnsi" w:eastAsia="Times New Roman" w:hAnsiTheme="minorHAnsi" w:cstheme="minorHAnsi"/>
                <w:color w:val="auto"/>
                <w:kern w:val="0"/>
                <w:sz w:val="22"/>
                <w:szCs w:val="22"/>
                <w:lang w:eastAsia="en-GB"/>
                <w14:ligatures w14:val="none"/>
              </w:rPr>
            </w:pPr>
            <w:r w:rsidRPr="00FA1574">
              <w:rPr>
                <w:rFonts w:asciiTheme="minorHAnsi" w:hAnsiTheme="minorHAnsi" w:cstheme="minorHAnsi"/>
                <w:color w:val="auto"/>
                <w:kern w:val="0"/>
                <w:sz w:val="22"/>
                <w:szCs w:val="22"/>
                <w14:ligatures w14:val="none"/>
              </w:rPr>
              <w:t>128</w:t>
            </w:r>
          </w:p>
        </w:tc>
        <w:tc>
          <w:tcPr>
            <w:tcW w:w="1125" w:type="dxa"/>
            <w:noWrap/>
            <w:vAlign w:val="bottom"/>
            <w:hideMark/>
          </w:tcPr>
          <w:p w14:paraId="508D61CC" w14:textId="77777777" w:rsidR="00FA1574" w:rsidRPr="00FA1574" w:rsidRDefault="00FA1574" w:rsidP="00FA1574">
            <w:pPr>
              <w:rPr>
                <w:rFonts w:asciiTheme="minorHAnsi" w:eastAsia="Times New Roman" w:hAnsiTheme="minorHAnsi" w:cstheme="minorHAnsi"/>
                <w:color w:val="auto"/>
                <w:kern w:val="0"/>
                <w:sz w:val="22"/>
                <w:szCs w:val="22"/>
                <w:lang w:eastAsia="en-GB"/>
                <w14:ligatures w14:val="none"/>
              </w:rPr>
            </w:pPr>
            <w:r w:rsidRPr="00FA1574">
              <w:rPr>
                <w:rFonts w:asciiTheme="minorHAnsi" w:hAnsiTheme="minorHAnsi" w:cstheme="minorHAnsi"/>
                <w:color w:val="auto"/>
                <w:kern w:val="0"/>
                <w:sz w:val="22"/>
                <w:szCs w:val="22"/>
                <w14:ligatures w14:val="none"/>
              </w:rPr>
              <w:t>61</w:t>
            </w:r>
          </w:p>
        </w:tc>
        <w:tc>
          <w:tcPr>
            <w:tcW w:w="1125" w:type="dxa"/>
            <w:noWrap/>
            <w:vAlign w:val="bottom"/>
            <w:hideMark/>
          </w:tcPr>
          <w:p w14:paraId="5AEDB7A2" w14:textId="77777777" w:rsidR="00FA1574" w:rsidRPr="00FA1574" w:rsidRDefault="00FA1574" w:rsidP="00FA1574">
            <w:pPr>
              <w:rPr>
                <w:rFonts w:asciiTheme="minorHAnsi" w:eastAsia="Times New Roman" w:hAnsiTheme="minorHAnsi" w:cstheme="minorHAnsi"/>
                <w:color w:val="auto"/>
                <w:kern w:val="0"/>
                <w:sz w:val="22"/>
                <w:szCs w:val="22"/>
                <w:lang w:eastAsia="en-GB"/>
                <w14:ligatures w14:val="none"/>
              </w:rPr>
            </w:pPr>
            <w:r w:rsidRPr="00FA1574">
              <w:rPr>
                <w:rFonts w:asciiTheme="minorHAnsi" w:hAnsiTheme="minorHAnsi" w:cstheme="minorHAnsi"/>
                <w:color w:val="auto"/>
                <w:kern w:val="0"/>
                <w:sz w:val="22"/>
                <w:szCs w:val="22"/>
                <w14:ligatures w14:val="none"/>
              </w:rPr>
              <w:t>29</w:t>
            </w:r>
          </w:p>
        </w:tc>
      </w:tr>
      <w:tr w:rsidR="00FA1574" w:rsidRPr="00FA1574" w14:paraId="1D113935" w14:textId="77777777" w:rsidTr="00F5532B">
        <w:trPr>
          <w:trHeight w:val="285"/>
        </w:trPr>
        <w:tc>
          <w:tcPr>
            <w:tcW w:w="1125" w:type="dxa"/>
            <w:noWrap/>
            <w:vAlign w:val="bottom"/>
          </w:tcPr>
          <w:p w14:paraId="6A5FAD3C" w14:textId="77777777" w:rsidR="00FA1574" w:rsidRPr="00FA1574" w:rsidRDefault="00FA1574" w:rsidP="00FA1574">
            <w:pPr>
              <w:rPr>
                <w:rFonts w:asciiTheme="minorHAnsi" w:hAnsiTheme="minorHAnsi" w:cstheme="minorHAnsi"/>
                <w:color w:val="auto"/>
                <w:kern w:val="0"/>
                <w:sz w:val="22"/>
                <w:szCs w:val="22"/>
                <w14:ligatures w14:val="none"/>
              </w:rPr>
            </w:pPr>
            <w:r w:rsidRPr="00FA1574">
              <w:rPr>
                <w:rFonts w:asciiTheme="minorHAnsi" w:hAnsiTheme="minorHAnsi" w:cstheme="minorHAnsi"/>
                <w:color w:val="auto"/>
                <w:kern w:val="0"/>
                <w:sz w:val="22"/>
                <w:szCs w:val="22"/>
                <w14:ligatures w14:val="none"/>
              </w:rPr>
              <w:t>0.8%</w:t>
            </w:r>
          </w:p>
        </w:tc>
        <w:tc>
          <w:tcPr>
            <w:tcW w:w="1125" w:type="dxa"/>
            <w:noWrap/>
            <w:vAlign w:val="bottom"/>
          </w:tcPr>
          <w:p w14:paraId="7385C829" w14:textId="77777777" w:rsidR="00FA1574" w:rsidRPr="00FA1574" w:rsidRDefault="00FA1574" w:rsidP="00FA1574">
            <w:pPr>
              <w:rPr>
                <w:rFonts w:asciiTheme="minorHAnsi" w:hAnsiTheme="minorHAnsi" w:cstheme="minorHAnsi"/>
                <w:color w:val="auto"/>
                <w:kern w:val="0"/>
                <w:sz w:val="22"/>
                <w:szCs w:val="22"/>
                <w14:ligatures w14:val="none"/>
              </w:rPr>
            </w:pPr>
            <w:r w:rsidRPr="00FA1574">
              <w:rPr>
                <w:rFonts w:asciiTheme="minorHAnsi" w:hAnsiTheme="minorHAnsi" w:cstheme="minorHAnsi"/>
                <w:color w:val="auto"/>
                <w:kern w:val="0"/>
                <w:sz w:val="22"/>
                <w:szCs w:val="22"/>
                <w14:ligatures w14:val="none"/>
              </w:rPr>
              <w:t>4.8%</w:t>
            </w:r>
          </w:p>
        </w:tc>
        <w:tc>
          <w:tcPr>
            <w:tcW w:w="1125" w:type="dxa"/>
            <w:noWrap/>
            <w:vAlign w:val="bottom"/>
          </w:tcPr>
          <w:p w14:paraId="6E5CC647" w14:textId="77777777" w:rsidR="00FA1574" w:rsidRPr="00FA1574" w:rsidRDefault="00FA1574" w:rsidP="00FA1574">
            <w:pPr>
              <w:rPr>
                <w:rFonts w:asciiTheme="minorHAnsi" w:hAnsiTheme="minorHAnsi" w:cstheme="minorHAnsi"/>
                <w:color w:val="auto"/>
                <w:kern w:val="0"/>
                <w:sz w:val="22"/>
                <w:szCs w:val="22"/>
                <w14:ligatures w14:val="none"/>
              </w:rPr>
            </w:pPr>
            <w:r w:rsidRPr="00FA1574">
              <w:rPr>
                <w:rFonts w:asciiTheme="minorHAnsi" w:hAnsiTheme="minorHAnsi" w:cstheme="minorHAnsi"/>
                <w:color w:val="auto"/>
                <w:kern w:val="0"/>
                <w:sz w:val="22"/>
                <w:szCs w:val="22"/>
                <w14:ligatures w14:val="none"/>
              </w:rPr>
              <w:t>16.6%</w:t>
            </w:r>
          </w:p>
        </w:tc>
        <w:tc>
          <w:tcPr>
            <w:tcW w:w="1125" w:type="dxa"/>
            <w:noWrap/>
            <w:vAlign w:val="bottom"/>
          </w:tcPr>
          <w:p w14:paraId="782F7585" w14:textId="77777777" w:rsidR="00FA1574" w:rsidRPr="00FA1574" w:rsidRDefault="00FA1574" w:rsidP="00FA1574">
            <w:pPr>
              <w:rPr>
                <w:rFonts w:asciiTheme="minorHAnsi" w:hAnsiTheme="minorHAnsi" w:cstheme="minorHAnsi"/>
                <w:color w:val="auto"/>
                <w:kern w:val="0"/>
                <w:sz w:val="22"/>
                <w:szCs w:val="22"/>
                <w14:ligatures w14:val="none"/>
              </w:rPr>
            </w:pPr>
            <w:r w:rsidRPr="00FA1574">
              <w:rPr>
                <w:rFonts w:asciiTheme="minorHAnsi" w:hAnsiTheme="minorHAnsi" w:cstheme="minorHAnsi"/>
                <w:color w:val="auto"/>
                <w:kern w:val="0"/>
                <w:sz w:val="22"/>
                <w:szCs w:val="22"/>
                <w14:ligatures w14:val="none"/>
              </w:rPr>
              <w:t>23.0%</w:t>
            </w:r>
          </w:p>
        </w:tc>
        <w:tc>
          <w:tcPr>
            <w:tcW w:w="1125" w:type="dxa"/>
            <w:noWrap/>
            <w:vAlign w:val="bottom"/>
          </w:tcPr>
          <w:p w14:paraId="4FBC6687" w14:textId="77777777" w:rsidR="00FA1574" w:rsidRPr="00FA1574" w:rsidRDefault="00FA1574" w:rsidP="00FA1574">
            <w:pPr>
              <w:rPr>
                <w:rFonts w:asciiTheme="minorHAnsi" w:hAnsiTheme="minorHAnsi" w:cstheme="minorHAnsi"/>
                <w:color w:val="auto"/>
                <w:kern w:val="0"/>
                <w:sz w:val="22"/>
                <w:szCs w:val="22"/>
                <w14:ligatures w14:val="none"/>
              </w:rPr>
            </w:pPr>
            <w:r w:rsidRPr="00FA1574">
              <w:rPr>
                <w:rFonts w:asciiTheme="minorHAnsi" w:hAnsiTheme="minorHAnsi" w:cstheme="minorHAnsi"/>
                <w:color w:val="auto"/>
                <w:kern w:val="0"/>
                <w:sz w:val="22"/>
                <w:szCs w:val="22"/>
                <w14:ligatures w14:val="none"/>
              </w:rPr>
              <w:t>21.0%</w:t>
            </w:r>
          </w:p>
        </w:tc>
        <w:tc>
          <w:tcPr>
            <w:tcW w:w="1125" w:type="dxa"/>
            <w:noWrap/>
            <w:vAlign w:val="bottom"/>
          </w:tcPr>
          <w:p w14:paraId="09B62296" w14:textId="77777777" w:rsidR="00FA1574" w:rsidRPr="00FA1574" w:rsidRDefault="00FA1574" w:rsidP="00FA1574">
            <w:pPr>
              <w:rPr>
                <w:rFonts w:asciiTheme="minorHAnsi" w:hAnsiTheme="minorHAnsi" w:cstheme="minorHAnsi"/>
                <w:color w:val="auto"/>
                <w:kern w:val="0"/>
                <w:sz w:val="22"/>
                <w:szCs w:val="22"/>
                <w14:ligatures w14:val="none"/>
              </w:rPr>
            </w:pPr>
            <w:r w:rsidRPr="00FA1574">
              <w:rPr>
                <w:rFonts w:asciiTheme="minorHAnsi" w:hAnsiTheme="minorHAnsi" w:cstheme="minorHAnsi"/>
                <w:color w:val="auto"/>
                <w:kern w:val="0"/>
                <w:sz w:val="22"/>
                <w:szCs w:val="22"/>
                <w14:ligatures w14:val="none"/>
              </w:rPr>
              <w:t>19.9%</w:t>
            </w:r>
          </w:p>
        </w:tc>
        <w:tc>
          <w:tcPr>
            <w:tcW w:w="1125" w:type="dxa"/>
            <w:noWrap/>
            <w:vAlign w:val="bottom"/>
          </w:tcPr>
          <w:p w14:paraId="2B598A4B" w14:textId="77777777" w:rsidR="00FA1574" w:rsidRPr="00FA1574" w:rsidRDefault="00FA1574" w:rsidP="00FA1574">
            <w:pPr>
              <w:rPr>
                <w:rFonts w:asciiTheme="minorHAnsi" w:hAnsiTheme="minorHAnsi" w:cstheme="minorHAnsi"/>
                <w:color w:val="auto"/>
                <w:kern w:val="0"/>
                <w:sz w:val="22"/>
                <w:szCs w:val="22"/>
                <w14:ligatures w14:val="none"/>
              </w:rPr>
            </w:pPr>
            <w:r w:rsidRPr="00FA1574">
              <w:rPr>
                <w:rFonts w:asciiTheme="minorHAnsi" w:hAnsiTheme="minorHAnsi" w:cstheme="minorHAnsi"/>
                <w:color w:val="auto"/>
                <w:kern w:val="0"/>
                <w:sz w:val="22"/>
                <w:szCs w:val="22"/>
                <w14:ligatures w14:val="none"/>
              </w:rPr>
              <w:t>9.5%</w:t>
            </w:r>
          </w:p>
        </w:tc>
        <w:tc>
          <w:tcPr>
            <w:tcW w:w="1125" w:type="dxa"/>
            <w:noWrap/>
            <w:vAlign w:val="bottom"/>
          </w:tcPr>
          <w:p w14:paraId="251B22C2" w14:textId="77777777" w:rsidR="00FA1574" w:rsidRPr="00FA1574" w:rsidRDefault="00FA1574" w:rsidP="00FA1574">
            <w:pPr>
              <w:rPr>
                <w:rFonts w:asciiTheme="minorHAnsi" w:hAnsiTheme="minorHAnsi" w:cstheme="minorHAnsi"/>
                <w:color w:val="auto"/>
                <w:kern w:val="0"/>
                <w:sz w:val="22"/>
                <w:szCs w:val="22"/>
                <w14:ligatures w14:val="none"/>
              </w:rPr>
            </w:pPr>
            <w:r w:rsidRPr="00FA1574">
              <w:rPr>
                <w:rFonts w:asciiTheme="minorHAnsi" w:hAnsiTheme="minorHAnsi" w:cstheme="minorHAnsi"/>
                <w:color w:val="auto"/>
                <w:kern w:val="0"/>
                <w:sz w:val="22"/>
                <w:szCs w:val="22"/>
                <w14:ligatures w14:val="none"/>
              </w:rPr>
              <w:t>4.5%</w:t>
            </w:r>
          </w:p>
        </w:tc>
      </w:tr>
    </w:tbl>
    <w:p w14:paraId="38CC59BB" w14:textId="77777777" w:rsidR="00FA1574" w:rsidRPr="00FA1574" w:rsidRDefault="00FA1574" w:rsidP="00FA1574">
      <w:pPr>
        <w:spacing w:after="160" w:line="259" w:lineRule="auto"/>
        <w:rPr>
          <w:rFonts w:ascii="Arial" w:hAnsi="Arial" w:cs="Arial"/>
          <w:color w:val="auto"/>
          <w:kern w:val="0"/>
          <w:sz w:val="22"/>
          <w:szCs w:val="22"/>
          <w14:ligatures w14:val="none"/>
        </w:rPr>
      </w:pPr>
    </w:p>
    <w:p w14:paraId="129B2C9C" w14:textId="77777777" w:rsidR="00FA1574" w:rsidRPr="00FA1574" w:rsidRDefault="00FA1574" w:rsidP="00FA1574">
      <w:pPr>
        <w:spacing w:after="160" w:line="259" w:lineRule="auto"/>
        <w:rPr>
          <w:rFonts w:ascii="Arial" w:hAnsi="Arial" w:cs="Arial"/>
          <w:color w:val="auto"/>
          <w:kern w:val="0"/>
          <w:sz w:val="22"/>
          <w:szCs w:val="22"/>
          <w14:ligatures w14:val="none"/>
        </w:rPr>
      </w:pPr>
      <w:r w:rsidRPr="00FA1574">
        <w:rPr>
          <w:rFonts w:asciiTheme="minorHAnsi" w:hAnsiTheme="minorHAnsi" w:cstheme="minorBidi"/>
          <w:noProof/>
          <w:color w:val="auto"/>
          <w:kern w:val="0"/>
          <w:sz w:val="22"/>
          <w:szCs w:val="22"/>
          <w14:ligatures w14:val="none"/>
        </w:rPr>
        <w:lastRenderedPageBreak/>
        <w:drawing>
          <wp:inline distT="0" distB="0" distL="0" distR="0" wp14:anchorId="5E1E2DCC" wp14:editId="46CFDFCF">
            <wp:extent cx="3243263" cy="2009457"/>
            <wp:effectExtent l="0" t="0" r="14605" b="10160"/>
            <wp:docPr id="1706255474" name="Chart 1">
              <a:extLst xmlns:a="http://schemas.openxmlformats.org/drawingml/2006/main">
                <a:ext uri="{FF2B5EF4-FFF2-40B4-BE49-F238E27FC236}">
                  <a16:creationId xmlns:a16="http://schemas.microsoft.com/office/drawing/2014/main" id="{50ACC0A3-F6D3-D7DF-2924-E2E54A1F33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60B0FB2" w14:textId="77777777" w:rsidR="00FA1574" w:rsidRPr="00FA1574" w:rsidRDefault="00FA1574" w:rsidP="00FA1574">
      <w:pPr>
        <w:spacing w:after="160" w:line="259" w:lineRule="auto"/>
        <w:rPr>
          <w:rFonts w:ascii="Arial" w:hAnsi="Arial" w:cs="Arial"/>
          <w:color w:val="auto"/>
          <w:kern w:val="0"/>
          <w:sz w:val="22"/>
          <w:szCs w:val="22"/>
          <w14:ligatures w14:val="none"/>
        </w:rPr>
      </w:pPr>
      <w:r w:rsidRPr="00FA1574">
        <w:rPr>
          <w:rFonts w:ascii="Calibri" w:eastAsia="Times New Roman" w:hAnsi="Calibri" w:cs="Calibri"/>
          <w:noProof/>
          <w:color w:val="auto"/>
          <w:kern w:val="0"/>
          <w:sz w:val="22"/>
          <w:szCs w:val="22"/>
          <w:lang w:eastAsia="en-GB"/>
          <w14:ligatures w14:val="none"/>
        </w:rPr>
        <mc:AlternateContent>
          <mc:Choice Requires="wps">
            <w:drawing>
              <wp:anchor distT="0" distB="0" distL="114300" distR="114300" simplePos="0" relativeHeight="251665409" behindDoc="0" locked="0" layoutInCell="1" allowOverlap="1" wp14:anchorId="2FC9F18D" wp14:editId="71447088">
                <wp:simplePos x="0" y="0"/>
                <wp:positionH relativeFrom="column">
                  <wp:posOffset>4632481</wp:posOffset>
                </wp:positionH>
                <wp:positionV relativeFrom="paragraph">
                  <wp:posOffset>1699895</wp:posOffset>
                </wp:positionV>
                <wp:extent cx="112395" cy="118745"/>
                <wp:effectExtent l="19050" t="19050" r="40005" b="14605"/>
                <wp:wrapNone/>
                <wp:docPr id="639703234" name="Isosceles Triangle 5"/>
                <wp:cNvGraphicFramePr/>
                <a:graphic xmlns:a="http://schemas.openxmlformats.org/drawingml/2006/main">
                  <a:graphicData uri="http://schemas.microsoft.com/office/word/2010/wordprocessingShape">
                    <wps:wsp>
                      <wps:cNvSpPr/>
                      <wps:spPr>
                        <a:xfrm>
                          <a:off x="0" y="0"/>
                          <a:ext cx="112395" cy="118745"/>
                        </a:xfrm>
                        <a:prstGeom prst="triangle">
                          <a:avLst/>
                        </a:prstGeom>
                        <a:solidFill>
                          <a:srgbClr val="92D05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27902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26" type="#_x0000_t5" style="position:absolute;margin-left:364.75pt;margin-top:133.85pt;width:8.85pt;height:9.35pt;z-index:251665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" fillcolor="#92d050" strokecolor="#70ad47" strokeweight="1pt"/>
            </w:pict>
          </mc:Fallback>
        </mc:AlternateContent>
      </w:r>
      <w:r w:rsidRPr="00FA1574">
        <w:rPr>
          <w:rFonts w:ascii="Calibri" w:eastAsia="Times New Roman" w:hAnsi="Calibri" w:cs="Calibri"/>
          <w:noProof/>
          <w:color w:val="auto"/>
          <w:kern w:val="0"/>
          <w:sz w:val="22"/>
          <w:szCs w:val="22"/>
          <w:lang w:eastAsia="en-GB"/>
          <w14:ligatures w14:val="none"/>
        </w:rPr>
        <mc:AlternateContent>
          <mc:Choice Requires="wps">
            <w:drawing>
              <wp:anchor distT="0" distB="0" distL="114300" distR="114300" simplePos="0" relativeHeight="251666433" behindDoc="0" locked="0" layoutInCell="1" allowOverlap="1" wp14:anchorId="699E0817" wp14:editId="6EA94FC4">
                <wp:simplePos x="0" y="0"/>
                <wp:positionH relativeFrom="column">
                  <wp:posOffset>5271325</wp:posOffset>
                </wp:positionH>
                <wp:positionV relativeFrom="paragraph">
                  <wp:posOffset>1703169</wp:posOffset>
                </wp:positionV>
                <wp:extent cx="112395" cy="118745"/>
                <wp:effectExtent l="19050" t="19050" r="40005" b="14605"/>
                <wp:wrapNone/>
                <wp:docPr id="1817558075" name="Isosceles Triangle 5"/>
                <wp:cNvGraphicFramePr/>
                <a:graphic xmlns:a="http://schemas.openxmlformats.org/drawingml/2006/main">
                  <a:graphicData uri="http://schemas.microsoft.com/office/word/2010/wordprocessingShape">
                    <wps:wsp>
                      <wps:cNvSpPr/>
                      <wps:spPr>
                        <a:xfrm>
                          <a:off x="0" y="0"/>
                          <a:ext cx="112395" cy="118745"/>
                        </a:xfrm>
                        <a:prstGeom prst="triangle">
                          <a:avLst/>
                        </a:prstGeom>
                        <a:solidFill>
                          <a:srgbClr val="92D05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F52A5" id="Isosceles Triangle 5" o:spid="_x0000_s1026" type="#_x0000_t5" style="position:absolute;margin-left:415.05pt;margin-top:134.1pt;width:8.85pt;height:9.35pt;z-index:251666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" fillcolor="#92d050" strokecolor="#70ad47" strokeweight="1pt"/>
            </w:pict>
          </mc:Fallback>
        </mc:AlternateContent>
      </w:r>
      <w:r w:rsidRPr="00FA1574">
        <w:rPr>
          <w:rFonts w:ascii="Calibri" w:eastAsia="Times New Roman" w:hAnsi="Calibri" w:cs="Calibri"/>
          <w:noProof/>
          <w:color w:val="auto"/>
          <w:kern w:val="0"/>
          <w:sz w:val="22"/>
          <w:szCs w:val="22"/>
          <w:lang w:eastAsia="en-GB"/>
          <w14:ligatures w14:val="none"/>
        </w:rPr>
        <mc:AlternateContent>
          <mc:Choice Requires="wps">
            <w:drawing>
              <wp:anchor distT="0" distB="0" distL="114300" distR="114300" simplePos="0" relativeHeight="251662337" behindDoc="0" locked="0" layoutInCell="1" allowOverlap="1" wp14:anchorId="7066043E" wp14:editId="14BDAA0C">
                <wp:simplePos x="0" y="0"/>
                <wp:positionH relativeFrom="column">
                  <wp:posOffset>2028190</wp:posOffset>
                </wp:positionH>
                <wp:positionV relativeFrom="paragraph">
                  <wp:posOffset>1702179</wp:posOffset>
                </wp:positionV>
                <wp:extent cx="112395" cy="118745"/>
                <wp:effectExtent l="19050" t="19050" r="40005" b="14605"/>
                <wp:wrapNone/>
                <wp:docPr id="1594590672" name="Isosceles Triangle 5"/>
                <wp:cNvGraphicFramePr/>
                <a:graphic xmlns:a="http://schemas.openxmlformats.org/drawingml/2006/main">
                  <a:graphicData uri="http://schemas.microsoft.com/office/word/2010/wordprocessingShape">
                    <wps:wsp>
                      <wps:cNvSpPr/>
                      <wps:spPr>
                        <a:xfrm>
                          <a:off x="0" y="0"/>
                          <a:ext cx="112395" cy="118745"/>
                        </a:xfrm>
                        <a:prstGeom prst="triangle">
                          <a:avLst/>
                        </a:prstGeom>
                        <a:solidFill>
                          <a:srgbClr val="92D05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85EA0" id="Isosceles Triangle 5" o:spid="_x0000_s1026" type="#_x0000_t5" style="position:absolute;margin-left:159.7pt;margin-top:134.05pt;width:8.85pt;height:9.35pt;z-index:251662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" fillcolor="#92d050" strokecolor="#70ad47" strokeweight="1pt"/>
            </w:pict>
          </mc:Fallback>
        </mc:AlternateContent>
      </w:r>
      <w:r w:rsidRPr="00FA1574">
        <w:rPr>
          <w:rFonts w:ascii="Calibri" w:eastAsia="Times New Roman" w:hAnsi="Calibri" w:cs="Calibri"/>
          <w:noProof/>
          <w:color w:val="auto"/>
          <w:kern w:val="0"/>
          <w:sz w:val="22"/>
          <w:szCs w:val="22"/>
          <w:lang w:eastAsia="en-GB"/>
          <w14:ligatures w14:val="none"/>
        </w:rPr>
        <mc:AlternateContent>
          <mc:Choice Requires="wps">
            <w:drawing>
              <wp:anchor distT="0" distB="0" distL="114300" distR="114300" simplePos="0" relativeHeight="251661313" behindDoc="0" locked="0" layoutInCell="1" allowOverlap="1" wp14:anchorId="4B315B03" wp14:editId="3F7D54F6">
                <wp:simplePos x="0" y="0"/>
                <wp:positionH relativeFrom="column">
                  <wp:posOffset>1338036</wp:posOffset>
                </wp:positionH>
                <wp:positionV relativeFrom="paragraph">
                  <wp:posOffset>1700719</wp:posOffset>
                </wp:positionV>
                <wp:extent cx="112395" cy="118745"/>
                <wp:effectExtent l="19050" t="19050" r="40005" b="14605"/>
                <wp:wrapNone/>
                <wp:docPr id="1153448277" name="Isosceles Triangle 5"/>
                <wp:cNvGraphicFramePr/>
                <a:graphic xmlns:a="http://schemas.openxmlformats.org/drawingml/2006/main">
                  <a:graphicData uri="http://schemas.microsoft.com/office/word/2010/wordprocessingShape">
                    <wps:wsp>
                      <wps:cNvSpPr/>
                      <wps:spPr>
                        <a:xfrm>
                          <a:off x="0" y="0"/>
                          <a:ext cx="112395" cy="118745"/>
                        </a:xfrm>
                        <a:prstGeom prst="triangle">
                          <a:avLst/>
                        </a:prstGeom>
                        <a:solidFill>
                          <a:srgbClr val="92D05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E68F9" id="Isosceles Triangle 5" o:spid="_x0000_s1026" type="#_x0000_t5" style="position:absolute;margin-left:105.35pt;margin-top:133.9pt;width:8.85pt;height:9.35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" fillcolor="#92d050" strokecolor="#70ad47" strokeweight="1pt"/>
            </w:pict>
          </mc:Fallback>
        </mc:AlternateContent>
      </w:r>
      <w:r w:rsidRPr="00FA1574">
        <w:rPr>
          <w:rFonts w:ascii="Arial" w:hAnsi="Arial" w:cs="Arial"/>
          <w:color w:val="auto"/>
          <w:kern w:val="0"/>
          <w:sz w:val="22"/>
          <w:szCs w:val="22"/>
          <w14:ligatures w14:val="none"/>
        </w:rPr>
        <w:t>Comparison with the 2021 Consultation provides some notable insights:</w:t>
      </w:r>
    </w:p>
    <w:tbl>
      <w:tblPr>
        <w:tblW w:w="9209" w:type="dxa"/>
        <w:tblLook w:val="04A0" w:firstRow="1" w:lastRow="0" w:firstColumn="1" w:lastColumn="0" w:noHBand="0" w:noVBand="1"/>
      </w:tblPr>
      <w:tblGrid>
        <w:gridCol w:w="1980"/>
        <w:gridCol w:w="1134"/>
        <w:gridCol w:w="1087"/>
        <w:gridCol w:w="1039"/>
        <w:gridCol w:w="992"/>
        <w:gridCol w:w="993"/>
        <w:gridCol w:w="992"/>
        <w:gridCol w:w="992"/>
      </w:tblGrid>
      <w:tr w:rsidR="00FA1574" w:rsidRPr="00FA1574" w14:paraId="7C8A5B1F" w14:textId="77777777" w:rsidTr="00F5532B">
        <w:trPr>
          <w:trHeight w:val="315"/>
        </w:trPr>
        <w:tc>
          <w:tcPr>
            <w:tcW w:w="1980" w:type="dxa"/>
            <w:tcBorders>
              <w:right w:val="single" w:sz="4" w:space="0" w:color="auto"/>
            </w:tcBorders>
          </w:tcPr>
          <w:p w14:paraId="51661440" w14:textId="77777777" w:rsidR="00FA1574" w:rsidRPr="00FA1574" w:rsidRDefault="00FA1574" w:rsidP="00FA1574">
            <w:pPr>
              <w:rPr>
                <w:rFonts w:ascii="Calibri" w:eastAsia="Times New Roman" w:hAnsi="Calibri" w:cs="Calibri"/>
                <w:b/>
                <w:bCs/>
                <w:color w:val="auto"/>
                <w:kern w:val="0"/>
                <w:lang w:eastAsia="en-GB"/>
                <w14:ligatures w14:val="none"/>
              </w:rPr>
            </w:pPr>
          </w:p>
        </w:tc>
        <w:tc>
          <w:tcPr>
            <w:tcW w:w="7229" w:type="dxa"/>
            <w:gridSpan w:val="7"/>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5423CD5D" w14:textId="77777777" w:rsidR="00FA1574" w:rsidRPr="00FA1574" w:rsidRDefault="00FA1574" w:rsidP="00FA1574">
            <w:pPr>
              <w:rPr>
                <w:rFonts w:ascii="Calibri" w:eastAsia="Times New Roman" w:hAnsi="Calibri" w:cs="Calibri"/>
                <w:b/>
                <w:bCs/>
                <w:color w:val="auto"/>
                <w:kern w:val="0"/>
                <w:lang w:eastAsia="en-GB"/>
                <w14:ligatures w14:val="none"/>
              </w:rPr>
            </w:pPr>
            <w:r w:rsidRPr="00FA1574">
              <w:rPr>
                <w:rFonts w:ascii="Calibri" w:eastAsia="Times New Roman" w:hAnsi="Calibri" w:cs="Calibri"/>
                <w:b/>
                <w:bCs/>
                <w:color w:val="auto"/>
                <w:kern w:val="0"/>
                <w:lang w:eastAsia="en-GB"/>
                <w14:ligatures w14:val="none"/>
              </w:rPr>
              <w:t>What is your age?</w:t>
            </w:r>
          </w:p>
        </w:tc>
      </w:tr>
      <w:tr w:rsidR="00FA1574" w:rsidRPr="00FA1574" w14:paraId="297A5997" w14:textId="77777777" w:rsidTr="00F5532B">
        <w:trPr>
          <w:trHeight w:val="285"/>
        </w:trPr>
        <w:tc>
          <w:tcPr>
            <w:tcW w:w="1980" w:type="dxa"/>
            <w:tcBorders>
              <w:bottom w:val="single" w:sz="4" w:space="0" w:color="auto"/>
              <w:right w:val="single" w:sz="4" w:space="0" w:color="auto"/>
            </w:tcBorders>
          </w:tcPr>
          <w:p w14:paraId="62D6BB81" w14:textId="77777777" w:rsidR="00FA1574" w:rsidRPr="00FA1574" w:rsidRDefault="00FA1574" w:rsidP="00FA1574">
            <w:pPr>
              <w:rPr>
                <w:rFonts w:ascii="Calibri" w:eastAsia="Times New Roman" w:hAnsi="Calibri" w:cs="Calibri"/>
                <w:color w:val="auto"/>
                <w:kern w:val="0"/>
                <w:sz w:val="22"/>
                <w:szCs w:val="22"/>
                <w:lang w:eastAsia="en-GB"/>
                <w14:ligatures w14:val="none"/>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62E43ED2"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Under 25</w:t>
            </w:r>
          </w:p>
        </w:tc>
        <w:tc>
          <w:tcPr>
            <w:tcW w:w="1087" w:type="dxa"/>
            <w:tcBorders>
              <w:top w:val="nil"/>
              <w:left w:val="nil"/>
              <w:bottom w:val="single" w:sz="4" w:space="0" w:color="000000"/>
              <w:right w:val="single" w:sz="4" w:space="0" w:color="000000"/>
            </w:tcBorders>
            <w:shd w:val="clear" w:color="auto" w:fill="auto"/>
            <w:noWrap/>
            <w:vAlign w:val="bottom"/>
            <w:hideMark/>
          </w:tcPr>
          <w:p w14:paraId="694ADAE6"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25-34</w:t>
            </w:r>
          </w:p>
        </w:tc>
        <w:tc>
          <w:tcPr>
            <w:tcW w:w="1039" w:type="dxa"/>
            <w:tcBorders>
              <w:top w:val="nil"/>
              <w:left w:val="nil"/>
              <w:bottom w:val="single" w:sz="4" w:space="0" w:color="000000"/>
              <w:right w:val="single" w:sz="4" w:space="0" w:color="000000"/>
            </w:tcBorders>
            <w:shd w:val="clear" w:color="auto" w:fill="auto"/>
            <w:noWrap/>
            <w:vAlign w:val="bottom"/>
            <w:hideMark/>
          </w:tcPr>
          <w:p w14:paraId="77BC96DF"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35-44</w:t>
            </w:r>
          </w:p>
        </w:tc>
        <w:tc>
          <w:tcPr>
            <w:tcW w:w="992" w:type="dxa"/>
            <w:tcBorders>
              <w:top w:val="nil"/>
              <w:left w:val="nil"/>
              <w:bottom w:val="single" w:sz="4" w:space="0" w:color="000000"/>
              <w:right w:val="single" w:sz="4" w:space="0" w:color="000000"/>
            </w:tcBorders>
            <w:shd w:val="clear" w:color="auto" w:fill="auto"/>
            <w:noWrap/>
            <w:vAlign w:val="bottom"/>
            <w:hideMark/>
          </w:tcPr>
          <w:p w14:paraId="18F4E9BE"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45-54</w:t>
            </w:r>
          </w:p>
        </w:tc>
        <w:tc>
          <w:tcPr>
            <w:tcW w:w="993" w:type="dxa"/>
            <w:tcBorders>
              <w:top w:val="nil"/>
              <w:left w:val="nil"/>
              <w:bottom w:val="single" w:sz="4" w:space="0" w:color="000000"/>
              <w:right w:val="single" w:sz="4" w:space="0" w:color="000000"/>
            </w:tcBorders>
            <w:shd w:val="clear" w:color="auto" w:fill="auto"/>
            <w:noWrap/>
            <w:vAlign w:val="bottom"/>
            <w:hideMark/>
          </w:tcPr>
          <w:p w14:paraId="06B7D3E7"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55-64</w:t>
            </w:r>
          </w:p>
        </w:tc>
        <w:tc>
          <w:tcPr>
            <w:tcW w:w="992" w:type="dxa"/>
            <w:tcBorders>
              <w:top w:val="nil"/>
              <w:left w:val="nil"/>
              <w:bottom w:val="single" w:sz="4" w:space="0" w:color="000000"/>
              <w:right w:val="single" w:sz="4" w:space="0" w:color="000000"/>
            </w:tcBorders>
            <w:shd w:val="clear" w:color="auto" w:fill="auto"/>
            <w:noWrap/>
            <w:vAlign w:val="bottom"/>
            <w:hideMark/>
          </w:tcPr>
          <w:p w14:paraId="5548E908"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65-74</w:t>
            </w:r>
          </w:p>
        </w:tc>
        <w:tc>
          <w:tcPr>
            <w:tcW w:w="992" w:type="dxa"/>
            <w:tcBorders>
              <w:top w:val="nil"/>
              <w:left w:val="nil"/>
              <w:bottom w:val="single" w:sz="4" w:space="0" w:color="000000"/>
              <w:right w:val="single" w:sz="4" w:space="0" w:color="000000"/>
            </w:tcBorders>
            <w:shd w:val="clear" w:color="auto" w:fill="auto"/>
            <w:noWrap/>
            <w:vAlign w:val="bottom"/>
            <w:hideMark/>
          </w:tcPr>
          <w:p w14:paraId="6920C6DF"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75 and over</w:t>
            </w:r>
          </w:p>
        </w:tc>
      </w:tr>
      <w:tr w:rsidR="00FA1574" w:rsidRPr="00FA1574" w14:paraId="1029D46E" w14:textId="77777777" w:rsidTr="00F5532B">
        <w:trPr>
          <w:trHeight w:val="285"/>
        </w:trPr>
        <w:tc>
          <w:tcPr>
            <w:tcW w:w="1980" w:type="dxa"/>
            <w:vMerge w:val="restart"/>
            <w:tcBorders>
              <w:top w:val="single" w:sz="4" w:space="0" w:color="auto"/>
              <w:left w:val="single" w:sz="4" w:space="0" w:color="000000"/>
              <w:bottom w:val="single" w:sz="4" w:space="0" w:color="auto"/>
              <w:right w:val="single" w:sz="4" w:space="0" w:color="000000"/>
            </w:tcBorders>
          </w:tcPr>
          <w:p w14:paraId="55CBC401" w14:textId="77777777" w:rsidR="00FA1574" w:rsidRPr="00FA1574" w:rsidRDefault="00FA1574" w:rsidP="00FA1574">
            <w:pPr>
              <w:rPr>
                <w:rFonts w:ascii="Calibri" w:eastAsia="Times New Roman" w:hAnsi="Calibri" w:cs="Calibri"/>
                <w:color w:val="auto"/>
                <w:kern w:val="0"/>
                <w:sz w:val="22"/>
                <w:szCs w:val="22"/>
                <w:lang w:eastAsia="en-GB"/>
                <w14:ligatures w14:val="none"/>
              </w:rPr>
            </w:pPr>
          </w:p>
          <w:p w14:paraId="052B4584"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2021</w:t>
            </w:r>
          </w:p>
        </w:tc>
        <w:tc>
          <w:tcPr>
            <w:tcW w:w="1134" w:type="dxa"/>
            <w:tcBorders>
              <w:top w:val="single" w:sz="4" w:space="0" w:color="000000"/>
              <w:left w:val="single" w:sz="4" w:space="0" w:color="000000"/>
              <w:bottom w:val="single" w:sz="4" w:space="0" w:color="auto"/>
              <w:right w:val="single" w:sz="4" w:space="0" w:color="000000"/>
            </w:tcBorders>
            <w:shd w:val="clear" w:color="auto" w:fill="auto"/>
            <w:noWrap/>
            <w:vAlign w:val="bottom"/>
            <w:hideMark/>
          </w:tcPr>
          <w:p w14:paraId="681682B0"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3</w:t>
            </w:r>
          </w:p>
        </w:tc>
        <w:tc>
          <w:tcPr>
            <w:tcW w:w="1087" w:type="dxa"/>
            <w:tcBorders>
              <w:top w:val="nil"/>
              <w:left w:val="nil"/>
              <w:bottom w:val="single" w:sz="4" w:space="0" w:color="auto"/>
              <w:right w:val="single" w:sz="4" w:space="0" w:color="000000"/>
            </w:tcBorders>
            <w:shd w:val="clear" w:color="auto" w:fill="auto"/>
            <w:noWrap/>
            <w:vAlign w:val="bottom"/>
            <w:hideMark/>
          </w:tcPr>
          <w:p w14:paraId="42A07A72"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8</w:t>
            </w:r>
          </w:p>
        </w:tc>
        <w:tc>
          <w:tcPr>
            <w:tcW w:w="1039" w:type="dxa"/>
            <w:tcBorders>
              <w:top w:val="nil"/>
              <w:left w:val="nil"/>
              <w:bottom w:val="single" w:sz="4" w:space="0" w:color="auto"/>
              <w:right w:val="single" w:sz="4" w:space="0" w:color="000000"/>
            </w:tcBorders>
            <w:shd w:val="clear" w:color="auto" w:fill="auto"/>
            <w:noWrap/>
            <w:vAlign w:val="bottom"/>
            <w:hideMark/>
          </w:tcPr>
          <w:p w14:paraId="21863F75"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20</w:t>
            </w:r>
          </w:p>
        </w:tc>
        <w:tc>
          <w:tcPr>
            <w:tcW w:w="992" w:type="dxa"/>
            <w:tcBorders>
              <w:top w:val="nil"/>
              <w:left w:val="nil"/>
              <w:bottom w:val="single" w:sz="4" w:space="0" w:color="auto"/>
              <w:right w:val="single" w:sz="4" w:space="0" w:color="000000"/>
            </w:tcBorders>
            <w:shd w:val="clear" w:color="auto" w:fill="auto"/>
            <w:noWrap/>
            <w:vAlign w:val="bottom"/>
            <w:hideMark/>
          </w:tcPr>
          <w:p w14:paraId="363D2F64"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15</w:t>
            </w:r>
          </w:p>
        </w:tc>
        <w:tc>
          <w:tcPr>
            <w:tcW w:w="993" w:type="dxa"/>
            <w:tcBorders>
              <w:top w:val="nil"/>
              <w:left w:val="nil"/>
              <w:bottom w:val="single" w:sz="4" w:space="0" w:color="auto"/>
              <w:right w:val="single" w:sz="4" w:space="0" w:color="000000"/>
            </w:tcBorders>
            <w:shd w:val="clear" w:color="auto" w:fill="auto"/>
            <w:noWrap/>
            <w:vAlign w:val="bottom"/>
            <w:hideMark/>
          </w:tcPr>
          <w:p w14:paraId="644FD888"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15</w:t>
            </w:r>
          </w:p>
        </w:tc>
        <w:tc>
          <w:tcPr>
            <w:tcW w:w="992" w:type="dxa"/>
            <w:tcBorders>
              <w:top w:val="nil"/>
              <w:left w:val="nil"/>
              <w:bottom w:val="single" w:sz="4" w:space="0" w:color="auto"/>
              <w:right w:val="single" w:sz="4" w:space="0" w:color="000000"/>
            </w:tcBorders>
            <w:shd w:val="clear" w:color="auto" w:fill="auto"/>
            <w:noWrap/>
            <w:vAlign w:val="bottom"/>
            <w:hideMark/>
          </w:tcPr>
          <w:p w14:paraId="6632C500"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6</w:t>
            </w:r>
          </w:p>
        </w:tc>
        <w:tc>
          <w:tcPr>
            <w:tcW w:w="992" w:type="dxa"/>
            <w:tcBorders>
              <w:top w:val="nil"/>
              <w:left w:val="nil"/>
              <w:bottom w:val="single" w:sz="4" w:space="0" w:color="auto"/>
              <w:right w:val="single" w:sz="4" w:space="0" w:color="000000"/>
            </w:tcBorders>
            <w:shd w:val="clear" w:color="auto" w:fill="auto"/>
            <w:noWrap/>
            <w:vAlign w:val="bottom"/>
            <w:hideMark/>
          </w:tcPr>
          <w:p w14:paraId="44BC8AE9"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3</w:t>
            </w:r>
          </w:p>
        </w:tc>
      </w:tr>
      <w:tr w:rsidR="00FA1574" w:rsidRPr="00FA1574" w14:paraId="11D8E086" w14:textId="77777777" w:rsidTr="00F5532B">
        <w:trPr>
          <w:trHeight w:val="285"/>
        </w:trPr>
        <w:tc>
          <w:tcPr>
            <w:tcW w:w="1980" w:type="dxa"/>
            <w:vMerge/>
            <w:tcBorders>
              <w:left w:val="single" w:sz="4" w:space="0" w:color="000000"/>
              <w:bottom w:val="single" w:sz="4" w:space="0" w:color="auto"/>
              <w:right w:val="single" w:sz="4" w:space="0" w:color="000000"/>
            </w:tcBorders>
          </w:tcPr>
          <w:p w14:paraId="2FC733E3" w14:textId="77777777" w:rsidR="00FA1574" w:rsidRPr="00FA1574" w:rsidRDefault="00FA1574" w:rsidP="00FA1574">
            <w:pPr>
              <w:rPr>
                <w:rFonts w:ascii="Calibri" w:eastAsia="Times New Roman" w:hAnsi="Calibri" w:cs="Calibri"/>
                <w:color w:val="auto"/>
                <w:kern w:val="0"/>
                <w:sz w:val="22"/>
                <w:szCs w:val="22"/>
                <w:lang w:eastAsia="en-GB"/>
                <w14:ligatures w14:val="none"/>
              </w:rPr>
            </w:pPr>
          </w:p>
        </w:tc>
        <w:tc>
          <w:tcPr>
            <w:tcW w:w="1134" w:type="dxa"/>
            <w:tcBorders>
              <w:top w:val="single" w:sz="4" w:space="0" w:color="auto"/>
              <w:left w:val="single" w:sz="4" w:space="0" w:color="000000"/>
              <w:bottom w:val="single" w:sz="4" w:space="0" w:color="auto"/>
              <w:right w:val="single" w:sz="4" w:space="0" w:color="auto"/>
            </w:tcBorders>
            <w:shd w:val="clear" w:color="auto" w:fill="auto"/>
            <w:noWrap/>
            <w:vAlign w:val="bottom"/>
            <w:hideMark/>
          </w:tcPr>
          <w:p w14:paraId="081E6096"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4.0%</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C1B29"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11.0%</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A9E02"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29.0%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C695A"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21.0%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26521"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E8F1D"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9.0%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50335"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4.0%</w:t>
            </w:r>
          </w:p>
        </w:tc>
      </w:tr>
      <w:tr w:rsidR="00FA1574" w:rsidRPr="00FA1574" w14:paraId="142B1A04" w14:textId="77777777" w:rsidTr="00F5532B">
        <w:trPr>
          <w:trHeight w:val="87"/>
        </w:trPr>
        <w:tc>
          <w:tcPr>
            <w:tcW w:w="9209"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2A271B" w14:textId="77777777" w:rsidR="00FA1574" w:rsidRPr="00FA1574" w:rsidRDefault="00FA1574" w:rsidP="00FA1574">
            <w:pPr>
              <w:rPr>
                <w:rFonts w:ascii="Calibri" w:eastAsia="Times New Roman" w:hAnsi="Calibri" w:cs="Calibri"/>
                <w:color w:val="auto"/>
                <w:kern w:val="0"/>
                <w:sz w:val="10"/>
                <w:szCs w:val="10"/>
                <w:lang w:eastAsia="en-GB"/>
                <w14:ligatures w14:val="none"/>
              </w:rPr>
            </w:pPr>
          </w:p>
        </w:tc>
      </w:tr>
      <w:tr w:rsidR="00FA1574" w:rsidRPr="00FA1574" w14:paraId="773829BF" w14:textId="77777777" w:rsidTr="00F5532B">
        <w:trPr>
          <w:trHeight w:val="285"/>
        </w:trPr>
        <w:tc>
          <w:tcPr>
            <w:tcW w:w="1980" w:type="dxa"/>
            <w:vMerge w:val="restart"/>
            <w:tcBorders>
              <w:top w:val="single" w:sz="4" w:space="0" w:color="auto"/>
              <w:left w:val="single" w:sz="4" w:space="0" w:color="auto"/>
              <w:right w:val="single" w:sz="4" w:space="0" w:color="auto"/>
            </w:tcBorders>
          </w:tcPr>
          <w:p w14:paraId="5491D1CF" w14:textId="77777777" w:rsidR="00FA1574" w:rsidRPr="00FA1574" w:rsidRDefault="00FA1574" w:rsidP="00FA1574">
            <w:pPr>
              <w:rPr>
                <w:rFonts w:ascii="Calibri" w:eastAsia="Times New Roman" w:hAnsi="Calibri" w:cs="Calibri"/>
                <w:color w:val="auto"/>
                <w:kern w:val="0"/>
                <w:sz w:val="22"/>
                <w:szCs w:val="22"/>
                <w:lang w:eastAsia="en-GB"/>
                <w14:ligatures w14:val="none"/>
              </w:rPr>
            </w:pPr>
          </w:p>
          <w:p w14:paraId="792AE18A"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2024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1B682F"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36</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78D96C"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107</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39D1EF"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148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37A587"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135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D5EE81"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128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2BA91F"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61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03F76F"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29</w:t>
            </w:r>
          </w:p>
        </w:tc>
      </w:tr>
      <w:tr w:rsidR="00FA1574" w:rsidRPr="00FA1574" w14:paraId="15FFE803" w14:textId="77777777" w:rsidTr="00F5532B">
        <w:trPr>
          <w:trHeight w:val="285"/>
        </w:trPr>
        <w:tc>
          <w:tcPr>
            <w:tcW w:w="1980" w:type="dxa"/>
            <w:vMerge/>
            <w:tcBorders>
              <w:left w:val="single" w:sz="4" w:space="0" w:color="auto"/>
              <w:bottom w:val="single" w:sz="4" w:space="0" w:color="auto"/>
              <w:right w:val="single" w:sz="4" w:space="0" w:color="auto"/>
            </w:tcBorders>
          </w:tcPr>
          <w:p w14:paraId="40A68F14" w14:textId="77777777" w:rsidR="00FA1574" w:rsidRPr="00FA1574" w:rsidRDefault="00FA1574" w:rsidP="00FA1574">
            <w:pPr>
              <w:rPr>
                <w:rFonts w:ascii="Calibri" w:eastAsia="Times New Roman" w:hAnsi="Calibri" w:cs="Calibri"/>
                <w:color w:val="auto"/>
                <w:kern w:val="0"/>
                <w:sz w:val="22"/>
                <w:szCs w:val="22"/>
                <w:lang w:eastAsia="en-GB"/>
                <w14:ligatures w14:val="none"/>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CBD47F"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5.6%</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A3EAFF"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16.6%</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7B10D4"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4166D7"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21.0%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130712"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19.9%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030386"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9.5%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AAF82F"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4.5%</w:t>
            </w:r>
          </w:p>
        </w:tc>
      </w:tr>
      <w:tr w:rsidR="00FA1574" w:rsidRPr="00FA1574" w14:paraId="7D49EA4A" w14:textId="77777777" w:rsidTr="00F5532B">
        <w:trPr>
          <w:trHeight w:val="285"/>
        </w:trPr>
        <w:tc>
          <w:tcPr>
            <w:tcW w:w="1980" w:type="dxa"/>
            <w:tcBorders>
              <w:top w:val="single" w:sz="4" w:space="0" w:color="auto"/>
              <w:left w:val="single" w:sz="4" w:space="0" w:color="auto"/>
              <w:bottom w:val="single" w:sz="4" w:space="0" w:color="auto"/>
              <w:right w:val="single" w:sz="4" w:space="0" w:color="auto"/>
            </w:tcBorders>
          </w:tcPr>
          <w:p w14:paraId="157472C4"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Increase/Decrease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637B1B"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1.6%</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6939A"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5.6%</w:t>
            </w:r>
          </w:p>
        </w:tc>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0937C9"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noProof/>
                <w:color w:val="auto"/>
                <w:kern w:val="0"/>
                <w:sz w:val="22"/>
                <w:szCs w:val="22"/>
                <w:lang w:eastAsia="en-GB"/>
                <w14:ligatures w14:val="none"/>
              </w:rPr>
              <mc:AlternateContent>
                <mc:Choice Requires="wps">
                  <w:drawing>
                    <wp:anchor distT="0" distB="0" distL="114300" distR="114300" simplePos="0" relativeHeight="251663361" behindDoc="0" locked="0" layoutInCell="1" allowOverlap="1" wp14:anchorId="46313729" wp14:editId="691DF8E8">
                      <wp:simplePos x="0" y="0"/>
                      <wp:positionH relativeFrom="column">
                        <wp:posOffset>388620</wp:posOffset>
                      </wp:positionH>
                      <wp:positionV relativeFrom="paragraph">
                        <wp:posOffset>7620</wp:posOffset>
                      </wp:positionV>
                      <wp:extent cx="112395" cy="118745"/>
                      <wp:effectExtent l="19050" t="0" r="40005" b="33655"/>
                      <wp:wrapNone/>
                      <wp:docPr id="1490600894" name="Isosceles Triangle 5"/>
                      <wp:cNvGraphicFramePr/>
                      <a:graphic xmlns:a="http://schemas.openxmlformats.org/drawingml/2006/main">
                        <a:graphicData uri="http://schemas.microsoft.com/office/word/2010/wordprocessingShape">
                          <wps:wsp>
                            <wps:cNvSpPr/>
                            <wps:spPr>
                              <a:xfrm rot="10800000">
                                <a:off x="0" y="0"/>
                                <a:ext cx="112395" cy="118745"/>
                              </a:xfrm>
                              <a:prstGeom prst="triangl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2E201" id="Isosceles Triangle 5" o:spid="_x0000_s1026" type="#_x0000_t5" style="position:absolute;margin-left:30.6pt;margin-top:.6pt;width:8.85pt;height:9.35pt;rotation:180;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" fillcolor="#c00000" strokecolor="#c00000" strokeweight="1pt"/>
                  </w:pict>
                </mc:Fallback>
              </mc:AlternateContent>
            </w:r>
            <w:r w:rsidRPr="00FA1574">
              <w:rPr>
                <w:rFonts w:ascii="Calibri" w:eastAsia="Times New Roman" w:hAnsi="Calibri" w:cs="Calibri"/>
                <w:color w:val="auto"/>
                <w:kern w:val="0"/>
                <w:sz w:val="22"/>
                <w:szCs w:val="22"/>
                <w:lang w:eastAsia="en-GB"/>
                <w14:ligatures w14:val="none"/>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AE06BE"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457002"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noProof/>
                <w:color w:val="auto"/>
                <w:kern w:val="0"/>
                <w:sz w:val="22"/>
                <w:szCs w:val="22"/>
                <w:lang w:eastAsia="en-GB"/>
                <w14:ligatures w14:val="none"/>
              </w:rPr>
              <mc:AlternateContent>
                <mc:Choice Requires="wps">
                  <w:drawing>
                    <wp:anchor distT="0" distB="0" distL="114300" distR="114300" simplePos="0" relativeHeight="251664385" behindDoc="0" locked="0" layoutInCell="1" allowOverlap="1" wp14:anchorId="3DE2D464" wp14:editId="41FAE0B0">
                      <wp:simplePos x="0" y="0"/>
                      <wp:positionH relativeFrom="column">
                        <wp:posOffset>356870</wp:posOffset>
                      </wp:positionH>
                      <wp:positionV relativeFrom="paragraph">
                        <wp:posOffset>6985</wp:posOffset>
                      </wp:positionV>
                      <wp:extent cx="112395" cy="118745"/>
                      <wp:effectExtent l="19050" t="0" r="40005" b="33655"/>
                      <wp:wrapNone/>
                      <wp:docPr id="2140135598" name="Isosceles Triangle 5"/>
                      <wp:cNvGraphicFramePr/>
                      <a:graphic xmlns:a="http://schemas.openxmlformats.org/drawingml/2006/main">
                        <a:graphicData uri="http://schemas.microsoft.com/office/word/2010/wordprocessingShape">
                          <wps:wsp>
                            <wps:cNvSpPr/>
                            <wps:spPr>
                              <a:xfrm rot="10800000">
                                <a:off x="0" y="0"/>
                                <a:ext cx="112395" cy="118745"/>
                              </a:xfrm>
                              <a:prstGeom prst="triangl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CC31B" id="Isosceles Triangle 5" o:spid="_x0000_s1026" type="#_x0000_t5" style="position:absolute;margin-left:28.1pt;margin-top:.55pt;width:8.85pt;height:9.35pt;rotation:180;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" fillcolor="#c00000" strokecolor="#c00000" strokeweight="1pt"/>
                  </w:pict>
                </mc:Fallback>
              </mc:AlternateContent>
            </w:r>
            <w:r w:rsidRPr="00FA1574">
              <w:rPr>
                <w:rFonts w:ascii="Calibri" w:eastAsia="Times New Roman" w:hAnsi="Calibri" w:cs="Calibri"/>
                <w:color w:val="auto"/>
                <w:kern w:val="0"/>
                <w:sz w:val="22"/>
                <w:szCs w:val="22"/>
                <w:lang w:eastAsia="en-GB"/>
                <w14:ligatures w14:val="none"/>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E6AD0E"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89D1FE"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0.5%</w:t>
            </w:r>
          </w:p>
        </w:tc>
      </w:tr>
    </w:tbl>
    <w:p w14:paraId="17AE242D" w14:textId="77777777" w:rsidR="00FA1574" w:rsidRPr="00FA1574" w:rsidRDefault="00FA1574" w:rsidP="00FA1574">
      <w:pPr>
        <w:spacing w:after="160" w:line="259" w:lineRule="auto"/>
        <w:rPr>
          <w:rFonts w:ascii="Arial" w:hAnsi="Arial" w:cs="Arial"/>
          <w:color w:val="auto"/>
          <w:kern w:val="0"/>
          <w:sz w:val="22"/>
          <w:szCs w:val="22"/>
          <w14:ligatures w14:val="none"/>
        </w:rPr>
      </w:pPr>
    </w:p>
    <w:p w14:paraId="0EAE9F9A" w14:textId="77777777" w:rsidR="00FA1574" w:rsidRPr="00FA1574" w:rsidRDefault="00FA1574" w:rsidP="00FA1574">
      <w:pPr>
        <w:numPr>
          <w:ilvl w:val="0"/>
          <w:numId w:val="28"/>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Submissions from under 35s increased by a total of 7.2% in this consultation. It is probable that this increase has been driven primarily by an improved social media presence &amp; reach. </w:t>
      </w:r>
    </w:p>
    <w:p w14:paraId="5C2D94D6" w14:textId="77777777" w:rsidR="00FA1574" w:rsidRPr="00FA1574" w:rsidRDefault="00FA1574" w:rsidP="00FA1574">
      <w:pPr>
        <w:numPr>
          <w:ilvl w:val="0"/>
          <w:numId w:val="28"/>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As discussed later in this report, NFRS also conducted a specific Focus Group with Young People. </w:t>
      </w:r>
    </w:p>
    <w:p w14:paraId="5BB3B0EE" w14:textId="77777777" w:rsidR="00FA1574" w:rsidRPr="00FA1574" w:rsidRDefault="00FA1574" w:rsidP="00FA1574">
      <w:pPr>
        <w:numPr>
          <w:ilvl w:val="0"/>
          <w:numId w:val="28"/>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This increase explains the decrease in the mid-range; overall increases in the percentage of submissions from younger demographics means a decrease in the overall share of the submissions from 35–64-year-olds.</w:t>
      </w:r>
    </w:p>
    <w:p w14:paraId="4A052A4F" w14:textId="77777777" w:rsidR="00A30C20" w:rsidRDefault="00A30C20" w:rsidP="00FA1574">
      <w:pPr>
        <w:spacing w:after="160" w:line="259" w:lineRule="auto"/>
        <w:rPr>
          <w:rFonts w:ascii="Arial" w:hAnsi="Arial" w:cs="Arial"/>
          <w:b/>
          <w:bCs/>
          <w:color w:val="auto"/>
          <w:kern w:val="0"/>
          <w14:ligatures w14:val="none"/>
        </w:rPr>
      </w:pPr>
    </w:p>
    <w:p w14:paraId="1797767A" w14:textId="037C1383" w:rsidR="00FA1574" w:rsidRPr="00FA1574" w:rsidRDefault="00FA1574" w:rsidP="00FA1574">
      <w:pPr>
        <w:spacing w:after="160" w:line="259" w:lineRule="auto"/>
        <w:rPr>
          <w:rFonts w:ascii="Arial" w:hAnsi="Arial" w:cs="Arial"/>
          <w:b/>
          <w:bCs/>
          <w:color w:val="auto"/>
          <w:kern w:val="0"/>
          <w14:ligatures w14:val="none"/>
        </w:rPr>
      </w:pPr>
      <w:r w:rsidRPr="00FA1574">
        <w:rPr>
          <w:rFonts w:ascii="Arial" w:hAnsi="Arial" w:cs="Arial"/>
          <w:b/>
          <w:bCs/>
          <w:color w:val="auto"/>
          <w:kern w:val="0"/>
          <w14:ligatures w14:val="none"/>
        </w:rPr>
        <w:t>Gender</w:t>
      </w:r>
    </w:p>
    <w:tbl>
      <w:tblPr>
        <w:tblW w:w="5100" w:type="dxa"/>
        <w:tblLook w:val="04A0" w:firstRow="1" w:lastRow="0" w:firstColumn="1" w:lastColumn="0" w:noHBand="0" w:noVBand="1"/>
      </w:tblPr>
      <w:tblGrid>
        <w:gridCol w:w="1020"/>
        <w:gridCol w:w="1020"/>
        <w:gridCol w:w="1020"/>
        <w:gridCol w:w="1020"/>
        <w:gridCol w:w="1020"/>
      </w:tblGrid>
      <w:tr w:rsidR="00FA1574" w:rsidRPr="00FA1574" w14:paraId="7108B528" w14:textId="77777777" w:rsidTr="00F5532B">
        <w:trPr>
          <w:trHeight w:val="315"/>
        </w:trPr>
        <w:tc>
          <w:tcPr>
            <w:tcW w:w="5100" w:type="dxa"/>
            <w:gridSpan w:val="5"/>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A8DBE5" w14:textId="77777777" w:rsidR="00FA1574" w:rsidRPr="00FA1574" w:rsidRDefault="00FA1574" w:rsidP="00FA1574">
            <w:pPr>
              <w:rPr>
                <w:rFonts w:ascii="Calibri" w:eastAsia="Times New Roman" w:hAnsi="Calibri" w:cs="Calibri"/>
                <w:b/>
                <w:bCs/>
                <w:color w:val="auto"/>
                <w:kern w:val="0"/>
                <w:lang w:eastAsia="en-GB"/>
                <w14:ligatures w14:val="none"/>
              </w:rPr>
            </w:pPr>
            <w:r w:rsidRPr="00FA1574">
              <w:rPr>
                <w:rFonts w:ascii="Calibri" w:eastAsia="Times New Roman" w:hAnsi="Calibri" w:cs="Calibri"/>
                <w:b/>
                <w:bCs/>
                <w:color w:val="auto"/>
                <w:kern w:val="0"/>
                <w:lang w:eastAsia="en-GB"/>
                <w14:ligatures w14:val="none"/>
              </w:rPr>
              <w:t>What is your gender?</w:t>
            </w:r>
          </w:p>
        </w:tc>
      </w:tr>
      <w:tr w:rsidR="00FA1574" w:rsidRPr="00FA1574" w14:paraId="0AEA7A74" w14:textId="77777777" w:rsidTr="00F5532B">
        <w:trPr>
          <w:trHeight w:val="570"/>
        </w:trPr>
        <w:tc>
          <w:tcPr>
            <w:tcW w:w="1020" w:type="dxa"/>
            <w:tcBorders>
              <w:top w:val="nil"/>
              <w:left w:val="single" w:sz="4" w:space="0" w:color="000000"/>
              <w:bottom w:val="single" w:sz="4" w:space="0" w:color="000000"/>
              <w:right w:val="single" w:sz="4" w:space="0" w:color="000000"/>
            </w:tcBorders>
            <w:shd w:val="clear" w:color="auto" w:fill="auto"/>
            <w:vAlign w:val="bottom"/>
            <w:hideMark/>
          </w:tcPr>
          <w:p w14:paraId="761ABEFB"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Female</w:t>
            </w:r>
          </w:p>
        </w:tc>
        <w:tc>
          <w:tcPr>
            <w:tcW w:w="1020" w:type="dxa"/>
            <w:tcBorders>
              <w:top w:val="nil"/>
              <w:left w:val="nil"/>
              <w:bottom w:val="single" w:sz="4" w:space="0" w:color="000000"/>
              <w:right w:val="single" w:sz="4" w:space="0" w:color="000000"/>
            </w:tcBorders>
            <w:shd w:val="clear" w:color="auto" w:fill="auto"/>
            <w:vAlign w:val="bottom"/>
            <w:hideMark/>
          </w:tcPr>
          <w:p w14:paraId="7B1DA255"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Male</w:t>
            </w:r>
          </w:p>
        </w:tc>
        <w:tc>
          <w:tcPr>
            <w:tcW w:w="1020" w:type="dxa"/>
            <w:tcBorders>
              <w:top w:val="nil"/>
              <w:left w:val="nil"/>
              <w:bottom w:val="single" w:sz="4" w:space="0" w:color="000000"/>
              <w:right w:val="single" w:sz="4" w:space="0" w:color="000000"/>
            </w:tcBorders>
            <w:shd w:val="clear" w:color="auto" w:fill="auto"/>
            <w:vAlign w:val="bottom"/>
            <w:hideMark/>
          </w:tcPr>
          <w:p w14:paraId="3AE9A086"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Prefer not to say</w:t>
            </w:r>
          </w:p>
        </w:tc>
        <w:tc>
          <w:tcPr>
            <w:tcW w:w="1020" w:type="dxa"/>
            <w:tcBorders>
              <w:top w:val="nil"/>
              <w:left w:val="nil"/>
              <w:bottom w:val="single" w:sz="4" w:space="0" w:color="000000"/>
              <w:right w:val="single" w:sz="4" w:space="0" w:color="000000"/>
            </w:tcBorders>
            <w:shd w:val="clear" w:color="auto" w:fill="auto"/>
            <w:vAlign w:val="bottom"/>
            <w:hideMark/>
          </w:tcPr>
          <w:p w14:paraId="2FC00215"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Non-binary</w:t>
            </w:r>
          </w:p>
        </w:tc>
        <w:tc>
          <w:tcPr>
            <w:tcW w:w="1020" w:type="dxa"/>
            <w:tcBorders>
              <w:top w:val="nil"/>
              <w:left w:val="nil"/>
              <w:bottom w:val="single" w:sz="4" w:space="0" w:color="000000"/>
              <w:right w:val="single" w:sz="4" w:space="0" w:color="000000"/>
            </w:tcBorders>
            <w:shd w:val="clear" w:color="auto" w:fill="auto"/>
            <w:vAlign w:val="bottom"/>
            <w:hideMark/>
          </w:tcPr>
          <w:p w14:paraId="741CAB74"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Prefer to self-describe</w:t>
            </w:r>
          </w:p>
        </w:tc>
      </w:tr>
      <w:tr w:rsidR="00FA1574" w:rsidRPr="00FA1574" w14:paraId="257A5E8A" w14:textId="77777777" w:rsidTr="00F5532B">
        <w:trPr>
          <w:trHeight w:val="285"/>
        </w:trPr>
        <w:tc>
          <w:tcPr>
            <w:tcW w:w="1020" w:type="dxa"/>
            <w:tcBorders>
              <w:top w:val="nil"/>
              <w:left w:val="single" w:sz="4" w:space="0" w:color="000000"/>
              <w:bottom w:val="single" w:sz="4" w:space="0" w:color="000000"/>
              <w:right w:val="single" w:sz="4" w:space="0" w:color="000000"/>
            </w:tcBorders>
            <w:shd w:val="clear" w:color="auto" w:fill="auto"/>
            <w:noWrap/>
            <w:vAlign w:val="bottom"/>
            <w:hideMark/>
          </w:tcPr>
          <w:p w14:paraId="60686A9D"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370</w:t>
            </w:r>
          </w:p>
        </w:tc>
        <w:tc>
          <w:tcPr>
            <w:tcW w:w="1020" w:type="dxa"/>
            <w:tcBorders>
              <w:top w:val="nil"/>
              <w:left w:val="nil"/>
              <w:bottom w:val="single" w:sz="4" w:space="0" w:color="000000"/>
              <w:right w:val="single" w:sz="4" w:space="0" w:color="000000"/>
            </w:tcBorders>
            <w:shd w:val="clear" w:color="auto" w:fill="auto"/>
            <w:noWrap/>
            <w:vAlign w:val="bottom"/>
            <w:hideMark/>
          </w:tcPr>
          <w:p w14:paraId="20CEE4E6"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260</w:t>
            </w:r>
          </w:p>
        </w:tc>
        <w:tc>
          <w:tcPr>
            <w:tcW w:w="1020" w:type="dxa"/>
            <w:tcBorders>
              <w:top w:val="nil"/>
              <w:left w:val="nil"/>
              <w:bottom w:val="single" w:sz="4" w:space="0" w:color="000000"/>
              <w:right w:val="single" w:sz="4" w:space="0" w:color="000000"/>
            </w:tcBorders>
            <w:shd w:val="clear" w:color="auto" w:fill="auto"/>
            <w:noWrap/>
            <w:vAlign w:val="bottom"/>
            <w:hideMark/>
          </w:tcPr>
          <w:p w14:paraId="3C30198E"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9</w:t>
            </w:r>
          </w:p>
        </w:tc>
        <w:tc>
          <w:tcPr>
            <w:tcW w:w="1020" w:type="dxa"/>
            <w:tcBorders>
              <w:top w:val="nil"/>
              <w:left w:val="nil"/>
              <w:bottom w:val="single" w:sz="4" w:space="0" w:color="000000"/>
              <w:right w:val="single" w:sz="4" w:space="0" w:color="000000"/>
            </w:tcBorders>
            <w:shd w:val="clear" w:color="auto" w:fill="auto"/>
            <w:noWrap/>
            <w:vAlign w:val="bottom"/>
            <w:hideMark/>
          </w:tcPr>
          <w:p w14:paraId="1C5139CD"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3</w:t>
            </w:r>
          </w:p>
        </w:tc>
        <w:tc>
          <w:tcPr>
            <w:tcW w:w="1020" w:type="dxa"/>
            <w:tcBorders>
              <w:top w:val="nil"/>
              <w:left w:val="nil"/>
              <w:bottom w:val="single" w:sz="4" w:space="0" w:color="000000"/>
              <w:right w:val="single" w:sz="4" w:space="0" w:color="000000"/>
            </w:tcBorders>
            <w:shd w:val="clear" w:color="auto" w:fill="auto"/>
            <w:noWrap/>
            <w:vAlign w:val="bottom"/>
            <w:hideMark/>
          </w:tcPr>
          <w:p w14:paraId="73231F72"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1</w:t>
            </w:r>
          </w:p>
        </w:tc>
      </w:tr>
      <w:tr w:rsidR="00FA1574" w:rsidRPr="00FA1574" w14:paraId="3B0FE1B1" w14:textId="77777777" w:rsidTr="00F5532B">
        <w:trPr>
          <w:trHeight w:val="285"/>
        </w:trPr>
        <w:tc>
          <w:tcPr>
            <w:tcW w:w="1020" w:type="dxa"/>
            <w:tcBorders>
              <w:top w:val="nil"/>
              <w:left w:val="single" w:sz="4" w:space="0" w:color="000000"/>
              <w:bottom w:val="single" w:sz="4" w:space="0" w:color="000000"/>
              <w:right w:val="single" w:sz="4" w:space="0" w:color="000000"/>
            </w:tcBorders>
            <w:shd w:val="clear" w:color="auto" w:fill="auto"/>
            <w:noWrap/>
            <w:vAlign w:val="bottom"/>
            <w:hideMark/>
          </w:tcPr>
          <w:p w14:paraId="62898D00"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57.5%</w:t>
            </w:r>
          </w:p>
        </w:tc>
        <w:tc>
          <w:tcPr>
            <w:tcW w:w="1020" w:type="dxa"/>
            <w:tcBorders>
              <w:top w:val="nil"/>
              <w:left w:val="nil"/>
              <w:bottom w:val="single" w:sz="4" w:space="0" w:color="000000"/>
              <w:right w:val="single" w:sz="4" w:space="0" w:color="000000"/>
            </w:tcBorders>
            <w:shd w:val="clear" w:color="auto" w:fill="auto"/>
            <w:noWrap/>
            <w:vAlign w:val="bottom"/>
            <w:hideMark/>
          </w:tcPr>
          <w:p w14:paraId="51F33408"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40.4%</w:t>
            </w:r>
          </w:p>
        </w:tc>
        <w:tc>
          <w:tcPr>
            <w:tcW w:w="1020" w:type="dxa"/>
            <w:tcBorders>
              <w:top w:val="nil"/>
              <w:left w:val="nil"/>
              <w:bottom w:val="single" w:sz="4" w:space="0" w:color="000000"/>
              <w:right w:val="single" w:sz="4" w:space="0" w:color="000000"/>
            </w:tcBorders>
            <w:shd w:val="clear" w:color="auto" w:fill="auto"/>
            <w:noWrap/>
            <w:vAlign w:val="bottom"/>
            <w:hideMark/>
          </w:tcPr>
          <w:p w14:paraId="7A1FFA7C"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1.4%</w:t>
            </w:r>
          </w:p>
        </w:tc>
        <w:tc>
          <w:tcPr>
            <w:tcW w:w="1020" w:type="dxa"/>
            <w:tcBorders>
              <w:top w:val="nil"/>
              <w:left w:val="nil"/>
              <w:bottom w:val="single" w:sz="4" w:space="0" w:color="000000"/>
              <w:right w:val="single" w:sz="4" w:space="0" w:color="000000"/>
            </w:tcBorders>
            <w:shd w:val="clear" w:color="auto" w:fill="auto"/>
            <w:noWrap/>
            <w:vAlign w:val="bottom"/>
            <w:hideMark/>
          </w:tcPr>
          <w:p w14:paraId="37D9503F"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0.5%</w:t>
            </w:r>
          </w:p>
        </w:tc>
        <w:tc>
          <w:tcPr>
            <w:tcW w:w="1020" w:type="dxa"/>
            <w:tcBorders>
              <w:top w:val="nil"/>
              <w:left w:val="nil"/>
              <w:bottom w:val="single" w:sz="4" w:space="0" w:color="000000"/>
              <w:right w:val="single" w:sz="4" w:space="0" w:color="000000"/>
            </w:tcBorders>
            <w:shd w:val="clear" w:color="auto" w:fill="auto"/>
            <w:noWrap/>
            <w:vAlign w:val="bottom"/>
            <w:hideMark/>
          </w:tcPr>
          <w:p w14:paraId="26E85BA0"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0.2%</w:t>
            </w:r>
          </w:p>
        </w:tc>
      </w:tr>
    </w:tbl>
    <w:p w14:paraId="6B521199" w14:textId="77777777" w:rsidR="00FA1574" w:rsidRPr="00FA1574" w:rsidRDefault="00FA1574" w:rsidP="00FA1574">
      <w:pPr>
        <w:spacing w:after="160" w:line="259" w:lineRule="auto"/>
        <w:rPr>
          <w:rFonts w:ascii="Arial" w:hAnsi="Arial" w:cs="Arial"/>
          <w:color w:val="auto"/>
          <w:kern w:val="0"/>
          <w:sz w:val="22"/>
          <w:szCs w:val="22"/>
          <w14:ligatures w14:val="none"/>
        </w:rPr>
      </w:pPr>
    </w:p>
    <w:p w14:paraId="467A13AB" w14:textId="77777777" w:rsidR="00FA1574" w:rsidRPr="00FA1574" w:rsidRDefault="00FA1574" w:rsidP="00FA1574">
      <w:pPr>
        <w:spacing w:after="160" w:line="259" w:lineRule="auto"/>
        <w:rPr>
          <w:rFonts w:ascii="Arial" w:hAnsi="Arial" w:cs="Arial"/>
          <w:color w:val="auto"/>
          <w:kern w:val="0"/>
          <w:sz w:val="22"/>
          <w:szCs w:val="22"/>
          <w14:ligatures w14:val="none"/>
        </w:rPr>
      </w:pPr>
      <w:r w:rsidRPr="00FA1574">
        <w:rPr>
          <w:rFonts w:ascii="Arial" w:hAnsi="Arial" w:cs="Arial"/>
          <w:color w:val="auto"/>
          <w:kern w:val="0"/>
          <w:sz w:val="22"/>
          <w:szCs w:val="22"/>
          <w14:ligatures w14:val="none"/>
        </w:rPr>
        <w:t>Comparison with 2021:</w:t>
      </w:r>
    </w:p>
    <w:tbl>
      <w:tblPr>
        <w:tblW w:w="5245" w:type="dxa"/>
        <w:tblLook w:val="04A0" w:firstRow="1" w:lastRow="0" w:firstColumn="1" w:lastColumn="0" w:noHBand="0" w:noVBand="1"/>
      </w:tblPr>
      <w:tblGrid>
        <w:gridCol w:w="1877"/>
        <w:gridCol w:w="1134"/>
        <w:gridCol w:w="1134"/>
        <w:gridCol w:w="1134"/>
      </w:tblGrid>
      <w:tr w:rsidR="00FA1574" w:rsidRPr="00FA1574" w14:paraId="61D60643" w14:textId="77777777" w:rsidTr="00F5532B">
        <w:trPr>
          <w:trHeight w:val="315"/>
        </w:trPr>
        <w:tc>
          <w:tcPr>
            <w:tcW w:w="1843" w:type="dxa"/>
            <w:tcBorders>
              <w:right w:val="single" w:sz="4" w:space="0" w:color="auto"/>
            </w:tcBorders>
          </w:tcPr>
          <w:p w14:paraId="54514EFA" w14:textId="77777777" w:rsidR="00FA1574" w:rsidRPr="00FA1574" w:rsidRDefault="00FA1574" w:rsidP="00FA1574">
            <w:pPr>
              <w:rPr>
                <w:rFonts w:ascii="Calibri" w:eastAsia="Times New Roman" w:hAnsi="Calibri" w:cs="Calibri"/>
                <w:b/>
                <w:bCs/>
                <w:color w:val="auto"/>
                <w:kern w:val="0"/>
                <w:lang w:eastAsia="en-GB"/>
                <w14:ligatures w14:val="none"/>
              </w:rPr>
            </w:pPr>
          </w:p>
        </w:tc>
        <w:tc>
          <w:tcPr>
            <w:tcW w:w="3402" w:type="dxa"/>
            <w:gridSpan w:val="3"/>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4E4FAE14" w14:textId="77777777" w:rsidR="00FA1574" w:rsidRPr="00FA1574" w:rsidRDefault="00FA1574" w:rsidP="00FA1574">
            <w:pPr>
              <w:rPr>
                <w:rFonts w:ascii="Calibri" w:eastAsia="Times New Roman" w:hAnsi="Calibri" w:cs="Calibri"/>
                <w:b/>
                <w:bCs/>
                <w:color w:val="auto"/>
                <w:kern w:val="0"/>
                <w:lang w:eastAsia="en-GB"/>
                <w14:ligatures w14:val="none"/>
              </w:rPr>
            </w:pPr>
            <w:r w:rsidRPr="00FA1574">
              <w:rPr>
                <w:rFonts w:ascii="Calibri" w:eastAsia="Times New Roman" w:hAnsi="Calibri" w:cs="Calibri"/>
                <w:b/>
                <w:bCs/>
                <w:color w:val="auto"/>
                <w:kern w:val="0"/>
                <w:lang w:eastAsia="en-GB"/>
                <w14:ligatures w14:val="none"/>
              </w:rPr>
              <w:t>What is your gender?</w:t>
            </w:r>
          </w:p>
        </w:tc>
      </w:tr>
      <w:tr w:rsidR="00FA1574" w:rsidRPr="00FA1574" w14:paraId="63D6EE0A" w14:textId="77777777" w:rsidTr="00F5532B">
        <w:trPr>
          <w:trHeight w:val="570"/>
        </w:trPr>
        <w:tc>
          <w:tcPr>
            <w:tcW w:w="1843" w:type="dxa"/>
            <w:tcBorders>
              <w:top w:val="nil"/>
              <w:bottom w:val="single" w:sz="4" w:space="0" w:color="auto"/>
              <w:right w:val="single" w:sz="4" w:space="0" w:color="auto"/>
            </w:tcBorders>
          </w:tcPr>
          <w:p w14:paraId="6ABB1FBD" w14:textId="77777777" w:rsidR="00FA1574" w:rsidRPr="00FA1574" w:rsidRDefault="00FA1574" w:rsidP="00FA1574">
            <w:pPr>
              <w:rPr>
                <w:rFonts w:ascii="Calibri" w:eastAsia="Times New Roman" w:hAnsi="Calibri" w:cs="Calibri"/>
                <w:color w:val="auto"/>
                <w:kern w:val="0"/>
                <w:sz w:val="22"/>
                <w:szCs w:val="22"/>
                <w:lang w:eastAsia="en-GB"/>
                <w14:ligatures w14:val="none"/>
              </w:rPr>
            </w:pPr>
          </w:p>
        </w:tc>
        <w:tc>
          <w:tcPr>
            <w:tcW w:w="1134" w:type="dxa"/>
            <w:tcBorders>
              <w:top w:val="nil"/>
              <w:left w:val="single" w:sz="4" w:space="0" w:color="auto"/>
              <w:bottom w:val="single" w:sz="4" w:space="0" w:color="000000"/>
              <w:right w:val="single" w:sz="4" w:space="0" w:color="000000"/>
            </w:tcBorders>
            <w:shd w:val="clear" w:color="auto" w:fill="auto"/>
            <w:vAlign w:val="bottom"/>
            <w:hideMark/>
          </w:tcPr>
          <w:p w14:paraId="27BD88FA"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Female</w:t>
            </w:r>
          </w:p>
        </w:tc>
        <w:tc>
          <w:tcPr>
            <w:tcW w:w="1134" w:type="dxa"/>
            <w:tcBorders>
              <w:top w:val="nil"/>
              <w:left w:val="nil"/>
              <w:bottom w:val="single" w:sz="4" w:space="0" w:color="000000"/>
              <w:right w:val="single" w:sz="4" w:space="0" w:color="000000"/>
            </w:tcBorders>
            <w:shd w:val="clear" w:color="auto" w:fill="auto"/>
            <w:vAlign w:val="bottom"/>
            <w:hideMark/>
          </w:tcPr>
          <w:p w14:paraId="2D3CA734"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Male</w:t>
            </w:r>
          </w:p>
        </w:tc>
        <w:tc>
          <w:tcPr>
            <w:tcW w:w="1134" w:type="dxa"/>
            <w:tcBorders>
              <w:top w:val="nil"/>
              <w:left w:val="nil"/>
              <w:bottom w:val="single" w:sz="4" w:space="0" w:color="000000"/>
              <w:right w:val="single" w:sz="4" w:space="0" w:color="000000"/>
            </w:tcBorders>
            <w:shd w:val="clear" w:color="auto" w:fill="auto"/>
            <w:vAlign w:val="bottom"/>
            <w:hideMark/>
          </w:tcPr>
          <w:p w14:paraId="0AE73B34"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Not Known</w:t>
            </w:r>
          </w:p>
        </w:tc>
      </w:tr>
      <w:tr w:rsidR="00FA1574" w:rsidRPr="00FA1574" w14:paraId="1A3D57D2" w14:textId="77777777" w:rsidTr="00F5532B">
        <w:trPr>
          <w:trHeight w:val="285"/>
        </w:trPr>
        <w:tc>
          <w:tcPr>
            <w:tcW w:w="1843" w:type="dxa"/>
            <w:vMerge w:val="restart"/>
            <w:tcBorders>
              <w:top w:val="single" w:sz="4" w:space="0" w:color="auto"/>
              <w:left w:val="single" w:sz="4" w:space="0" w:color="000000"/>
              <w:bottom w:val="single" w:sz="4" w:space="0" w:color="auto"/>
              <w:right w:val="single" w:sz="4" w:space="0" w:color="000000"/>
            </w:tcBorders>
          </w:tcPr>
          <w:p w14:paraId="4776DFA8" w14:textId="77777777" w:rsidR="00FA1574" w:rsidRPr="00FA1574" w:rsidRDefault="00FA1574" w:rsidP="00FA1574">
            <w:pPr>
              <w:rPr>
                <w:rFonts w:ascii="Calibri" w:eastAsia="Times New Roman" w:hAnsi="Calibri" w:cs="Calibri"/>
                <w:color w:val="auto"/>
                <w:kern w:val="0"/>
                <w:sz w:val="22"/>
                <w:szCs w:val="22"/>
                <w:lang w:eastAsia="en-GB"/>
                <w14:ligatures w14:val="none"/>
              </w:rPr>
            </w:pPr>
          </w:p>
          <w:p w14:paraId="366F0AB2"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2021</w:t>
            </w:r>
          </w:p>
        </w:tc>
        <w:tc>
          <w:tcPr>
            <w:tcW w:w="1134" w:type="dxa"/>
            <w:tcBorders>
              <w:top w:val="nil"/>
              <w:left w:val="single" w:sz="4" w:space="0" w:color="000000"/>
              <w:bottom w:val="single" w:sz="4" w:space="0" w:color="000000"/>
              <w:right w:val="single" w:sz="4" w:space="0" w:color="000000"/>
            </w:tcBorders>
            <w:shd w:val="clear" w:color="auto" w:fill="auto"/>
            <w:noWrap/>
            <w:vAlign w:val="bottom"/>
            <w:hideMark/>
          </w:tcPr>
          <w:p w14:paraId="5CFA2042"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45</w:t>
            </w:r>
          </w:p>
        </w:tc>
        <w:tc>
          <w:tcPr>
            <w:tcW w:w="1134" w:type="dxa"/>
            <w:tcBorders>
              <w:top w:val="nil"/>
              <w:left w:val="nil"/>
              <w:bottom w:val="single" w:sz="4" w:space="0" w:color="000000"/>
              <w:right w:val="single" w:sz="4" w:space="0" w:color="000000"/>
            </w:tcBorders>
            <w:shd w:val="clear" w:color="auto" w:fill="auto"/>
            <w:noWrap/>
            <w:vAlign w:val="bottom"/>
            <w:hideMark/>
          </w:tcPr>
          <w:p w14:paraId="02B47CC4"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24</w:t>
            </w:r>
          </w:p>
        </w:tc>
        <w:tc>
          <w:tcPr>
            <w:tcW w:w="1134" w:type="dxa"/>
            <w:tcBorders>
              <w:top w:val="nil"/>
              <w:left w:val="nil"/>
              <w:bottom w:val="single" w:sz="4" w:space="0" w:color="000000"/>
              <w:right w:val="single" w:sz="4" w:space="0" w:color="000000"/>
            </w:tcBorders>
            <w:shd w:val="clear" w:color="auto" w:fill="auto"/>
            <w:noWrap/>
            <w:vAlign w:val="bottom"/>
            <w:hideMark/>
          </w:tcPr>
          <w:p w14:paraId="6123172F"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22</w:t>
            </w:r>
          </w:p>
        </w:tc>
      </w:tr>
      <w:tr w:rsidR="00FA1574" w:rsidRPr="00FA1574" w14:paraId="285B9E13" w14:textId="77777777" w:rsidTr="00F5532B">
        <w:trPr>
          <w:trHeight w:val="285"/>
        </w:trPr>
        <w:tc>
          <w:tcPr>
            <w:tcW w:w="1843" w:type="dxa"/>
            <w:vMerge/>
            <w:tcBorders>
              <w:left w:val="single" w:sz="4" w:space="0" w:color="000000"/>
              <w:bottom w:val="single" w:sz="4" w:space="0" w:color="auto"/>
              <w:right w:val="single" w:sz="4" w:space="0" w:color="000000"/>
            </w:tcBorders>
          </w:tcPr>
          <w:p w14:paraId="3E5ED36E" w14:textId="77777777" w:rsidR="00FA1574" w:rsidRPr="00FA1574" w:rsidRDefault="00FA1574" w:rsidP="00FA1574">
            <w:pPr>
              <w:rPr>
                <w:rFonts w:ascii="Calibri" w:eastAsia="Times New Roman" w:hAnsi="Calibri" w:cs="Calibri"/>
                <w:color w:val="auto"/>
                <w:kern w:val="0"/>
                <w:sz w:val="22"/>
                <w:szCs w:val="22"/>
                <w:lang w:eastAsia="en-GB"/>
                <w14:ligatures w14:val="none"/>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noWrap/>
            <w:vAlign w:val="bottom"/>
            <w:hideMark/>
          </w:tcPr>
          <w:p w14:paraId="56E1E905"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49.5%</w:t>
            </w:r>
          </w:p>
        </w:tc>
        <w:tc>
          <w:tcPr>
            <w:tcW w:w="1134" w:type="dxa"/>
            <w:tcBorders>
              <w:top w:val="single" w:sz="4" w:space="0" w:color="000000"/>
              <w:left w:val="nil"/>
              <w:bottom w:val="single" w:sz="4" w:space="0" w:color="auto"/>
              <w:right w:val="single" w:sz="4" w:space="0" w:color="000000"/>
            </w:tcBorders>
            <w:shd w:val="clear" w:color="auto" w:fill="auto"/>
            <w:noWrap/>
            <w:vAlign w:val="bottom"/>
            <w:hideMark/>
          </w:tcPr>
          <w:p w14:paraId="33B5384A"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26.4%</w:t>
            </w:r>
          </w:p>
        </w:tc>
        <w:tc>
          <w:tcPr>
            <w:tcW w:w="1134" w:type="dxa"/>
            <w:tcBorders>
              <w:top w:val="single" w:sz="4" w:space="0" w:color="000000"/>
              <w:left w:val="nil"/>
              <w:bottom w:val="single" w:sz="4" w:space="0" w:color="auto"/>
              <w:right w:val="single" w:sz="4" w:space="0" w:color="000000"/>
            </w:tcBorders>
            <w:shd w:val="clear" w:color="auto" w:fill="auto"/>
            <w:noWrap/>
            <w:vAlign w:val="bottom"/>
            <w:hideMark/>
          </w:tcPr>
          <w:p w14:paraId="4A3D2FB2"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24.2%</w:t>
            </w:r>
          </w:p>
        </w:tc>
      </w:tr>
      <w:tr w:rsidR="00FA1574" w:rsidRPr="00FA1574" w14:paraId="791A8B7C" w14:textId="77777777" w:rsidTr="00F5532B">
        <w:trPr>
          <w:trHeight w:val="47"/>
        </w:trPr>
        <w:tc>
          <w:tcPr>
            <w:tcW w:w="5245" w:type="dxa"/>
            <w:gridSpan w:val="4"/>
            <w:tcBorders>
              <w:top w:val="single" w:sz="4" w:space="0" w:color="auto"/>
              <w:left w:val="single" w:sz="4" w:space="0" w:color="000000"/>
              <w:bottom w:val="single" w:sz="4" w:space="0" w:color="auto"/>
              <w:right w:val="single" w:sz="4" w:space="0" w:color="000000"/>
            </w:tcBorders>
            <w:shd w:val="clear" w:color="auto" w:fill="D9D9D9" w:themeFill="background1" w:themeFillShade="D9"/>
          </w:tcPr>
          <w:p w14:paraId="5DCC13A5" w14:textId="77777777" w:rsidR="00FA1574" w:rsidRPr="00FA1574" w:rsidRDefault="00FA1574" w:rsidP="00FA1574">
            <w:pPr>
              <w:rPr>
                <w:rFonts w:ascii="Calibri" w:eastAsia="Times New Roman" w:hAnsi="Calibri" w:cs="Calibri"/>
                <w:color w:val="auto"/>
                <w:kern w:val="0"/>
                <w:sz w:val="10"/>
                <w:szCs w:val="10"/>
                <w:lang w:eastAsia="en-GB"/>
                <w14:ligatures w14:val="none"/>
              </w:rPr>
            </w:pPr>
          </w:p>
        </w:tc>
      </w:tr>
      <w:tr w:rsidR="00FA1574" w:rsidRPr="00FA1574" w14:paraId="6AC7BF96" w14:textId="77777777" w:rsidTr="00F5532B">
        <w:trPr>
          <w:trHeight w:val="285"/>
        </w:trPr>
        <w:tc>
          <w:tcPr>
            <w:tcW w:w="1843" w:type="dxa"/>
            <w:vMerge w:val="restart"/>
            <w:tcBorders>
              <w:top w:val="single" w:sz="4" w:space="0" w:color="auto"/>
              <w:left w:val="single" w:sz="4" w:space="0" w:color="000000"/>
              <w:right w:val="single" w:sz="4" w:space="0" w:color="000000"/>
            </w:tcBorders>
          </w:tcPr>
          <w:p w14:paraId="0A661F7E" w14:textId="77777777" w:rsidR="00FA1574" w:rsidRPr="00FA1574" w:rsidRDefault="00FA1574" w:rsidP="00FA1574">
            <w:pPr>
              <w:rPr>
                <w:rFonts w:ascii="Calibri" w:eastAsia="Times New Roman" w:hAnsi="Calibri" w:cs="Calibri"/>
                <w:color w:val="auto"/>
                <w:kern w:val="0"/>
                <w:sz w:val="22"/>
                <w:szCs w:val="22"/>
                <w:lang w:eastAsia="en-GB"/>
                <w14:ligatures w14:val="none"/>
              </w:rPr>
            </w:pPr>
          </w:p>
          <w:p w14:paraId="0AD2D99A"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2024</w:t>
            </w:r>
          </w:p>
        </w:tc>
        <w:tc>
          <w:tcPr>
            <w:tcW w:w="1134"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5F29E98"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370</w:t>
            </w:r>
          </w:p>
        </w:tc>
        <w:tc>
          <w:tcPr>
            <w:tcW w:w="1134" w:type="dxa"/>
            <w:tcBorders>
              <w:top w:val="single" w:sz="4" w:space="0" w:color="auto"/>
              <w:left w:val="nil"/>
              <w:bottom w:val="single" w:sz="4" w:space="0" w:color="auto"/>
              <w:right w:val="single" w:sz="4" w:space="0" w:color="000000"/>
            </w:tcBorders>
            <w:shd w:val="clear" w:color="auto" w:fill="auto"/>
            <w:noWrap/>
            <w:vAlign w:val="bottom"/>
          </w:tcPr>
          <w:p w14:paraId="57BB0928"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260</w:t>
            </w:r>
          </w:p>
        </w:tc>
        <w:tc>
          <w:tcPr>
            <w:tcW w:w="1134" w:type="dxa"/>
            <w:tcBorders>
              <w:top w:val="single" w:sz="4" w:space="0" w:color="auto"/>
              <w:left w:val="nil"/>
              <w:bottom w:val="single" w:sz="4" w:space="0" w:color="auto"/>
              <w:right w:val="single" w:sz="4" w:space="0" w:color="000000"/>
            </w:tcBorders>
            <w:shd w:val="clear" w:color="auto" w:fill="auto"/>
            <w:noWrap/>
            <w:vAlign w:val="bottom"/>
          </w:tcPr>
          <w:p w14:paraId="3D5B1880"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N/A</w:t>
            </w:r>
          </w:p>
        </w:tc>
      </w:tr>
      <w:tr w:rsidR="00FA1574" w:rsidRPr="00FA1574" w14:paraId="67AC4C8E" w14:textId="77777777" w:rsidTr="00F5532B">
        <w:trPr>
          <w:trHeight w:val="285"/>
        </w:trPr>
        <w:tc>
          <w:tcPr>
            <w:tcW w:w="1843" w:type="dxa"/>
            <w:vMerge/>
            <w:tcBorders>
              <w:left w:val="single" w:sz="4" w:space="0" w:color="000000"/>
              <w:bottom w:val="single" w:sz="4" w:space="0" w:color="000000"/>
              <w:right w:val="single" w:sz="4" w:space="0" w:color="000000"/>
            </w:tcBorders>
          </w:tcPr>
          <w:p w14:paraId="0C0DDC93" w14:textId="77777777" w:rsidR="00FA1574" w:rsidRPr="00FA1574" w:rsidRDefault="00FA1574" w:rsidP="00FA1574">
            <w:pPr>
              <w:rPr>
                <w:rFonts w:ascii="Calibri" w:eastAsia="Times New Roman" w:hAnsi="Calibri" w:cs="Calibri"/>
                <w:color w:val="auto"/>
                <w:kern w:val="0"/>
                <w:sz w:val="22"/>
                <w:szCs w:val="22"/>
                <w:lang w:eastAsia="en-GB"/>
                <w14:ligatures w14:val="none"/>
              </w:rPr>
            </w:pPr>
          </w:p>
        </w:tc>
        <w:tc>
          <w:tcPr>
            <w:tcW w:w="1134"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AD3A948"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57.5%</w:t>
            </w:r>
          </w:p>
        </w:tc>
        <w:tc>
          <w:tcPr>
            <w:tcW w:w="1134" w:type="dxa"/>
            <w:tcBorders>
              <w:top w:val="single" w:sz="4" w:space="0" w:color="auto"/>
              <w:left w:val="nil"/>
              <w:bottom w:val="single" w:sz="4" w:space="0" w:color="auto"/>
              <w:right w:val="single" w:sz="4" w:space="0" w:color="000000"/>
            </w:tcBorders>
            <w:shd w:val="clear" w:color="auto" w:fill="auto"/>
            <w:noWrap/>
            <w:vAlign w:val="bottom"/>
          </w:tcPr>
          <w:p w14:paraId="7511D345"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40.4%</w:t>
            </w:r>
          </w:p>
        </w:tc>
        <w:tc>
          <w:tcPr>
            <w:tcW w:w="1134" w:type="dxa"/>
            <w:tcBorders>
              <w:top w:val="single" w:sz="4" w:space="0" w:color="auto"/>
              <w:left w:val="nil"/>
              <w:bottom w:val="single" w:sz="4" w:space="0" w:color="auto"/>
              <w:right w:val="single" w:sz="4" w:space="0" w:color="000000"/>
            </w:tcBorders>
            <w:shd w:val="clear" w:color="auto" w:fill="auto"/>
            <w:noWrap/>
            <w:vAlign w:val="bottom"/>
          </w:tcPr>
          <w:p w14:paraId="47E2ED09"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N/A</w:t>
            </w:r>
          </w:p>
        </w:tc>
      </w:tr>
      <w:tr w:rsidR="00FA1574" w:rsidRPr="00FA1574" w14:paraId="69308C5D" w14:textId="77777777" w:rsidTr="00F5532B">
        <w:trPr>
          <w:trHeight w:val="285"/>
        </w:trPr>
        <w:tc>
          <w:tcPr>
            <w:tcW w:w="1843" w:type="dxa"/>
            <w:tcBorders>
              <w:left w:val="single" w:sz="4" w:space="0" w:color="000000"/>
              <w:bottom w:val="single" w:sz="4" w:space="0" w:color="000000"/>
              <w:right w:val="single" w:sz="4" w:space="0" w:color="000000"/>
            </w:tcBorders>
          </w:tcPr>
          <w:p w14:paraId="5801DF11"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Increase/Decrease</w:t>
            </w:r>
          </w:p>
        </w:tc>
        <w:tc>
          <w:tcPr>
            <w:tcW w:w="1134"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5AD77633"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noProof/>
                <w:color w:val="auto"/>
                <w:kern w:val="0"/>
                <w:sz w:val="22"/>
                <w:szCs w:val="22"/>
                <w:lang w:eastAsia="en-GB"/>
                <w14:ligatures w14:val="none"/>
              </w:rPr>
              <mc:AlternateContent>
                <mc:Choice Requires="wps">
                  <w:drawing>
                    <wp:anchor distT="0" distB="0" distL="114300" distR="114300" simplePos="0" relativeHeight="251667457" behindDoc="0" locked="0" layoutInCell="1" allowOverlap="1" wp14:anchorId="508A8A0A" wp14:editId="6DDE941F">
                      <wp:simplePos x="0" y="0"/>
                      <wp:positionH relativeFrom="column">
                        <wp:posOffset>370205</wp:posOffset>
                      </wp:positionH>
                      <wp:positionV relativeFrom="paragraph">
                        <wp:posOffset>17780</wp:posOffset>
                      </wp:positionV>
                      <wp:extent cx="112395" cy="118745"/>
                      <wp:effectExtent l="19050" t="19050" r="40005" b="14605"/>
                      <wp:wrapNone/>
                      <wp:docPr id="1455900485" name="Isosceles Triangle 5"/>
                      <wp:cNvGraphicFramePr/>
                      <a:graphic xmlns:a="http://schemas.openxmlformats.org/drawingml/2006/main">
                        <a:graphicData uri="http://schemas.microsoft.com/office/word/2010/wordprocessingShape">
                          <wps:wsp>
                            <wps:cNvSpPr/>
                            <wps:spPr>
                              <a:xfrm>
                                <a:off x="0" y="0"/>
                                <a:ext cx="112395" cy="118745"/>
                              </a:xfrm>
                              <a:prstGeom prst="triangle">
                                <a:avLst/>
                              </a:prstGeom>
                              <a:solidFill>
                                <a:srgbClr val="92D05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A013A" id="Isosceles Triangle 5" o:spid="_x0000_s1026" type="#_x0000_t5" style="position:absolute;margin-left:29.15pt;margin-top:1.4pt;width:8.85pt;height:9.35pt;z-index:251667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" fillcolor="#92d050" strokecolor="#70ad47" strokeweight="1pt"/>
                  </w:pict>
                </mc:Fallback>
              </mc:AlternateContent>
            </w:r>
            <w:r w:rsidRPr="00FA1574">
              <w:rPr>
                <w:rFonts w:ascii="Calibri" w:eastAsia="Times New Roman" w:hAnsi="Calibri" w:cs="Calibri"/>
                <w:color w:val="auto"/>
                <w:kern w:val="0"/>
                <w:sz w:val="22"/>
                <w:szCs w:val="22"/>
                <w:lang w:eastAsia="en-GB"/>
                <w14:ligatures w14:val="none"/>
              </w:rPr>
              <w:t>8%</w:t>
            </w:r>
          </w:p>
        </w:tc>
        <w:tc>
          <w:tcPr>
            <w:tcW w:w="1134" w:type="dxa"/>
            <w:tcBorders>
              <w:top w:val="single" w:sz="4" w:space="0" w:color="auto"/>
              <w:left w:val="nil"/>
              <w:bottom w:val="single" w:sz="4" w:space="0" w:color="000000"/>
              <w:right w:val="single" w:sz="4" w:space="0" w:color="000000"/>
            </w:tcBorders>
            <w:shd w:val="clear" w:color="auto" w:fill="auto"/>
            <w:noWrap/>
            <w:vAlign w:val="bottom"/>
          </w:tcPr>
          <w:p w14:paraId="16DE795E"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noProof/>
                <w:color w:val="auto"/>
                <w:kern w:val="0"/>
                <w:sz w:val="22"/>
                <w:szCs w:val="22"/>
                <w:lang w:eastAsia="en-GB"/>
                <w14:ligatures w14:val="none"/>
              </w:rPr>
              <mc:AlternateContent>
                <mc:Choice Requires="wps">
                  <w:drawing>
                    <wp:anchor distT="0" distB="0" distL="114300" distR="114300" simplePos="0" relativeHeight="251668481" behindDoc="0" locked="0" layoutInCell="1" allowOverlap="1" wp14:anchorId="0EE55816" wp14:editId="0F70E9FC">
                      <wp:simplePos x="0" y="0"/>
                      <wp:positionH relativeFrom="column">
                        <wp:posOffset>368300</wp:posOffset>
                      </wp:positionH>
                      <wp:positionV relativeFrom="paragraph">
                        <wp:posOffset>20320</wp:posOffset>
                      </wp:positionV>
                      <wp:extent cx="112395" cy="118745"/>
                      <wp:effectExtent l="19050" t="19050" r="40005" b="14605"/>
                      <wp:wrapNone/>
                      <wp:docPr id="1863772737" name="Isosceles Triangle 5"/>
                      <wp:cNvGraphicFramePr/>
                      <a:graphic xmlns:a="http://schemas.openxmlformats.org/drawingml/2006/main">
                        <a:graphicData uri="http://schemas.microsoft.com/office/word/2010/wordprocessingShape">
                          <wps:wsp>
                            <wps:cNvSpPr/>
                            <wps:spPr>
                              <a:xfrm>
                                <a:off x="0" y="0"/>
                                <a:ext cx="112395" cy="118745"/>
                              </a:xfrm>
                              <a:prstGeom prst="triangle">
                                <a:avLst/>
                              </a:prstGeom>
                              <a:solidFill>
                                <a:srgbClr val="92D05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86CC6" id="Isosceles Triangle 5" o:spid="_x0000_s1026" type="#_x0000_t5" style="position:absolute;margin-left:29pt;margin-top:1.6pt;width:8.85pt;height:9.35pt;z-index:251668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" fillcolor="#92d050" strokecolor="#70ad47" strokeweight="1pt"/>
                  </w:pict>
                </mc:Fallback>
              </mc:AlternateContent>
            </w:r>
            <w:r w:rsidRPr="00FA1574">
              <w:rPr>
                <w:rFonts w:ascii="Calibri" w:eastAsia="Times New Roman" w:hAnsi="Calibri" w:cs="Calibri"/>
                <w:color w:val="auto"/>
                <w:kern w:val="0"/>
                <w:sz w:val="22"/>
                <w:szCs w:val="22"/>
                <w:lang w:eastAsia="en-GB"/>
                <w14:ligatures w14:val="none"/>
              </w:rPr>
              <w:t>14%</w:t>
            </w:r>
          </w:p>
        </w:tc>
        <w:tc>
          <w:tcPr>
            <w:tcW w:w="1134" w:type="dxa"/>
            <w:tcBorders>
              <w:top w:val="single" w:sz="4" w:space="0" w:color="auto"/>
              <w:left w:val="nil"/>
              <w:bottom w:val="single" w:sz="4" w:space="0" w:color="000000"/>
              <w:right w:val="single" w:sz="4" w:space="0" w:color="000000"/>
            </w:tcBorders>
            <w:shd w:val="clear" w:color="auto" w:fill="auto"/>
            <w:noWrap/>
            <w:vAlign w:val="bottom"/>
          </w:tcPr>
          <w:p w14:paraId="6FE2C1C5" w14:textId="77777777" w:rsidR="00FA1574" w:rsidRPr="00FA1574" w:rsidRDefault="00FA1574" w:rsidP="00FA1574">
            <w:pPr>
              <w:rPr>
                <w:rFonts w:ascii="Calibri" w:eastAsia="Times New Roman" w:hAnsi="Calibri" w:cs="Calibri"/>
                <w:color w:val="auto"/>
                <w:kern w:val="0"/>
                <w:sz w:val="22"/>
                <w:szCs w:val="22"/>
                <w:lang w:eastAsia="en-GB"/>
                <w14:ligatures w14:val="none"/>
              </w:rPr>
            </w:pPr>
          </w:p>
        </w:tc>
      </w:tr>
    </w:tbl>
    <w:p w14:paraId="0685B7E9" w14:textId="77777777" w:rsidR="00FA1574" w:rsidRPr="00FA1574" w:rsidRDefault="00FA1574" w:rsidP="00FA1574">
      <w:pPr>
        <w:spacing w:after="160" w:line="259" w:lineRule="auto"/>
        <w:rPr>
          <w:rFonts w:ascii="Arial" w:hAnsi="Arial" w:cs="Arial"/>
          <w:color w:val="auto"/>
          <w:kern w:val="0"/>
          <w:sz w:val="22"/>
          <w:szCs w:val="22"/>
          <w14:ligatures w14:val="none"/>
        </w:rPr>
      </w:pPr>
    </w:p>
    <w:p w14:paraId="52ED1D3E" w14:textId="77777777" w:rsidR="00FA1574" w:rsidRPr="00FA1574" w:rsidRDefault="00FA1574" w:rsidP="00FA1574">
      <w:pPr>
        <w:numPr>
          <w:ilvl w:val="0"/>
          <w:numId w:val="29"/>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It is notable that in the 2021 CRMP Consultation, the public only had the options of identifying as male, or female, or not providing a response at all. In this consultation, options to identify as non-binary, self-describe, or to consciously choose not to say were given. This perhaps reflects greater consciousness of gender inclusivity within the service.</w:t>
      </w:r>
    </w:p>
    <w:p w14:paraId="6D87A4D1" w14:textId="77777777" w:rsidR="00FA1574" w:rsidRPr="00FA1574" w:rsidRDefault="00FA1574" w:rsidP="00FA1574">
      <w:pPr>
        <w:numPr>
          <w:ilvl w:val="0"/>
          <w:numId w:val="29"/>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The increase in male responses in 2021 is likely driven by fewer ‘Not Known’ (nil return) responses. </w:t>
      </w:r>
    </w:p>
    <w:p w14:paraId="07CAE934" w14:textId="77777777" w:rsidR="00FA1574" w:rsidRPr="00FA1574" w:rsidRDefault="00FA1574" w:rsidP="00FA1574">
      <w:pPr>
        <w:numPr>
          <w:ilvl w:val="0"/>
          <w:numId w:val="29"/>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female voice is very well represented in this consultation, with 57.5% of respondents being female. This is an increase of 8% on the previous consultation.</w:t>
      </w:r>
    </w:p>
    <w:p w14:paraId="0E612C5C" w14:textId="77777777" w:rsidR="00FA1574" w:rsidRPr="00FA1574" w:rsidRDefault="00FA1574" w:rsidP="00FA1574">
      <w:pPr>
        <w:spacing w:after="160" w:line="259" w:lineRule="auto"/>
        <w:rPr>
          <w:rFonts w:ascii="Arial" w:hAnsi="Arial" w:cs="Arial"/>
          <w:color w:val="auto"/>
          <w:kern w:val="0"/>
          <w:sz w:val="22"/>
          <w:szCs w:val="22"/>
          <w14:ligatures w14:val="none"/>
        </w:rPr>
      </w:pPr>
    </w:p>
    <w:p w14:paraId="40EF8F4D" w14:textId="77777777" w:rsidR="00FA1574" w:rsidRPr="00FA1574" w:rsidRDefault="00FA1574" w:rsidP="00FA1574">
      <w:pPr>
        <w:spacing w:after="160" w:line="259" w:lineRule="auto"/>
        <w:rPr>
          <w:rFonts w:ascii="Arial" w:hAnsi="Arial" w:cs="Arial"/>
          <w:b/>
          <w:bCs/>
          <w:color w:val="auto"/>
          <w:kern w:val="0"/>
          <w14:ligatures w14:val="none"/>
        </w:rPr>
      </w:pPr>
      <w:r w:rsidRPr="00FA1574">
        <w:rPr>
          <w:rFonts w:ascii="Arial" w:hAnsi="Arial" w:cs="Arial"/>
          <w:b/>
          <w:bCs/>
          <w:color w:val="auto"/>
          <w:kern w:val="0"/>
          <w14:ligatures w14:val="none"/>
        </w:rPr>
        <w:t>Sexual Orientation</w:t>
      </w:r>
    </w:p>
    <w:tbl>
      <w:tblPr>
        <w:tblW w:w="5807" w:type="dxa"/>
        <w:tblLook w:val="04A0" w:firstRow="1" w:lastRow="0" w:firstColumn="1" w:lastColumn="0" w:noHBand="0" w:noVBand="1"/>
      </w:tblPr>
      <w:tblGrid>
        <w:gridCol w:w="1271"/>
        <w:gridCol w:w="1134"/>
        <w:gridCol w:w="1138"/>
        <w:gridCol w:w="1130"/>
        <w:gridCol w:w="1134"/>
      </w:tblGrid>
      <w:tr w:rsidR="00FA1574" w:rsidRPr="00FA1574" w14:paraId="1BF3F4C5" w14:textId="77777777" w:rsidTr="00F5532B">
        <w:trPr>
          <w:trHeight w:val="630"/>
        </w:trPr>
        <w:tc>
          <w:tcPr>
            <w:tcW w:w="5807" w:type="dxa"/>
            <w:gridSpan w:val="5"/>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1595A8F" w14:textId="77777777" w:rsidR="00FA1574" w:rsidRPr="00FA1574" w:rsidRDefault="00FA1574" w:rsidP="00FA1574">
            <w:pPr>
              <w:rPr>
                <w:rFonts w:ascii="Calibri" w:eastAsia="Times New Roman" w:hAnsi="Calibri" w:cs="Calibri"/>
                <w:b/>
                <w:bCs/>
                <w:color w:val="auto"/>
                <w:kern w:val="0"/>
                <w:lang w:eastAsia="en-GB"/>
                <w14:ligatures w14:val="none"/>
              </w:rPr>
            </w:pPr>
            <w:r w:rsidRPr="00FA1574">
              <w:rPr>
                <w:rFonts w:ascii="Calibri" w:eastAsia="Times New Roman" w:hAnsi="Calibri" w:cs="Calibri"/>
                <w:b/>
                <w:bCs/>
                <w:color w:val="auto"/>
                <w:kern w:val="0"/>
                <w:lang w:eastAsia="en-GB"/>
                <w14:ligatures w14:val="none"/>
              </w:rPr>
              <w:t>Which of the following best describes your sexual orientation?</w:t>
            </w:r>
          </w:p>
        </w:tc>
      </w:tr>
      <w:tr w:rsidR="00FA1574" w:rsidRPr="00FA1574" w14:paraId="72C02184" w14:textId="77777777" w:rsidTr="00F5532B">
        <w:trPr>
          <w:trHeight w:val="578"/>
        </w:trPr>
        <w:tc>
          <w:tcPr>
            <w:tcW w:w="1271" w:type="dxa"/>
            <w:tcBorders>
              <w:top w:val="nil"/>
              <w:left w:val="single" w:sz="4" w:space="0" w:color="000000"/>
              <w:bottom w:val="single" w:sz="4" w:space="0" w:color="000000"/>
              <w:right w:val="single" w:sz="4" w:space="0" w:color="000000"/>
            </w:tcBorders>
            <w:shd w:val="clear" w:color="auto" w:fill="auto"/>
            <w:vAlign w:val="bottom"/>
            <w:hideMark/>
          </w:tcPr>
          <w:p w14:paraId="7901F4B7" w14:textId="77777777" w:rsidR="00FA1574" w:rsidRPr="00FA1574" w:rsidRDefault="00FA1574" w:rsidP="00FA1574">
            <w:pPr>
              <w:rPr>
                <w:rFonts w:ascii="Calibri" w:eastAsia="Times New Roman" w:hAnsi="Calibri" w:cs="Calibri"/>
                <w:color w:val="auto"/>
                <w:kern w:val="0"/>
                <w:sz w:val="18"/>
                <w:szCs w:val="18"/>
                <w:lang w:eastAsia="en-GB"/>
                <w14:ligatures w14:val="none"/>
              </w:rPr>
            </w:pPr>
            <w:r w:rsidRPr="00FA1574">
              <w:rPr>
                <w:rFonts w:ascii="Calibri" w:eastAsia="Times New Roman" w:hAnsi="Calibri" w:cs="Calibri"/>
                <w:color w:val="auto"/>
                <w:kern w:val="0"/>
                <w:sz w:val="18"/>
                <w:szCs w:val="18"/>
                <w:lang w:eastAsia="en-GB"/>
                <w14:ligatures w14:val="none"/>
              </w:rPr>
              <w:t>Heterosexual /</w:t>
            </w:r>
          </w:p>
          <w:p w14:paraId="5B1617CD" w14:textId="77777777" w:rsidR="00FA1574" w:rsidRPr="00FA1574" w:rsidRDefault="00FA1574" w:rsidP="00FA1574">
            <w:pPr>
              <w:rPr>
                <w:rFonts w:ascii="Calibri" w:eastAsia="Times New Roman" w:hAnsi="Calibri" w:cs="Calibri"/>
                <w:color w:val="auto"/>
                <w:kern w:val="0"/>
                <w:sz w:val="18"/>
                <w:szCs w:val="18"/>
                <w:lang w:eastAsia="en-GB"/>
                <w14:ligatures w14:val="none"/>
              </w:rPr>
            </w:pPr>
            <w:r w:rsidRPr="00FA1574">
              <w:rPr>
                <w:rFonts w:ascii="Calibri" w:eastAsia="Times New Roman" w:hAnsi="Calibri" w:cs="Calibri"/>
                <w:color w:val="auto"/>
                <w:kern w:val="0"/>
                <w:sz w:val="18"/>
                <w:szCs w:val="18"/>
                <w:lang w:eastAsia="en-GB"/>
                <w14:ligatures w14:val="none"/>
              </w:rPr>
              <w:t>Straight</w:t>
            </w:r>
          </w:p>
        </w:tc>
        <w:tc>
          <w:tcPr>
            <w:tcW w:w="1134" w:type="dxa"/>
            <w:tcBorders>
              <w:top w:val="nil"/>
              <w:left w:val="nil"/>
              <w:bottom w:val="single" w:sz="4" w:space="0" w:color="000000"/>
              <w:right w:val="single" w:sz="4" w:space="0" w:color="000000"/>
            </w:tcBorders>
            <w:shd w:val="clear" w:color="auto" w:fill="auto"/>
            <w:vAlign w:val="bottom"/>
            <w:hideMark/>
          </w:tcPr>
          <w:p w14:paraId="799BEF1B" w14:textId="77777777" w:rsidR="00FA1574" w:rsidRPr="00FA1574" w:rsidRDefault="00FA1574" w:rsidP="00FA1574">
            <w:pPr>
              <w:rPr>
                <w:rFonts w:ascii="Calibri" w:eastAsia="Times New Roman" w:hAnsi="Calibri" w:cs="Calibri"/>
                <w:color w:val="auto"/>
                <w:kern w:val="0"/>
                <w:sz w:val="18"/>
                <w:szCs w:val="18"/>
                <w:lang w:eastAsia="en-GB"/>
                <w14:ligatures w14:val="none"/>
              </w:rPr>
            </w:pPr>
            <w:r w:rsidRPr="00FA1574">
              <w:rPr>
                <w:rFonts w:ascii="Calibri" w:eastAsia="Times New Roman" w:hAnsi="Calibri" w:cs="Calibri"/>
                <w:color w:val="auto"/>
                <w:kern w:val="0"/>
                <w:sz w:val="18"/>
                <w:szCs w:val="18"/>
                <w:lang w:eastAsia="en-GB"/>
                <w14:ligatures w14:val="none"/>
              </w:rPr>
              <w:t>Gay/Lesbian</w:t>
            </w:r>
          </w:p>
        </w:tc>
        <w:tc>
          <w:tcPr>
            <w:tcW w:w="1138" w:type="dxa"/>
            <w:tcBorders>
              <w:top w:val="nil"/>
              <w:left w:val="nil"/>
              <w:bottom w:val="single" w:sz="4" w:space="0" w:color="000000"/>
              <w:right w:val="single" w:sz="4" w:space="0" w:color="000000"/>
            </w:tcBorders>
            <w:shd w:val="clear" w:color="auto" w:fill="auto"/>
            <w:vAlign w:val="bottom"/>
            <w:hideMark/>
          </w:tcPr>
          <w:p w14:paraId="6E30E4A1" w14:textId="77777777" w:rsidR="00FA1574" w:rsidRPr="00FA1574" w:rsidRDefault="00FA1574" w:rsidP="00FA1574">
            <w:pPr>
              <w:rPr>
                <w:rFonts w:ascii="Calibri" w:eastAsia="Times New Roman" w:hAnsi="Calibri" w:cs="Calibri"/>
                <w:color w:val="auto"/>
                <w:kern w:val="0"/>
                <w:sz w:val="18"/>
                <w:szCs w:val="18"/>
                <w:lang w:eastAsia="en-GB"/>
                <w14:ligatures w14:val="none"/>
              </w:rPr>
            </w:pPr>
            <w:r w:rsidRPr="00FA1574">
              <w:rPr>
                <w:rFonts w:ascii="Calibri" w:eastAsia="Times New Roman" w:hAnsi="Calibri" w:cs="Calibri"/>
                <w:color w:val="auto"/>
                <w:kern w:val="0"/>
                <w:sz w:val="18"/>
                <w:szCs w:val="18"/>
                <w:lang w:eastAsia="en-GB"/>
                <w14:ligatures w14:val="none"/>
              </w:rPr>
              <w:t>Bisexual</w:t>
            </w:r>
          </w:p>
        </w:tc>
        <w:tc>
          <w:tcPr>
            <w:tcW w:w="1130" w:type="dxa"/>
            <w:tcBorders>
              <w:top w:val="nil"/>
              <w:left w:val="nil"/>
              <w:bottom w:val="single" w:sz="4" w:space="0" w:color="000000"/>
              <w:right w:val="single" w:sz="4" w:space="0" w:color="000000"/>
            </w:tcBorders>
            <w:shd w:val="clear" w:color="auto" w:fill="auto"/>
            <w:vAlign w:val="bottom"/>
            <w:hideMark/>
          </w:tcPr>
          <w:p w14:paraId="64BFDE36" w14:textId="77777777" w:rsidR="00FA1574" w:rsidRPr="00FA1574" w:rsidRDefault="00FA1574" w:rsidP="00FA1574">
            <w:pPr>
              <w:rPr>
                <w:rFonts w:ascii="Calibri" w:eastAsia="Times New Roman" w:hAnsi="Calibri" w:cs="Calibri"/>
                <w:color w:val="auto"/>
                <w:kern w:val="0"/>
                <w:sz w:val="18"/>
                <w:szCs w:val="18"/>
                <w:lang w:eastAsia="en-GB"/>
                <w14:ligatures w14:val="none"/>
              </w:rPr>
            </w:pPr>
            <w:r w:rsidRPr="00FA1574">
              <w:rPr>
                <w:rFonts w:ascii="Calibri" w:eastAsia="Times New Roman" w:hAnsi="Calibri" w:cs="Calibri"/>
                <w:color w:val="auto"/>
                <w:kern w:val="0"/>
                <w:sz w:val="18"/>
                <w:szCs w:val="18"/>
                <w:lang w:eastAsia="en-GB"/>
                <w14:ligatures w14:val="none"/>
              </w:rPr>
              <w:t>Prefer not to say</w:t>
            </w:r>
          </w:p>
        </w:tc>
        <w:tc>
          <w:tcPr>
            <w:tcW w:w="1134" w:type="dxa"/>
            <w:tcBorders>
              <w:top w:val="nil"/>
              <w:left w:val="nil"/>
              <w:bottom w:val="single" w:sz="4" w:space="0" w:color="000000"/>
              <w:right w:val="single" w:sz="4" w:space="0" w:color="000000"/>
            </w:tcBorders>
            <w:shd w:val="clear" w:color="auto" w:fill="auto"/>
            <w:vAlign w:val="bottom"/>
            <w:hideMark/>
          </w:tcPr>
          <w:p w14:paraId="2FBCA2D9" w14:textId="77777777" w:rsidR="00FA1574" w:rsidRPr="00FA1574" w:rsidRDefault="00FA1574" w:rsidP="00FA1574">
            <w:pPr>
              <w:rPr>
                <w:rFonts w:ascii="Calibri" w:eastAsia="Times New Roman" w:hAnsi="Calibri" w:cs="Calibri"/>
                <w:color w:val="auto"/>
                <w:kern w:val="0"/>
                <w:sz w:val="18"/>
                <w:szCs w:val="18"/>
                <w:lang w:eastAsia="en-GB"/>
                <w14:ligatures w14:val="none"/>
              </w:rPr>
            </w:pPr>
            <w:r w:rsidRPr="00FA1574">
              <w:rPr>
                <w:rFonts w:ascii="Calibri" w:eastAsia="Times New Roman" w:hAnsi="Calibri" w:cs="Calibri"/>
                <w:color w:val="auto"/>
                <w:kern w:val="0"/>
                <w:sz w:val="18"/>
                <w:szCs w:val="18"/>
                <w:lang w:eastAsia="en-GB"/>
                <w14:ligatures w14:val="none"/>
              </w:rPr>
              <w:t>Prefer to self-describe</w:t>
            </w:r>
          </w:p>
        </w:tc>
      </w:tr>
      <w:tr w:rsidR="00FA1574" w:rsidRPr="00FA1574" w14:paraId="069538B0" w14:textId="77777777" w:rsidTr="00F5532B">
        <w:trPr>
          <w:trHeight w:val="285"/>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4FD2B81E"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575</w:t>
            </w:r>
          </w:p>
        </w:tc>
        <w:tc>
          <w:tcPr>
            <w:tcW w:w="1134" w:type="dxa"/>
            <w:tcBorders>
              <w:top w:val="nil"/>
              <w:left w:val="nil"/>
              <w:bottom w:val="single" w:sz="4" w:space="0" w:color="000000"/>
              <w:right w:val="single" w:sz="4" w:space="0" w:color="000000"/>
            </w:tcBorders>
            <w:shd w:val="clear" w:color="auto" w:fill="auto"/>
            <w:noWrap/>
            <w:vAlign w:val="bottom"/>
            <w:hideMark/>
          </w:tcPr>
          <w:p w14:paraId="61EE37C7"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14</w:t>
            </w:r>
          </w:p>
        </w:tc>
        <w:tc>
          <w:tcPr>
            <w:tcW w:w="1138" w:type="dxa"/>
            <w:tcBorders>
              <w:top w:val="nil"/>
              <w:left w:val="nil"/>
              <w:bottom w:val="single" w:sz="4" w:space="0" w:color="000000"/>
              <w:right w:val="single" w:sz="4" w:space="0" w:color="000000"/>
            </w:tcBorders>
            <w:shd w:val="clear" w:color="auto" w:fill="auto"/>
            <w:noWrap/>
            <w:vAlign w:val="bottom"/>
            <w:hideMark/>
          </w:tcPr>
          <w:p w14:paraId="0ADEC82E"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17</w:t>
            </w:r>
          </w:p>
        </w:tc>
        <w:tc>
          <w:tcPr>
            <w:tcW w:w="1130" w:type="dxa"/>
            <w:tcBorders>
              <w:top w:val="nil"/>
              <w:left w:val="nil"/>
              <w:bottom w:val="single" w:sz="4" w:space="0" w:color="000000"/>
              <w:right w:val="single" w:sz="4" w:space="0" w:color="000000"/>
            </w:tcBorders>
            <w:shd w:val="clear" w:color="auto" w:fill="auto"/>
            <w:noWrap/>
            <w:vAlign w:val="bottom"/>
            <w:hideMark/>
          </w:tcPr>
          <w:p w14:paraId="1FB23BFE"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22</w:t>
            </w:r>
          </w:p>
        </w:tc>
        <w:tc>
          <w:tcPr>
            <w:tcW w:w="1134" w:type="dxa"/>
            <w:tcBorders>
              <w:top w:val="nil"/>
              <w:left w:val="nil"/>
              <w:bottom w:val="single" w:sz="4" w:space="0" w:color="000000"/>
              <w:right w:val="single" w:sz="4" w:space="0" w:color="000000"/>
            </w:tcBorders>
            <w:shd w:val="clear" w:color="auto" w:fill="auto"/>
            <w:noWrap/>
            <w:vAlign w:val="bottom"/>
            <w:hideMark/>
          </w:tcPr>
          <w:p w14:paraId="13B44A5B"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4</w:t>
            </w:r>
          </w:p>
        </w:tc>
      </w:tr>
      <w:tr w:rsidR="00FA1574" w:rsidRPr="00FA1574" w14:paraId="0FAB5DF0" w14:textId="77777777" w:rsidTr="00F5532B">
        <w:trPr>
          <w:trHeight w:val="285"/>
        </w:trPr>
        <w:tc>
          <w:tcPr>
            <w:tcW w:w="1271" w:type="dxa"/>
            <w:tcBorders>
              <w:top w:val="nil"/>
              <w:left w:val="single" w:sz="4" w:space="0" w:color="000000"/>
              <w:bottom w:val="single" w:sz="4" w:space="0" w:color="000000"/>
              <w:right w:val="single" w:sz="4" w:space="0" w:color="000000"/>
            </w:tcBorders>
            <w:shd w:val="clear" w:color="auto" w:fill="auto"/>
            <w:noWrap/>
            <w:vAlign w:val="bottom"/>
            <w:hideMark/>
          </w:tcPr>
          <w:p w14:paraId="25AC712F"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91.0%</w:t>
            </w:r>
          </w:p>
        </w:tc>
        <w:tc>
          <w:tcPr>
            <w:tcW w:w="1134" w:type="dxa"/>
            <w:tcBorders>
              <w:top w:val="nil"/>
              <w:left w:val="nil"/>
              <w:bottom w:val="single" w:sz="4" w:space="0" w:color="000000"/>
              <w:right w:val="single" w:sz="4" w:space="0" w:color="000000"/>
            </w:tcBorders>
            <w:shd w:val="clear" w:color="auto" w:fill="auto"/>
            <w:noWrap/>
            <w:vAlign w:val="bottom"/>
            <w:hideMark/>
          </w:tcPr>
          <w:p w14:paraId="637EE938"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2.2%</w:t>
            </w:r>
          </w:p>
        </w:tc>
        <w:tc>
          <w:tcPr>
            <w:tcW w:w="1138" w:type="dxa"/>
            <w:tcBorders>
              <w:top w:val="nil"/>
              <w:left w:val="nil"/>
              <w:bottom w:val="single" w:sz="4" w:space="0" w:color="000000"/>
              <w:right w:val="single" w:sz="4" w:space="0" w:color="000000"/>
            </w:tcBorders>
            <w:shd w:val="clear" w:color="auto" w:fill="auto"/>
            <w:noWrap/>
            <w:vAlign w:val="bottom"/>
            <w:hideMark/>
          </w:tcPr>
          <w:p w14:paraId="16C5FEAF"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2.7%</w:t>
            </w:r>
          </w:p>
        </w:tc>
        <w:tc>
          <w:tcPr>
            <w:tcW w:w="1130" w:type="dxa"/>
            <w:tcBorders>
              <w:top w:val="nil"/>
              <w:left w:val="nil"/>
              <w:bottom w:val="single" w:sz="4" w:space="0" w:color="000000"/>
              <w:right w:val="single" w:sz="4" w:space="0" w:color="000000"/>
            </w:tcBorders>
            <w:shd w:val="clear" w:color="auto" w:fill="auto"/>
            <w:noWrap/>
            <w:vAlign w:val="bottom"/>
            <w:hideMark/>
          </w:tcPr>
          <w:p w14:paraId="44C84449"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3.5%</w:t>
            </w:r>
          </w:p>
        </w:tc>
        <w:tc>
          <w:tcPr>
            <w:tcW w:w="1134" w:type="dxa"/>
            <w:tcBorders>
              <w:top w:val="nil"/>
              <w:left w:val="nil"/>
              <w:bottom w:val="single" w:sz="4" w:space="0" w:color="000000"/>
              <w:right w:val="single" w:sz="4" w:space="0" w:color="000000"/>
            </w:tcBorders>
            <w:shd w:val="clear" w:color="auto" w:fill="auto"/>
            <w:noWrap/>
            <w:vAlign w:val="bottom"/>
            <w:hideMark/>
          </w:tcPr>
          <w:p w14:paraId="51F06DA6"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0.6%</w:t>
            </w:r>
          </w:p>
        </w:tc>
      </w:tr>
    </w:tbl>
    <w:p w14:paraId="3C3F717E" w14:textId="77777777" w:rsidR="00FA1574" w:rsidRPr="00FA1574" w:rsidRDefault="00FA1574" w:rsidP="00FA1574">
      <w:pPr>
        <w:spacing w:after="160" w:line="259" w:lineRule="auto"/>
        <w:rPr>
          <w:rFonts w:ascii="Arial" w:hAnsi="Arial" w:cs="Arial"/>
          <w:color w:val="auto"/>
          <w:kern w:val="0"/>
          <w:sz w:val="22"/>
          <w:szCs w:val="22"/>
          <w14:ligatures w14:val="none"/>
        </w:rPr>
      </w:pPr>
    </w:p>
    <w:p w14:paraId="68F1B62E" w14:textId="77777777" w:rsidR="00FA1574" w:rsidRPr="00FA1574" w:rsidRDefault="00FA1574" w:rsidP="00FA1574">
      <w:pPr>
        <w:numPr>
          <w:ilvl w:val="0"/>
          <w:numId w:val="30"/>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It is not possible to draw a direct comparison with the previous consultation, as this data was not captured in 2021.</w:t>
      </w:r>
    </w:p>
    <w:p w14:paraId="1BE6E086" w14:textId="77777777" w:rsidR="00FA1574" w:rsidRPr="00FA1574" w:rsidRDefault="00FA1574" w:rsidP="00FA1574">
      <w:pPr>
        <w:numPr>
          <w:ilvl w:val="0"/>
          <w:numId w:val="30"/>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Within the 2021 Census, 89.3% of Nottinghamshire described themselves as heterosexual. The responses in this consultation diverge only slightly from that, indicating that responses in this demographic area were largely reflective of the community NFRS serves.</w:t>
      </w:r>
    </w:p>
    <w:p w14:paraId="0340380B" w14:textId="77777777" w:rsidR="00FA1574" w:rsidRPr="00FA1574" w:rsidRDefault="00FA1574" w:rsidP="00FA1574">
      <w:pPr>
        <w:spacing w:after="160" w:line="259" w:lineRule="auto"/>
        <w:rPr>
          <w:rFonts w:ascii="Arial" w:hAnsi="Arial" w:cs="Arial"/>
          <w:color w:val="auto"/>
          <w:kern w:val="0"/>
          <w:sz w:val="22"/>
          <w:szCs w:val="22"/>
          <w14:ligatures w14:val="none"/>
        </w:rPr>
      </w:pPr>
    </w:p>
    <w:p w14:paraId="51B2BCC9" w14:textId="77777777" w:rsidR="00FA1574" w:rsidRPr="00FA1574" w:rsidRDefault="00FA1574" w:rsidP="00FA1574">
      <w:pPr>
        <w:spacing w:after="160" w:line="259" w:lineRule="auto"/>
        <w:rPr>
          <w:rFonts w:ascii="Arial" w:hAnsi="Arial" w:cs="Arial"/>
          <w:b/>
          <w:bCs/>
          <w:color w:val="auto"/>
          <w:kern w:val="0"/>
          <w14:ligatures w14:val="none"/>
        </w:rPr>
      </w:pPr>
      <w:r w:rsidRPr="00FA1574">
        <w:rPr>
          <w:rFonts w:ascii="Arial" w:hAnsi="Arial" w:cs="Arial"/>
          <w:b/>
          <w:bCs/>
          <w:color w:val="auto"/>
          <w:kern w:val="0"/>
          <w14:ligatures w14:val="none"/>
        </w:rPr>
        <w:t>Ethic Group</w:t>
      </w:r>
    </w:p>
    <w:tbl>
      <w:tblPr>
        <w:tblW w:w="8926" w:type="dxa"/>
        <w:jc w:val="center"/>
        <w:tblLayout w:type="fixed"/>
        <w:tblLook w:val="04A0" w:firstRow="1" w:lastRow="0" w:firstColumn="1" w:lastColumn="0" w:noHBand="0" w:noVBand="1"/>
      </w:tblPr>
      <w:tblGrid>
        <w:gridCol w:w="1129"/>
        <w:gridCol w:w="1134"/>
        <w:gridCol w:w="1134"/>
        <w:gridCol w:w="1093"/>
        <w:gridCol w:w="1034"/>
        <w:gridCol w:w="1134"/>
        <w:gridCol w:w="1134"/>
        <w:gridCol w:w="1134"/>
      </w:tblGrid>
      <w:tr w:rsidR="00FA1574" w:rsidRPr="00FA1574" w14:paraId="39F7C65F" w14:textId="77777777" w:rsidTr="00F5532B">
        <w:trPr>
          <w:trHeight w:val="315"/>
          <w:jc w:val="center"/>
        </w:trPr>
        <w:tc>
          <w:tcPr>
            <w:tcW w:w="8926" w:type="dxa"/>
            <w:gridSpan w:val="8"/>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014D1A" w14:textId="77777777" w:rsidR="00FA1574" w:rsidRPr="00FA1574" w:rsidRDefault="00FA1574" w:rsidP="00FA1574">
            <w:pPr>
              <w:rPr>
                <w:rFonts w:ascii="Calibri" w:eastAsia="Times New Roman" w:hAnsi="Calibri" w:cs="Calibri"/>
                <w:b/>
                <w:bCs/>
                <w:color w:val="auto"/>
                <w:kern w:val="0"/>
                <w:lang w:eastAsia="en-GB"/>
                <w14:ligatures w14:val="none"/>
              </w:rPr>
            </w:pPr>
            <w:r w:rsidRPr="00FA1574">
              <w:rPr>
                <w:rFonts w:ascii="Calibri" w:eastAsia="Times New Roman" w:hAnsi="Calibri" w:cs="Calibri"/>
                <w:b/>
                <w:bCs/>
                <w:color w:val="auto"/>
                <w:kern w:val="0"/>
                <w:lang w:eastAsia="en-GB"/>
                <w14:ligatures w14:val="none"/>
              </w:rPr>
              <w:t>What is your ethnic group?</w:t>
            </w:r>
          </w:p>
        </w:tc>
      </w:tr>
      <w:tr w:rsidR="00FA1574" w:rsidRPr="00FA1574" w14:paraId="03518E4A" w14:textId="77777777" w:rsidTr="00F5532B">
        <w:trPr>
          <w:trHeight w:val="1178"/>
          <w:jc w:val="center"/>
        </w:trPr>
        <w:tc>
          <w:tcPr>
            <w:tcW w:w="1129" w:type="dxa"/>
            <w:tcBorders>
              <w:top w:val="nil"/>
              <w:left w:val="single" w:sz="4" w:space="0" w:color="000000"/>
              <w:bottom w:val="single" w:sz="4" w:space="0" w:color="000000"/>
              <w:right w:val="single" w:sz="4" w:space="0" w:color="000000"/>
            </w:tcBorders>
            <w:shd w:val="clear" w:color="auto" w:fill="auto"/>
            <w:vAlign w:val="bottom"/>
            <w:hideMark/>
          </w:tcPr>
          <w:p w14:paraId="718201E0" w14:textId="77777777" w:rsidR="00FA1574" w:rsidRPr="00FA1574" w:rsidRDefault="00FA1574" w:rsidP="00FA1574">
            <w:pPr>
              <w:rPr>
                <w:rFonts w:ascii="Calibri" w:eastAsia="Times New Roman" w:hAnsi="Calibri" w:cs="Calibri"/>
                <w:color w:val="auto"/>
                <w:kern w:val="0"/>
                <w:sz w:val="18"/>
                <w:szCs w:val="18"/>
                <w:lang w:eastAsia="en-GB"/>
                <w14:ligatures w14:val="none"/>
              </w:rPr>
            </w:pPr>
            <w:r w:rsidRPr="00FA1574">
              <w:rPr>
                <w:rFonts w:ascii="Calibri" w:eastAsia="Times New Roman" w:hAnsi="Calibri" w:cs="Calibri"/>
                <w:color w:val="auto"/>
                <w:kern w:val="0"/>
                <w:sz w:val="18"/>
                <w:szCs w:val="18"/>
                <w:lang w:eastAsia="en-GB"/>
                <w14:ligatures w14:val="none"/>
              </w:rPr>
              <w:t>White (English/Welsh/Scottish/Northern Irish/British)</w:t>
            </w:r>
          </w:p>
        </w:tc>
        <w:tc>
          <w:tcPr>
            <w:tcW w:w="1134" w:type="dxa"/>
            <w:tcBorders>
              <w:top w:val="nil"/>
              <w:left w:val="nil"/>
              <w:bottom w:val="single" w:sz="4" w:space="0" w:color="000000"/>
              <w:right w:val="single" w:sz="4" w:space="0" w:color="000000"/>
            </w:tcBorders>
            <w:shd w:val="clear" w:color="auto" w:fill="auto"/>
            <w:vAlign w:val="bottom"/>
            <w:hideMark/>
          </w:tcPr>
          <w:p w14:paraId="238EE6A3" w14:textId="77777777" w:rsidR="00FA1574" w:rsidRPr="00FA1574" w:rsidRDefault="00FA1574" w:rsidP="00FA1574">
            <w:pPr>
              <w:rPr>
                <w:rFonts w:ascii="Calibri" w:eastAsia="Times New Roman" w:hAnsi="Calibri" w:cs="Calibri"/>
                <w:color w:val="auto"/>
                <w:kern w:val="0"/>
                <w:sz w:val="18"/>
                <w:szCs w:val="18"/>
                <w:lang w:eastAsia="en-GB"/>
                <w14:ligatures w14:val="none"/>
              </w:rPr>
            </w:pPr>
            <w:r w:rsidRPr="00FA1574">
              <w:rPr>
                <w:rFonts w:ascii="Calibri" w:eastAsia="Times New Roman" w:hAnsi="Calibri" w:cs="Calibri"/>
                <w:color w:val="auto"/>
                <w:kern w:val="0"/>
                <w:sz w:val="18"/>
                <w:szCs w:val="18"/>
                <w:lang w:eastAsia="en-GB"/>
                <w14:ligatures w14:val="none"/>
              </w:rPr>
              <w:t>White (Irish)</w:t>
            </w:r>
          </w:p>
        </w:tc>
        <w:tc>
          <w:tcPr>
            <w:tcW w:w="1134" w:type="dxa"/>
            <w:tcBorders>
              <w:top w:val="nil"/>
              <w:left w:val="nil"/>
              <w:bottom w:val="single" w:sz="4" w:space="0" w:color="000000"/>
              <w:right w:val="single" w:sz="4" w:space="0" w:color="000000"/>
            </w:tcBorders>
            <w:shd w:val="clear" w:color="auto" w:fill="auto"/>
            <w:vAlign w:val="bottom"/>
            <w:hideMark/>
          </w:tcPr>
          <w:p w14:paraId="3C32C339" w14:textId="77777777" w:rsidR="00FA1574" w:rsidRPr="00FA1574" w:rsidRDefault="00FA1574" w:rsidP="00FA1574">
            <w:pPr>
              <w:rPr>
                <w:rFonts w:ascii="Calibri" w:eastAsia="Times New Roman" w:hAnsi="Calibri" w:cs="Calibri"/>
                <w:color w:val="auto"/>
                <w:kern w:val="0"/>
                <w:sz w:val="18"/>
                <w:szCs w:val="18"/>
                <w:lang w:eastAsia="en-GB"/>
                <w14:ligatures w14:val="none"/>
              </w:rPr>
            </w:pPr>
            <w:r w:rsidRPr="00FA1574">
              <w:rPr>
                <w:rFonts w:ascii="Calibri" w:eastAsia="Times New Roman" w:hAnsi="Calibri" w:cs="Calibri"/>
                <w:color w:val="auto"/>
                <w:kern w:val="0"/>
                <w:sz w:val="18"/>
                <w:szCs w:val="18"/>
                <w:lang w:eastAsia="en-GB"/>
                <w14:ligatures w14:val="none"/>
              </w:rPr>
              <w:t>White (Other)</w:t>
            </w:r>
          </w:p>
        </w:tc>
        <w:tc>
          <w:tcPr>
            <w:tcW w:w="1093" w:type="dxa"/>
            <w:tcBorders>
              <w:top w:val="nil"/>
              <w:left w:val="nil"/>
              <w:bottom w:val="single" w:sz="4" w:space="0" w:color="000000"/>
              <w:right w:val="single" w:sz="4" w:space="0" w:color="000000"/>
            </w:tcBorders>
            <w:shd w:val="clear" w:color="auto" w:fill="auto"/>
            <w:vAlign w:val="bottom"/>
            <w:hideMark/>
          </w:tcPr>
          <w:p w14:paraId="02782A8B" w14:textId="77777777" w:rsidR="00FA1574" w:rsidRPr="00FA1574" w:rsidRDefault="00FA1574" w:rsidP="00FA1574">
            <w:pPr>
              <w:rPr>
                <w:rFonts w:ascii="Calibri" w:eastAsia="Times New Roman" w:hAnsi="Calibri" w:cs="Calibri"/>
                <w:color w:val="auto"/>
                <w:kern w:val="0"/>
                <w:sz w:val="18"/>
                <w:szCs w:val="18"/>
                <w:lang w:eastAsia="en-GB"/>
                <w14:ligatures w14:val="none"/>
              </w:rPr>
            </w:pPr>
            <w:r w:rsidRPr="00FA1574">
              <w:rPr>
                <w:rFonts w:ascii="Calibri" w:eastAsia="Times New Roman" w:hAnsi="Calibri" w:cs="Calibri"/>
                <w:color w:val="auto"/>
                <w:kern w:val="0"/>
                <w:sz w:val="18"/>
                <w:szCs w:val="18"/>
                <w:lang w:eastAsia="en-GB"/>
                <w14:ligatures w14:val="none"/>
              </w:rPr>
              <w:t>Mixed or multiple ethnic groups</w:t>
            </w:r>
          </w:p>
        </w:tc>
        <w:tc>
          <w:tcPr>
            <w:tcW w:w="1034" w:type="dxa"/>
            <w:tcBorders>
              <w:top w:val="nil"/>
              <w:left w:val="nil"/>
              <w:bottom w:val="single" w:sz="4" w:space="0" w:color="000000"/>
              <w:right w:val="single" w:sz="4" w:space="0" w:color="000000"/>
            </w:tcBorders>
            <w:shd w:val="clear" w:color="auto" w:fill="auto"/>
            <w:vAlign w:val="bottom"/>
            <w:hideMark/>
          </w:tcPr>
          <w:p w14:paraId="5704B8E3" w14:textId="77777777" w:rsidR="00FA1574" w:rsidRPr="00FA1574" w:rsidRDefault="00FA1574" w:rsidP="00FA1574">
            <w:pPr>
              <w:rPr>
                <w:rFonts w:ascii="Calibri" w:eastAsia="Times New Roman" w:hAnsi="Calibri" w:cs="Calibri"/>
                <w:color w:val="auto"/>
                <w:kern w:val="0"/>
                <w:sz w:val="18"/>
                <w:szCs w:val="18"/>
                <w:lang w:eastAsia="en-GB"/>
                <w14:ligatures w14:val="none"/>
              </w:rPr>
            </w:pPr>
            <w:r w:rsidRPr="00FA1574">
              <w:rPr>
                <w:rFonts w:ascii="Calibri" w:eastAsia="Times New Roman" w:hAnsi="Calibri" w:cs="Calibri"/>
                <w:color w:val="auto"/>
                <w:kern w:val="0"/>
                <w:sz w:val="18"/>
                <w:szCs w:val="18"/>
                <w:lang w:eastAsia="en-GB"/>
                <w14:ligatures w14:val="none"/>
              </w:rPr>
              <w:t>Asian/Asian British</w:t>
            </w:r>
          </w:p>
        </w:tc>
        <w:tc>
          <w:tcPr>
            <w:tcW w:w="1134" w:type="dxa"/>
            <w:tcBorders>
              <w:top w:val="nil"/>
              <w:left w:val="nil"/>
              <w:bottom w:val="single" w:sz="4" w:space="0" w:color="000000"/>
              <w:right w:val="single" w:sz="4" w:space="0" w:color="000000"/>
            </w:tcBorders>
            <w:shd w:val="clear" w:color="auto" w:fill="auto"/>
            <w:vAlign w:val="bottom"/>
            <w:hideMark/>
          </w:tcPr>
          <w:p w14:paraId="6B35C49D" w14:textId="77777777" w:rsidR="00FA1574" w:rsidRPr="00FA1574" w:rsidRDefault="00FA1574" w:rsidP="00FA1574">
            <w:pPr>
              <w:rPr>
                <w:rFonts w:ascii="Calibri" w:eastAsia="Times New Roman" w:hAnsi="Calibri" w:cs="Calibri"/>
                <w:color w:val="auto"/>
                <w:kern w:val="0"/>
                <w:sz w:val="18"/>
                <w:szCs w:val="18"/>
                <w:lang w:eastAsia="en-GB"/>
                <w14:ligatures w14:val="none"/>
              </w:rPr>
            </w:pPr>
            <w:r w:rsidRPr="00FA1574">
              <w:rPr>
                <w:rFonts w:ascii="Calibri" w:eastAsia="Times New Roman" w:hAnsi="Calibri" w:cs="Calibri"/>
                <w:color w:val="auto"/>
                <w:kern w:val="0"/>
                <w:sz w:val="18"/>
                <w:szCs w:val="18"/>
                <w:lang w:eastAsia="en-GB"/>
                <w14:ligatures w14:val="none"/>
              </w:rPr>
              <w:t>Black/African/Caribbean/Black British</w:t>
            </w:r>
          </w:p>
        </w:tc>
        <w:tc>
          <w:tcPr>
            <w:tcW w:w="1134" w:type="dxa"/>
            <w:tcBorders>
              <w:top w:val="nil"/>
              <w:left w:val="nil"/>
              <w:bottom w:val="single" w:sz="4" w:space="0" w:color="000000"/>
              <w:right w:val="single" w:sz="4" w:space="0" w:color="000000"/>
            </w:tcBorders>
            <w:shd w:val="clear" w:color="auto" w:fill="auto"/>
            <w:vAlign w:val="bottom"/>
            <w:hideMark/>
          </w:tcPr>
          <w:p w14:paraId="08C4BE50" w14:textId="77777777" w:rsidR="00FA1574" w:rsidRPr="00FA1574" w:rsidRDefault="00FA1574" w:rsidP="00FA1574">
            <w:pPr>
              <w:rPr>
                <w:rFonts w:ascii="Calibri" w:eastAsia="Times New Roman" w:hAnsi="Calibri" w:cs="Calibri"/>
                <w:color w:val="auto"/>
                <w:kern w:val="0"/>
                <w:sz w:val="18"/>
                <w:szCs w:val="18"/>
                <w:lang w:eastAsia="en-GB"/>
                <w14:ligatures w14:val="none"/>
              </w:rPr>
            </w:pPr>
            <w:r w:rsidRPr="00FA1574">
              <w:rPr>
                <w:rFonts w:ascii="Calibri" w:eastAsia="Times New Roman" w:hAnsi="Calibri" w:cs="Calibri"/>
                <w:color w:val="auto"/>
                <w:kern w:val="0"/>
                <w:sz w:val="18"/>
                <w:szCs w:val="18"/>
                <w:lang w:eastAsia="en-GB"/>
                <w14:ligatures w14:val="none"/>
              </w:rPr>
              <w:t>Prefer not to say</w:t>
            </w:r>
          </w:p>
        </w:tc>
        <w:tc>
          <w:tcPr>
            <w:tcW w:w="1134" w:type="dxa"/>
            <w:tcBorders>
              <w:top w:val="nil"/>
              <w:left w:val="nil"/>
              <w:bottom w:val="single" w:sz="4" w:space="0" w:color="000000"/>
              <w:right w:val="single" w:sz="4" w:space="0" w:color="000000"/>
            </w:tcBorders>
            <w:shd w:val="clear" w:color="auto" w:fill="auto"/>
            <w:vAlign w:val="bottom"/>
            <w:hideMark/>
          </w:tcPr>
          <w:p w14:paraId="7EC5BF87" w14:textId="77777777" w:rsidR="00FA1574" w:rsidRPr="00FA1574" w:rsidRDefault="00FA1574" w:rsidP="00FA1574">
            <w:pPr>
              <w:rPr>
                <w:rFonts w:ascii="Calibri" w:eastAsia="Times New Roman" w:hAnsi="Calibri" w:cs="Calibri"/>
                <w:color w:val="auto"/>
                <w:kern w:val="0"/>
                <w:sz w:val="18"/>
                <w:szCs w:val="18"/>
                <w:lang w:eastAsia="en-GB"/>
                <w14:ligatures w14:val="none"/>
              </w:rPr>
            </w:pPr>
            <w:proofErr w:type="gramStart"/>
            <w:r w:rsidRPr="00FA1574">
              <w:rPr>
                <w:rFonts w:ascii="Calibri" w:eastAsia="Times New Roman" w:hAnsi="Calibri" w:cs="Calibri"/>
                <w:color w:val="auto"/>
                <w:kern w:val="0"/>
                <w:sz w:val="18"/>
                <w:szCs w:val="18"/>
                <w:lang w:eastAsia="en-GB"/>
                <w14:ligatures w14:val="none"/>
              </w:rPr>
              <w:t>Other</w:t>
            </w:r>
            <w:proofErr w:type="gramEnd"/>
            <w:r w:rsidRPr="00FA1574">
              <w:rPr>
                <w:rFonts w:ascii="Calibri" w:eastAsia="Times New Roman" w:hAnsi="Calibri" w:cs="Calibri"/>
                <w:color w:val="auto"/>
                <w:kern w:val="0"/>
                <w:sz w:val="18"/>
                <w:szCs w:val="18"/>
                <w:lang w:eastAsia="en-GB"/>
                <w14:ligatures w14:val="none"/>
              </w:rPr>
              <w:t xml:space="preserve"> ethnic group (please specify)</w:t>
            </w:r>
          </w:p>
        </w:tc>
      </w:tr>
      <w:tr w:rsidR="00FA1574" w:rsidRPr="00FA1574" w14:paraId="626A41AB" w14:textId="77777777" w:rsidTr="00F5532B">
        <w:trPr>
          <w:trHeight w:val="285"/>
          <w:jc w:val="center"/>
        </w:trPr>
        <w:tc>
          <w:tcPr>
            <w:tcW w:w="1129" w:type="dxa"/>
            <w:tcBorders>
              <w:top w:val="nil"/>
              <w:left w:val="single" w:sz="4" w:space="0" w:color="000000"/>
              <w:bottom w:val="single" w:sz="4" w:space="0" w:color="000000"/>
              <w:right w:val="single" w:sz="4" w:space="0" w:color="000000"/>
            </w:tcBorders>
            <w:shd w:val="clear" w:color="auto" w:fill="auto"/>
            <w:noWrap/>
            <w:vAlign w:val="bottom"/>
            <w:hideMark/>
          </w:tcPr>
          <w:p w14:paraId="6ACC6441"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516</w:t>
            </w:r>
          </w:p>
        </w:tc>
        <w:tc>
          <w:tcPr>
            <w:tcW w:w="1134" w:type="dxa"/>
            <w:tcBorders>
              <w:top w:val="nil"/>
              <w:left w:val="nil"/>
              <w:bottom w:val="single" w:sz="4" w:space="0" w:color="000000"/>
              <w:right w:val="single" w:sz="4" w:space="0" w:color="000000"/>
            </w:tcBorders>
            <w:shd w:val="clear" w:color="auto" w:fill="auto"/>
            <w:noWrap/>
            <w:vAlign w:val="bottom"/>
            <w:hideMark/>
          </w:tcPr>
          <w:p w14:paraId="3E2EF45F"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9</w:t>
            </w:r>
          </w:p>
        </w:tc>
        <w:tc>
          <w:tcPr>
            <w:tcW w:w="1134" w:type="dxa"/>
            <w:tcBorders>
              <w:top w:val="nil"/>
              <w:left w:val="nil"/>
              <w:bottom w:val="single" w:sz="4" w:space="0" w:color="000000"/>
              <w:right w:val="single" w:sz="4" w:space="0" w:color="000000"/>
            </w:tcBorders>
            <w:shd w:val="clear" w:color="auto" w:fill="auto"/>
            <w:noWrap/>
            <w:vAlign w:val="bottom"/>
            <w:hideMark/>
          </w:tcPr>
          <w:p w14:paraId="2A61BA81"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20</w:t>
            </w:r>
          </w:p>
        </w:tc>
        <w:tc>
          <w:tcPr>
            <w:tcW w:w="1093" w:type="dxa"/>
            <w:tcBorders>
              <w:top w:val="nil"/>
              <w:left w:val="nil"/>
              <w:bottom w:val="single" w:sz="4" w:space="0" w:color="000000"/>
              <w:right w:val="single" w:sz="4" w:space="0" w:color="000000"/>
            </w:tcBorders>
            <w:shd w:val="clear" w:color="auto" w:fill="auto"/>
            <w:noWrap/>
            <w:vAlign w:val="bottom"/>
            <w:hideMark/>
          </w:tcPr>
          <w:p w14:paraId="023CA01D"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19</w:t>
            </w:r>
          </w:p>
        </w:tc>
        <w:tc>
          <w:tcPr>
            <w:tcW w:w="1034" w:type="dxa"/>
            <w:tcBorders>
              <w:top w:val="nil"/>
              <w:left w:val="nil"/>
              <w:bottom w:val="single" w:sz="4" w:space="0" w:color="000000"/>
              <w:right w:val="single" w:sz="4" w:space="0" w:color="000000"/>
            </w:tcBorders>
            <w:shd w:val="clear" w:color="auto" w:fill="auto"/>
            <w:noWrap/>
            <w:vAlign w:val="bottom"/>
            <w:hideMark/>
          </w:tcPr>
          <w:p w14:paraId="6AD72351"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28</w:t>
            </w:r>
          </w:p>
        </w:tc>
        <w:tc>
          <w:tcPr>
            <w:tcW w:w="1134" w:type="dxa"/>
            <w:tcBorders>
              <w:top w:val="nil"/>
              <w:left w:val="nil"/>
              <w:bottom w:val="single" w:sz="4" w:space="0" w:color="000000"/>
              <w:right w:val="single" w:sz="4" w:space="0" w:color="000000"/>
            </w:tcBorders>
            <w:shd w:val="clear" w:color="auto" w:fill="auto"/>
            <w:noWrap/>
            <w:vAlign w:val="bottom"/>
            <w:hideMark/>
          </w:tcPr>
          <w:p w14:paraId="5A72CFC4"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27</w:t>
            </w:r>
          </w:p>
        </w:tc>
        <w:tc>
          <w:tcPr>
            <w:tcW w:w="1134" w:type="dxa"/>
            <w:tcBorders>
              <w:top w:val="nil"/>
              <w:left w:val="nil"/>
              <w:bottom w:val="single" w:sz="4" w:space="0" w:color="000000"/>
              <w:right w:val="single" w:sz="4" w:space="0" w:color="000000"/>
            </w:tcBorders>
            <w:shd w:val="clear" w:color="auto" w:fill="auto"/>
            <w:noWrap/>
            <w:vAlign w:val="bottom"/>
            <w:hideMark/>
          </w:tcPr>
          <w:p w14:paraId="01996DFF"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16</w:t>
            </w:r>
          </w:p>
        </w:tc>
        <w:tc>
          <w:tcPr>
            <w:tcW w:w="1134" w:type="dxa"/>
            <w:tcBorders>
              <w:top w:val="nil"/>
              <w:left w:val="nil"/>
              <w:bottom w:val="single" w:sz="4" w:space="0" w:color="000000"/>
              <w:right w:val="single" w:sz="4" w:space="0" w:color="000000"/>
            </w:tcBorders>
            <w:shd w:val="clear" w:color="auto" w:fill="auto"/>
            <w:noWrap/>
            <w:vAlign w:val="bottom"/>
            <w:hideMark/>
          </w:tcPr>
          <w:p w14:paraId="761D704D"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4</w:t>
            </w:r>
          </w:p>
        </w:tc>
      </w:tr>
      <w:tr w:rsidR="00FA1574" w:rsidRPr="00FA1574" w14:paraId="375176DB" w14:textId="77777777" w:rsidTr="00F5532B">
        <w:trPr>
          <w:trHeight w:val="285"/>
          <w:jc w:val="center"/>
        </w:trPr>
        <w:tc>
          <w:tcPr>
            <w:tcW w:w="1129" w:type="dxa"/>
            <w:tcBorders>
              <w:top w:val="nil"/>
              <w:left w:val="single" w:sz="4" w:space="0" w:color="000000"/>
              <w:bottom w:val="single" w:sz="4" w:space="0" w:color="000000"/>
              <w:right w:val="single" w:sz="4" w:space="0" w:color="000000"/>
            </w:tcBorders>
            <w:shd w:val="clear" w:color="auto" w:fill="auto"/>
            <w:noWrap/>
            <w:vAlign w:val="bottom"/>
            <w:hideMark/>
          </w:tcPr>
          <w:p w14:paraId="216620B4"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80.8%</w:t>
            </w:r>
          </w:p>
        </w:tc>
        <w:tc>
          <w:tcPr>
            <w:tcW w:w="1134" w:type="dxa"/>
            <w:tcBorders>
              <w:top w:val="nil"/>
              <w:left w:val="nil"/>
              <w:bottom w:val="single" w:sz="4" w:space="0" w:color="000000"/>
              <w:right w:val="single" w:sz="4" w:space="0" w:color="000000"/>
            </w:tcBorders>
            <w:shd w:val="clear" w:color="auto" w:fill="auto"/>
            <w:noWrap/>
            <w:vAlign w:val="bottom"/>
            <w:hideMark/>
          </w:tcPr>
          <w:p w14:paraId="66015C3A"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1.4%</w:t>
            </w:r>
          </w:p>
        </w:tc>
        <w:tc>
          <w:tcPr>
            <w:tcW w:w="1134" w:type="dxa"/>
            <w:tcBorders>
              <w:top w:val="nil"/>
              <w:left w:val="nil"/>
              <w:bottom w:val="single" w:sz="4" w:space="0" w:color="000000"/>
              <w:right w:val="single" w:sz="4" w:space="0" w:color="000000"/>
            </w:tcBorders>
            <w:shd w:val="clear" w:color="auto" w:fill="auto"/>
            <w:noWrap/>
            <w:vAlign w:val="bottom"/>
            <w:hideMark/>
          </w:tcPr>
          <w:p w14:paraId="5D3BF7CF"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3.1%</w:t>
            </w:r>
          </w:p>
        </w:tc>
        <w:tc>
          <w:tcPr>
            <w:tcW w:w="1093" w:type="dxa"/>
            <w:tcBorders>
              <w:top w:val="nil"/>
              <w:left w:val="nil"/>
              <w:bottom w:val="single" w:sz="4" w:space="0" w:color="000000"/>
              <w:right w:val="single" w:sz="4" w:space="0" w:color="000000"/>
            </w:tcBorders>
            <w:shd w:val="clear" w:color="auto" w:fill="auto"/>
            <w:noWrap/>
            <w:vAlign w:val="bottom"/>
            <w:hideMark/>
          </w:tcPr>
          <w:p w14:paraId="609E98C3"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3.0%</w:t>
            </w:r>
          </w:p>
        </w:tc>
        <w:tc>
          <w:tcPr>
            <w:tcW w:w="1034" w:type="dxa"/>
            <w:tcBorders>
              <w:top w:val="nil"/>
              <w:left w:val="nil"/>
              <w:bottom w:val="single" w:sz="4" w:space="0" w:color="000000"/>
              <w:right w:val="single" w:sz="4" w:space="0" w:color="000000"/>
            </w:tcBorders>
            <w:shd w:val="clear" w:color="auto" w:fill="auto"/>
            <w:noWrap/>
            <w:vAlign w:val="bottom"/>
            <w:hideMark/>
          </w:tcPr>
          <w:p w14:paraId="3F576581"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4.4%</w:t>
            </w:r>
          </w:p>
        </w:tc>
        <w:tc>
          <w:tcPr>
            <w:tcW w:w="1134" w:type="dxa"/>
            <w:tcBorders>
              <w:top w:val="nil"/>
              <w:left w:val="nil"/>
              <w:bottom w:val="single" w:sz="4" w:space="0" w:color="000000"/>
              <w:right w:val="single" w:sz="4" w:space="0" w:color="000000"/>
            </w:tcBorders>
            <w:shd w:val="clear" w:color="auto" w:fill="auto"/>
            <w:noWrap/>
            <w:vAlign w:val="bottom"/>
            <w:hideMark/>
          </w:tcPr>
          <w:p w14:paraId="16DDD896"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4.2%</w:t>
            </w:r>
          </w:p>
        </w:tc>
        <w:tc>
          <w:tcPr>
            <w:tcW w:w="1134" w:type="dxa"/>
            <w:tcBorders>
              <w:top w:val="nil"/>
              <w:left w:val="nil"/>
              <w:bottom w:val="single" w:sz="4" w:space="0" w:color="000000"/>
              <w:right w:val="single" w:sz="4" w:space="0" w:color="000000"/>
            </w:tcBorders>
            <w:shd w:val="clear" w:color="auto" w:fill="auto"/>
            <w:noWrap/>
            <w:vAlign w:val="bottom"/>
            <w:hideMark/>
          </w:tcPr>
          <w:p w14:paraId="57CABA59"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2.5%</w:t>
            </w:r>
          </w:p>
        </w:tc>
        <w:tc>
          <w:tcPr>
            <w:tcW w:w="1134" w:type="dxa"/>
            <w:tcBorders>
              <w:top w:val="nil"/>
              <w:left w:val="nil"/>
              <w:bottom w:val="single" w:sz="4" w:space="0" w:color="000000"/>
              <w:right w:val="single" w:sz="4" w:space="0" w:color="000000"/>
            </w:tcBorders>
            <w:shd w:val="clear" w:color="auto" w:fill="auto"/>
            <w:noWrap/>
            <w:vAlign w:val="bottom"/>
            <w:hideMark/>
          </w:tcPr>
          <w:p w14:paraId="175BC997"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0.6%</w:t>
            </w:r>
          </w:p>
        </w:tc>
      </w:tr>
    </w:tbl>
    <w:p w14:paraId="4B497099" w14:textId="77777777" w:rsidR="00FA1574" w:rsidRPr="00FA1574" w:rsidRDefault="00FA1574" w:rsidP="00FA1574">
      <w:pPr>
        <w:spacing w:after="160" w:line="259" w:lineRule="auto"/>
        <w:rPr>
          <w:rFonts w:ascii="Arial" w:hAnsi="Arial" w:cs="Arial"/>
          <w:color w:val="auto"/>
          <w:kern w:val="0"/>
          <w:sz w:val="22"/>
          <w:szCs w:val="22"/>
          <w14:ligatures w14:val="none"/>
        </w:rPr>
      </w:pPr>
    </w:p>
    <w:p w14:paraId="5B716A88" w14:textId="77777777" w:rsidR="00FA1574" w:rsidRPr="00FA1574" w:rsidRDefault="00FA1574" w:rsidP="00FA1574">
      <w:pPr>
        <w:spacing w:after="160" w:line="259" w:lineRule="auto"/>
        <w:rPr>
          <w:rFonts w:ascii="Arial" w:hAnsi="Arial" w:cs="Arial"/>
          <w:color w:val="auto"/>
          <w:kern w:val="0"/>
          <w:sz w:val="22"/>
          <w:szCs w:val="22"/>
          <w14:ligatures w14:val="none"/>
        </w:rPr>
      </w:pPr>
      <w:r w:rsidRPr="00FA1574">
        <w:rPr>
          <w:rFonts w:ascii="Calibri" w:eastAsia="Times New Roman" w:hAnsi="Calibri" w:cs="Calibri"/>
          <w:noProof/>
          <w:color w:val="auto"/>
          <w:kern w:val="0"/>
          <w:sz w:val="22"/>
          <w:szCs w:val="22"/>
          <w:lang w:eastAsia="en-GB"/>
          <w14:ligatures w14:val="none"/>
        </w:rPr>
        <mc:AlternateContent>
          <mc:Choice Requires="wps">
            <w:drawing>
              <wp:anchor distT="0" distB="0" distL="114300" distR="114300" simplePos="0" relativeHeight="251670529" behindDoc="0" locked="0" layoutInCell="1" allowOverlap="1" wp14:anchorId="79CD1F8B" wp14:editId="4D3FFDC6">
                <wp:simplePos x="0" y="0"/>
                <wp:positionH relativeFrom="column">
                  <wp:posOffset>1771394</wp:posOffset>
                </wp:positionH>
                <wp:positionV relativeFrom="paragraph">
                  <wp:posOffset>2124042</wp:posOffset>
                </wp:positionV>
                <wp:extent cx="112395" cy="118745"/>
                <wp:effectExtent l="19050" t="19050" r="40005" b="14605"/>
                <wp:wrapNone/>
                <wp:docPr id="133095164" name="Isosceles Triangle 5"/>
                <wp:cNvGraphicFramePr/>
                <a:graphic xmlns:a="http://schemas.openxmlformats.org/drawingml/2006/main">
                  <a:graphicData uri="http://schemas.microsoft.com/office/word/2010/wordprocessingShape">
                    <wps:wsp>
                      <wps:cNvSpPr/>
                      <wps:spPr>
                        <a:xfrm>
                          <a:off x="0" y="0"/>
                          <a:ext cx="112395" cy="118745"/>
                        </a:xfrm>
                        <a:prstGeom prst="triangle">
                          <a:avLst/>
                        </a:prstGeom>
                        <a:solidFill>
                          <a:srgbClr val="92D05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06DE2" id="Isosceles Triangle 5" o:spid="_x0000_s1026" type="#_x0000_t5" style="position:absolute;margin-left:139.5pt;margin-top:167.25pt;width:8.85pt;height:9.35pt;z-index:251670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" fillcolor="#92d050" strokecolor="#70ad47" strokeweight="1pt"/>
            </w:pict>
          </mc:Fallback>
        </mc:AlternateContent>
      </w:r>
      <w:r w:rsidRPr="00FA1574">
        <w:rPr>
          <w:rFonts w:ascii="Calibri" w:eastAsia="Times New Roman" w:hAnsi="Calibri" w:cs="Calibri"/>
          <w:noProof/>
          <w:color w:val="auto"/>
          <w:kern w:val="0"/>
          <w:sz w:val="22"/>
          <w:szCs w:val="22"/>
          <w:lang w:eastAsia="en-GB"/>
          <w14:ligatures w14:val="none"/>
        </w:rPr>
        <mc:AlternateContent>
          <mc:Choice Requires="wps">
            <w:drawing>
              <wp:anchor distT="0" distB="0" distL="114300" distR="114300" simplePos="0" relativeHeight="251669505" behindDoc="0" locked="0" layoutInCell="1" allowOverlap="1" wp14:anchorId="2AF76C86" wp14:editId="710B111E">
                <wp:simplePos x="0" y="0"/>
                <wp:positionH relativeFrom="column">
                  <wp:posOffset>3704087</wp:posOffset>
                </wp:positionH>
                <wp:positionV relativeFrom="paragraph">
                  <wp:posOffset>2121535</wp:posOffset>
                </wp:positionV>
                <wp:extent cx="112395" cy="118745"/>
                <wp:effectExtent l="19050" t="19050" r="40005" b="14605"/>
                <wp:wrapNone/>
                <wp:docPr id="953538715" name="Isosceles Triangle 5"/>
                <wp:cNvGraphicFramePr/>
                <a:graphic xmlns:a="http://schemas.openxmlformats.org/drawingml/2006/main">
                  <a:graphicData uri="http://schemas.microsoft.com/office/word/2010/wordprocessingShape">
                    <wps:wsp>
                      <wps:cNvSpPr/>
                      <wps:spPr>
                        <a:xfrm>
                          <a:off x="0" y="0"/>
                          <a:ext cx="112395" cy="118745"/>
                        </a:xfrm>
                        <a:prstGeom prst="triangle">
                          <a:avLst/>
                        </a:prstGeom>
                        <a:solidFill>
                          <a:srgbClr val="92D05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564D9" id="Isosceles Triangle 5" o:spid="_x0000_s1026" type="#_x0000_t5" style="position:absolute;margin-left:291.65pt;margin-top:167.05pt;width:8.85pt;height:9.35pt;z-index:251669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" fillcolor="#92d050" strokecolor="#70ad47" strokeweight="1pt"/>
            </w:pict>
          </mc:Fallback>
        </mc:AlternateContent>
      </w:r>
      <w:r w:rsidRPr="00FA1574">
        <w:rPr>
          <w:rFonts w:ascii="Arial" w:hAnsi="Arial" w:cs="Arial"/>
          <w:color w:val="auto"/>
          <w:kern w:val="0"/>
          <w:sz w:val="22"/>
          <w:szCs w:val="22"/>
          <w14:ligatures w14:val="none"/>
        </w:rPr>
        <w:t>Comparison with 2021:</w:t>
      </w:r>
    </w:p>
    <w:tbl>
      <w:tblPr>
        <w:tblW w:w="7792" w:type="dxa"/>
        <w:tblLayout w:type="fixed"/>
        <w:tblLook w:val="04A0" w:firstRow="1" w:lastRow="0" w:firstColumn="1" w:lastColumn="0" w:noHBand="0" w:noVBand="1"/>
      </w:tblPr>
      <w:tblGrid>
        <w:gridCol w:w="1980"/>
        <w:gridCol w:w="2835"/>
        <w:gridCol w:w="2977"/>
      </w:tblGrid>
      <w:tr w:rsidR="00FA1574" w:rsidRPr="00FA1574" w14:paraId="0B6F0DD6" w14:textId="77777777" w:rsidTr="00F5532B">
        <w:trPr>
          <w:trHeight w:val="315"/>
        </w:trPr>
        <w:tc>
          <w:tcPr>
            <w:tcW w:w="1980" w:type="dxa"/>
            <w:tcBorders>
              <w:right w:val="single" w:sz="4" w:space="0" w:color="auto"/>
            </w:tcBorders>
          </w:tcPr>
          <w:p w14:paraId="2910D227" w14:textId="77777777" w:rsidR="00FA1574" w:rsidRPr="00FA1574" w:rsidRDefault="00FA1574" w:rsidP="00FA1574">
            <w:pPr>
              <w:rPr>
                <w:rFonts w:ascii="Calibri" w:eastAsia="Times New Roman" w:hAnsi="Calibri" w:cs="Calibri"/>
                <w:b/>
                <w:bCs/>
                <w:color w:val="auto"/>
                <w:kern w:val="0"/>
                <w:lang w:eastAsia="en-GB"/>
                <w14:ligatures w14:val="none"/>
              </w:rPr>
            </w:pPr>
          </w:p>
        </w:tc>
        <w:tc>
          <w:tcPr>
            <w:tcW w:w="5812" w:type="dxa"/>
            <w:gridSpan w:val="2"/>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55AE77B" w14:textId="77777777" w:rsidR="00FA1574" w:rsidRPr="00FA1574" w:rsidRDefault="00FA1574" w:rsidP="00FA1574">
            <w:pPr>
              <w:rPr>
                <w:rFonts w:ascii="Calibri" w:eastAsia="Times New Roman" w:hAnsi="Calibri" w:cs="Calibri"/>
                <w:b/>
                <w:bCs/>
                <w:color w:val="auto"/>
                <w:kern w:val="0"/>
                <w:lang w:eastAsia="en-GB"/>
                <w14:ligatures w14:val="none"/>
              </w:rPr>
            </w:pPr>
            <w:r w:rsidRPr="00FA1574">
              <w:rPr>
                <w:rFonts w:ascii="Calibri" w:eastAsia="Times New Roman" w:hAnsi="Calibri" w:cs="Calibri"/>
                <w:b/>
                <w:bCs/>
                <w:color w:val="auto"/>
                <w:kern w:val="0"/>
                <w:lang w:eastAsia="en-GB"/>
                <w14:ligatures w14:val="none"/>
              </w:rPr>
              <w:t>What is your ethnic group?</w:t>
            </w:r>
          </w:p>
        </w:tc>
      </w:tr>
      <w:tr w:rsidR="00FA1574" w:rsidRPr="00FA1574" w14:paraId="09B19A2E" w14:textId="77777777" w:rsidTr="00F5532B">
        <w:trPr>
          <w:trHeight w:val="1178"/>
        </w:trPr>
        <w:tc>
          <w:tcPr>
            <w:tcW w:w="1980" w:type="dxa"/>
            <w:tcBorders>
              <w:top w:val="nil"/>
              <w:bottom w:val="single" w:sz="4" w:space="0" w:color="auto"/>
              <w:right w:val="single" w:sz="4" w:space="0" w:color="auto"/>
            </w:tcBorders>
          </w:tcPr>
          <w:p w14:paraId="3E728E67" w14:textId="77777777" w:rsidR="00FA1574" w:rsidRPr="00FA1574" w:rsidRDefault="00FA1574" w:rsidP="00FA1574">
            <w:pPr>
              <w:rPr>
                <w:rFonts w:ascii="Calibri" w:eastAsia="Times New Roman" w:hAnsi="Calibri" w:cs="Calibri"/>
                <w:color w:val="auto"/>
                <w:kern w:val="0"/>
                <w:sz w:val="18"/>
                <w:szCs w:val="18"/>
                <w:lang w:eastAsia="en-GB"/>
                <w14:ligatures w14:val="none"/>
              </w:rPr>
            </w:pPr>
          </w:p>
        </w:tc>
        <w:tc>
          <w:tcPr>
            <w:tcW w:w="2835" w:type="dxa"/>
            <w:tcBorders>
              <w:top w:val="nil"/>
              <w:left w:val="single" w:sz="4" w:space="0" w:color="auto"/>
              <w:bottom w:val="single" w:sz="4" w:space="0" w:color="auto"/>
              <w:right w:val="single" w:sz="4" w:space="0" w:color="auto"/>
            </w:tcBorders>
            <w:shd w:val="clear" w:color="auto" w:fill="auto"/>
            <w:vAlign w:val="bottom"/>
            <w:hideMark/>
          </w:tcPr>
          <w:p w14:paraId="4BCDE015" w14:textId="77777777" w:rsidR="00FA1574" w:rsidRPr="00FA1574" w:rsidRDefault="00FA1574" w:rsidP="00FA1574">
            <w:pPr>
              <w:rPr>
                <w:rFonts w:ascii="Calibri" w:eastAsia="Times New Roman" w:hAnsi="Calibri" w:cs="Calibri"/>
                <w:color w:val="auto"/>
                <w:kern w:val="0"/>
                <w:sz w:val="14"/>
                <w:szCs w:val="14"/>
                <w:lang w:eastAsia="en-GB"/>
                <w14:ligatures w14:val="none"/>
              </w:rPr>
            </w:pPr>
            <w:r w:rsidRPr="00FA1574">
              <w:rPr>
                <w:rFonts w:ascii="Calibri" w:eastAsia="Times New Roman" w:hAnsi="Calibri" w:cs="Calibri"/>
                <w:color w:val="auto"/>
                <w:kern w:val="0"/>
                <w:sz w:val="14"/>
                <w:szCs w:val="14"/>
                <w:lang w:eastAsia="en-GB"/>
                <w14:ligatures w14:val="none"/>
              </w:rPr>
              <w:t>White (English/Welsh/Scottish/Northern Irish/British)</w:t>
            </w:r>
          </w:p>
        </w:tc>
        <w:tc>
          <w:tcPr>
            <w:tcW w:w="2977" w:type="dxa"/>
            <w:tcBorders>
              <w:top w:val="nil"/>
              <w:left w:val="single" w:sz="4" w:space="0" w:color="auto"/>
              <w:bottom w:val="single" w:sz="4" w:space="0" w:color="000000"/>
              <w:right w:val="single" w:sz="4" w:space="0" w:color="000000"/>
            </w:tcBorders>
            <w:shd w:val="clear" w:color="auto" w:fill="auto"/>
            <w:vAlign w:val="bottom"/>
            <w:hideMark/>
          </w:tcPr>
          <w:p w14:paraId="341A573A" w14:textId="77777777" w:rsidR="00FA1574" w:rsidRPr="00FA1574" w:rsidRDefault="00FA1574" w:rsidP="00FA1574">
            <w:pPr>
              <w:rPr>
                <w:rFonts w:ascii="Calibri" w:eastAsia="Times New Roman" w:hAnsi="Calibri" w:cs="Calibri"/>
                <w:b/>
                <w:bCs/>
                <w:color w:val="auto"/>
                <w:kern w:val="0"/>
                <w:sz w:val="18"/>
                <w:szCs w:val="18"/>
                <w:lang w:eastAsia="en-GB"/>
                <w14:ligatures w14:val="none"/>
              </w:rPr>
            </w:pPr>
            <w:r w:rsidRPr="00FA1574">
              <w:rPr>
                <w:rFonts w:ascii="Calibri" w:eastAsia="Times New Roman" w:hAnsi="Calibri" w:cs="Calibri"/>
                <w:b/>
                <w:bCs/>
                <w:color w:val="auto"/>
                <w:kern w:val="0"/>
                <w:sz w:val="18"/>
                <w:szCs w:val="18"/>
                <w:lang w:eastAsia="en-GB"/>
                <w14:ligatures w14:val="none"/>
              </w:rPr>
              <w:t>Non-White British</w:t>
            </w:r>
          </w:p>
          <w:p w14:paraId="71911E7D" w14:textId="77777777" w:rsidR="00FA1574" w:rsidRPr="00FA1574" w:rsidRDefault="00FA1574" w:rsidP="00FA1574">
            <w:pPr>
              <w:rPr>
                <w:rFonts w:ascii="Calibri" w:eastAsia="Times New Roman" w:hAnsi="Calibri" w:cs="Calibri"/>
                <w:color w:val="auto"/>
                <w:kern w:val="0"/>
                <w:sz w:val="14"/>
                <w:szCs w:val="14"/>
                <w:lang w:eastAsia="en-GB"/>
                <w14:ligatures w14:val="none"/>
              </w:rPr>
            </w:pPr>
            <w:r w:rsidRPr="00FA1574">
              <w:rPr>
                <w:rFonts w:ascii="Calibri" w:eastAsia="Times New Roman" w:hAnsi="Calibri" w:cs="Calibri"/>
                <w:color w:val="auto"/>
                <w:kern w:val="0"/>
                <w:sz w:val="14"/>
                <w:szCs w:val="14"/>
                <w:lang w:eastAsia="en-GB"/>
                <w14:ligatures w14:val="none"/>
              </w:rPr>
              <w:t>White (Irish)</w:t>
            </w:r>
          </w:p>
          <w:p w14:paraId="674B9A1E" w14:textId="77777777" w:rsidR="00FA1574" w:rsidRPr="00FA1574" w:rsidRDefault="00FA1574" w:rsidP="00FA1574">
            <w:pPr>
              <w:rPr>
                <w:rFonts w:ascii="Calibri" w:eastAsia="Times New Roman" w:hAnsi="Calibri" w:cs="Calibri"/>
                <w:color w:val="auto"/>
                <w:kern w:val="0"/>
                <w:sz w:val="14"/>
                <w:szCs w:val="14"/>
                <w:lang w:eastAsia="en-GB"/>
                <w14:ligatures w14:val="none"/>
              </w:rPr>
            </w:pPr>
            <w:r w:rsidRPr="00FA1574">
              <w:rPr>
                <w:rFonts w:ascii="Calibri" w:eastAsia="Times New Roman" w:hAnsi="Calibri" w:cs="Calibri"/>
                <w:color w:val="auto"/>
                <w:kern w:val="0"/>
                <w:sz w:val="14"/>
                <w:szCs w:val="14"/>
                <w:lang w:eastAsia="en-GB"/>
                <w14:ligatures w14:val="none"/>
              </w:rPr>
              <w:t>Mixed or multiple ethnic groups</w:t>
            </w:r>
          </w:p>
          <w:p w14:paraId="5A6462B7" w14:textId="77777777" w:rsidR="00FA1574" w:rsidRPr="00FA1574" w:rsidRDefault="00FA1574" w:rsidP="00FA1574">
            <w:pPr>
              <w:rPr>
                <w:rFonts w:ascii="Calibri" w:eastAsia="Times New Roman" w:hAnsi="Calibri" w:cs="Calibri"/>
                <w:color w:val="auto"/>
                <w:kern w:val="0"/>
                <w:sz w:val="14"/>
                <w:szCs w:val="14"/>
                <w:lang w:eastAsia="en-GB"/>
                <w14:ligatures w14:val="none"/>
              </w:rPr>
            </w:pPr>
            <w:r w:rsidRPr="00FA1574">
              <w:rPr>
                <w:rFonts w:ascii="Calibri" w:eastAsia="Times New Roman" w:hAnsi="Calibri" w:cs="Calibri"/>
                <w:color w:val="auto"/>
                <w:kern w:val="0"/>
                <w:sz w:val="14"/>
                <w:szCs w:val="14"/>
                <w:lang w:eastAsia="en-GB"/>
                <w14:ligatures w14:val="none"/>
              </w:rPr>
              <w:t>Asian/Asian British</w:t>
            </w:r>
          </w:p>
          <w:p w14:paraId="582BDCF2" w14:textId="77777777" w:rsidR="00FA1574" w:rsidRPr="00FA1574" w:rsidRDefault="00FA1574" w:rsidP="00FA1574">
            <w:pPr>
              <w:rPr>
                <w:rFonts w:ascii="Calibri" w:eastAsia="Times New Roman" w:hAnsi="Calibri" w:cs="Calibri"/>
                <w:color w:val="auto"/>
                <w:kern w:val="0"/>
                <w:sz w:val="14"/>
                <w:szCs w:val="14"/>
                <w:lang w:eastAsia="en-GB"/>
                <w14:ligatures w14:val="none"/>
              </w:rPr>
            </w:pPr>
            <w:r w:rsidRPr="00FA1574">
              <w:rPr>
                <w:rFonts w:ascii="Calibri" w:eastAsia="Times New Roman" w:hAnsi="Calibri" w:cs="Calibri"/>
                <w:color w:val="auto"/>
                <w:kern w:val="0"/>
                <w:sz w:val="14"/>
                <w:szCs w:val="14"/>
                <w:lang w:eastAsia="en-GB"/>
                <w14:ligatures w14:val="none"/>
              </w:rPr>
              <w:t>Black/African/Caribbean/Black British</w:t>
            </w:r>
          </w:p>
          <w:p w14:paraId="25C82148" w14:textId="77777777" w:rsidR="00FA1574" w:rsidRPr="00FA1574" w:rsidRDefault="00FA1574" w:rsidP="00FA1574">
            <w:pPr>
              <w:rPr>
                <w:rFonts w:ascii="Calibri" w:eastAsia="Times New Roman" w:hAnsi="Calibri" w:cs="Calibri"/>
                <w:color w:val="auto"/>
                <w:kern w:val="0"/>
                <w:sz w:val="14"/>
                <w:szCs w:val="14"/>
                <w:lang w:eastAsia="en-GB"/>
                <w14:ligatures w14:val="none"/>
              </w:rPr>
            </w:pPr>
            <w:proofErr w:type="gramStart"/>
            <w:r w:rsidRPr="00FA1574">
              <w:rPr>
                <w:rFonts w:ascii="Calibri" w:eastAsia="Times New Roman" w:hAnsi="Calibri" w:cs="Calibri"/>
                <w:color w:val="auto"/>
                <w:kern w:val="0"/>
                <w:sz w:val="14"/>
                <w:szCs w:val="14"/>
                <w:lang w:eastAsia="en-GB"/>
                <w14:ligatures w14:val="none"/>
              </w:rPr>
              <w:t>Other</w:t>
            </w:r>
            <w:proofErr w:type="gramEnd"/>
            <w:r w:rsidRPr="00FA1574">
              <w:rPr>
                <w:rFonts w:ascii="Calibri" w:eastAsia="Times New Roman" w:hAnsi="Calibri" w:cs="Calibri"/>
                <w:color w:val="auto"/>
                <w:kern w:val="0"/>
                <w:sz w:val="14"/>
                <w:szCs w:val="14"/>
                <w:lang w:eastAsia="en-GB"/>
                <w14:ligatures w14:val="none"/>
              </w:rPr>
              <w:t xml:space="preserve"> ethnic group (please specify)</w:t>
            </w:r>
          </w:p>
        </w:tc>
      </w:tr>
      <w:tr w:rsidR="00FA1574" w:rsidRPr="00FA1574" w14:paraId="1591303F" w14:textId="77777777" w:rsidTr="00F5532B">
        <w:trPr>
          <w:trHeight w:val="285"/>
        </w:trPr>
        <w:tc>
          <w:tcPr>
            <w:tcW w:w="1980" w:type="dxa"/>
            <w:vMerge w:val="restart"/>
            <w:tcBorders>
              <w:top w:val="single" w:sz="4" w:space="0" w:color="auto"/>
              <w:left w:val="single" w:sz="4" w:space="0" w:color="auto"/>
              <w:bottom w:val="single" w:sz="4" w:space="0" w:color="auto"/>
              <w:right w:val="single" w:sz="4" w:space="0" w:color="auto"/>
            </w:tcBorders>
          </w:tcPr>
          <w:p w14:paraId="7D749413" w14:textId="77777777" w:rsidR="00FA1574" w:rsidRPr="00FA1574" w:rsidRDefault="00FA1574" w:rsidP="00FA1574">
            <w:pPr>
              <w:rPr>
                <w:rFonts w:ascii="Calibri" w:eastAsia="Times New Roman" w:hAnsi="Calibri" w:cs="Calibri"/>
                <w:color w:val="auto"/>
                <w:kern w:val="0"/>
                <w:sz w:val="22"/>
                <w:szCs w:val="22"/>
                <w:lang w:eastAsia="en-GB"/>
                <w14:ligatures w14:val="none"/>
              </w:rPr>
            </w:pPr>
          </w:p>
          <w:p w14:paraId="7C619409"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2021</w:t>
            </w:r>
          </w:p>
        </w:tc>
        <w:tc>
          <w:tcPr>
            <w:tcW w:w="2835" w:type="dxa"/>
            <w:tcBorders>
              <w:top w:val="single" w:sz="4" w:space="0" w:color="auto"/>
              <w:left w:val="single" w:sz="4" w:space="0" w:color="auto"/>
              <w:bottom w:val="single" w:sz="4" w:space="0" w:color="000000"/>
              <w:right w:val="single" w:sz="4" w:space="0" w:color="000000"/>
            </w:tcBorders>
            <w:shd w:val="clear" w:color="auto" w:fill="auto"/>
            <w:noWrap/>
            <w:vAlign w:val="bottom"/>
          </w:tcPr>
          <w:p w14:paraId="46791647"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54</w:t>
            </w:r>
          </w:p>
        </w:tc>
        <w:tc>
          <w:tcPr>
            <w:tcW w:w="2977" w:type="dxa"/>
            <w:tcBorders>
              <w:top w:val="nil"/>
              <w:left w:val="nil"/>
              <w:bottom w:val="single" w:sz="4" w:space="0" w:color="000000"/>
              <w:right w:val="single" w:sz="4" w:space="0" w:color="000000"/>
            </w:tcBorders>
            <w:shd w:val="clear" w:color="auto" w:fill="auto"/>
            <w:noWrap/>
            <w:vAlign w:val="bottom"/>
          </w:tcPr>
          <w:p w14:paraId="2E58891F"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12</w:t>
            </w:r>
          </w:p>
        </w:tc>
      </w:tr>
      <w:tr w:rsidR="00FA1574" w:rsidRPr="00FA1574" w14:paraId="52146D24" w14:textId="77777777" w:rsidTr="00F5532B">
        <w:trPr>
          <w:trHeight w:val="285"/>
        </w:trPr>
        <w:tc>
          <w:tcPr>
            <w:tcW w:w="1980" w:type="dxa"/>
            <w:vMerge/>
            <w:tcBorders>
              <w:left w:val="single" w:sz="4" w:space="0" w:color="auto"/>
              <w:bottom w:val="single" w:sz="4" w:space="0" w:color="auto"/>
              <w:right w:val="single" w:sz="4" w:space="0" w:color="auto"/>
            </w:tcBorders>
          </w:tcPr>
          <w:p w14:paraId="7DF4AD63" w14:textId="77777777" w:rsidR="00FA1574" w:rsidRPr="00FA1574" w:rsidRDefault="00FA1574" w:rsidP="00FA1574">
            <w:pPr>
              <w:rPr>
                <w:rFonts w:ascii="Calibri" w:eastAsia="Times New Roman" w:hAnsi="Calibri" w:cs="Calibri"/>
                <w:color w:val="auto"/>
                <w:kern w:val="0"/>
                <w:sz w:val="22"/>
                <w:szCs w:val="22"/>
                <w:lang w:eastAsia="en-GB"/>
                <w14:ligatures w14:val="none"/>
              </w:rPr>
            </w:pPr>
          </w:p>
        </w:tc>
        <w:tc>
          <w:tcPr>
            <w:tcW w:w="2835" w:type="dxa"/>
            <w:tcBorders>
              <w:top w:val="nil"/>
              <w:left w:val="single" w:sz="4" w:space="0" w:color="auto"/>
              <w:bottom w:val="single" w:sz="4" w:space="0" w:color="000000"/>
              <w:right w:val="single" w:sz="4" w:space="0" w:color="000000"/>
            </w:tcBorders>
            <w:shd w:val="clear" w:color="auto" w:fill="auto"/>
            <w:noWrap/>
            <w:vAlign w:val="bottom"/>
          </w:tcPr>
          <w:p w14:paraId="2EAC9A43"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59.3%</w:t>
            </w:r>
          </w:p>
        </w:tc>
        <w:tc>
          <w:tcPr>
            <w:tcW w:w="2977" w:type="dxa"/>
            <w:tcBorders>
              <w:top w:val="nil"/>
              <w:left w:val="nil"/>
              <w:bottom w:val="single" w:sz="4" w:space="0" w:color="000000"/>
              <w:right w:val="single" w:sz="4" w:space="0" w:color="000000"/>
            </w:tcBorders>
            <w:shd w:val="clear" w:color="auto" w:fill="auto"/>
            <w:noWrap/>
            <w:vAlign w:val="bottom"/>
          </w:tcPr>
          <w:p w14:paraId="2EA6DA60"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13.2%</w:t>
            </w:r>
          </w:p>
        </w:tc>
      </w:tr>
      <w:tr w:rsidR="00FA1574" w:rsidRPr="00FA1574" w14:paraId="7F5EE5DA" w14:textId="77777777" w:rsidTr="00F5532B">
        <w:trPr>
          <w:trHeight w:val="47"/>
        </w:trPr>
        <w:tc>
          <w:tcPr>
            <w:tcW w:w="7792" w:type="dxa"/>
            <w:gridSpan w:val="3"/>
            <w:tcBorders>
              <w:top w:val="nil"/>
              <w:left w:val="single" w:sz="4" w:space="0" w:color="000000"/>
              <w:bottom w:val="single" w:sz="4" w:space="0" w:color="000000"/>
              <w:right w:val="single" w:sz="4" w:space="0" w:color="000000"/>
            </w:tcBorders>
            <w:shd w:val="clear" w:color="auto" w:fill="D9D9D9" w:themeFill="background1" w:themeFillShade="D9"/>
          </w:tcPr>
          <w:p w14:paraId="74ABD6DE" w14:textId="77777777" w:rsidR="00FA1574" w:rsidRPr="00FA1574" w:rsidRDefault="00FA1574" w:rsidP="00FA1574">
            <w:pPr>
              <w:rPr>
                <w:rFonts w:ascii="Calibri" w:eastAsia="Times New Roman" w:hAnsi="Calibri" w:cs="Calibri"/>
                <w:color w:val="auto"/>
                <w:kern w:val="0"/>
                <w:sz w:val="12"/>
                <w:szCs w:val="12"/>
                <w:lang w:eastAsia="en-GB"/>
                <w14:ligatures w14:val="none"/>
              </w:rPr>
            </w:pPr>
          </w:p>
        </w:tc>
      </w:tr>
      <w:tr w:rsidR="00FA1574" w:rsidRPr="00FA1574" w14:paraId="57914620" w14:textId="77777777" w:rsidTr="00F5532B">
        <w:trPr>
          <w:trHeight w:val="285"/>
        </w:trPr>
        <w:tc>
          <w:tcPr>
            <w:tcW w:w="1980" w:type="dxa"/>
            <w:vMerge w:val="restart"/>
            <w:tcBorders>
              <w:top w:val="nil"/>
              <w:left w:val="single" w:sz="4" w:space="0" w:color="000000"/>
              <w:right w:val="single" w:sz="4" w:space="0" w:color="000000"/>
            </w:tcBorders>
          </w:tcPr>
          <w:p w14:paraId="76A4C8EA" w14:textId="77777777" w:rsidR="00FA1574" w:rsidRPr="00FA1574" w:rsidRDefault="00FA1574" w:rsidP="00FA1574">
            <w:pPr>
              <w:rPr>
                <w:rFonts w:ascii="Calibri" w:eastAsia="Times New Roman" w:hAnsi="Calibri" w:cs="Calibri"/>
                <w:color w:val="auto"/>
                <w:kern w:val="0"/>
                <w:sz w:val="22"/>
                <w:szCs w:val="22"/>
                <w:lang w:eastAsia="en-GB"/>
                <w14:ligatures w14:val="none"/>
              </w:rPr>
            </w:pPr>
          </w:p>
          <w:p w14:paraId="2ABCA86E"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2024</w:t>
            </w:r>
          </w:p>
        </w:tc>
        <w:tc>
          <w:tcPr>
            <w:tcW w:w="2835" w:type="dxa"/>
            <w:tcBorders>
              <w:top w:val="nil"/>
              <w:left w:val="single" w:sz="4" w:space="0" w:color="000000"/>
              <w:bottom w:val="single" w:sz="4" w:space="0" w:color="000000"/>
              <w:right w:val="single" w:sz="4" w:space="0" w:color="000000"/>
            </w:tcBorders>
            <w:shd w:val="clear" w:color="auto" w:fill="auto"/>
            <w:noWrap/>
            <w:vAlign w:val="bottom"/>
            <w:hideMark/>
          </w:tcPr>
          <w:p w14:paraId="22963B56"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516</w:t>
            </w:r>
          </w:p>
        </w:tc>
        <w:tc>
          <w:tcPr>
            <w:tcW w:w="2977" w:type="dxa"/>
            <w:tcBorders>
              <w:top w:val="nil"/>
              <w:left w:val="nil"/>
              <w:bottom w:val="single" w:sz="4" w:space="0" w:color="000000"/>
              <w:right w:val="single" w:sz="4" w:space="0" w:color="000000"/>
            </w:tcBorders>
            <w:shd w:val="clear" w:color="auto" w:fill="auto"/>
            <w:noWrap/>
            <w:vAlign w:val="bottom"/>
            <w:hideMark/>
          </w:tcPr>
          <w:p w14:paraId="786F0EA2"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123</w:t>
            </w:r>
          </w:p>
        </w:tc>
      </w:tr>
      <w:tr w:rsidR="00FA1574" w:rsidRPr="00FA1574" w14:paraId="2A3CCA6B" w14:textId="77777777" w:rsidTr="00F5532B">
        <w:trPr>
          <w:trHeight w:val="285"/>
        </w:trPr>
        <w:tc>
          <w:tcPr>
            <w:tcW w:w="1980" w:type="dxa"/>
            <w:vMerge/>
            <w:tcBorders>
              <w:left w:val="single" w:sz="4" w:space="0" w:color="000000"/>
              <w:bottom w:val="single" w:sz="4" w:space="0" w:color="auto"/>
              <w:right w:val="single" w:sz="4" w:space="0" w:color="000000"/>
            </w:tcBorders>
          </w:tcPr>
          <w:p w14:paraId="7B3C1B67" w14:textId="77777777" w:rsidR="00FA1574" w:rsidRPr="00FA1574" w:rsidRDefault="00FA1574" w:rsidP="00FA1574">
            <w:pPr>
              <w:rPr>
                <w:rFonts w:ascii="Calibri" w:eastAsia="Times New Roman" w:hAnsi="Calibri" w:cs="Calibri"/>
                <w:color w:val="auto"/>
                <w:kern w:val="0"/>
                <w:sz w:val="22"/>
                <w:szCs w:val="22"/>
                <w:lang w:eastAsia="en-GB"/>
                <w14:ligatures w14:val="none"/>
              </w:rPr>
            </w:pPr>
          </w:p>
        </w:tc>
        <w:tc>
          <w:tcPr>
            <w:tcW w:w="2835" w:type="dxa"/>
            <w:tcBorders>
              <w:top w:val="nil"/>
              <w:left w:val="single" w:sz="4" w:space="0" w:color="000000"/>
              <w:bottom w:val="single" w:sz="4" w:space="0" w:color="auto"/>
              <w:right w:val="single" w:sz="4" w:space="0" w:color="000000"/>
            </w:tcBorders>
            <w:shd w:val="clear" w:color="auto" w:fill="auto"/>
            <w:noWrap/>
            <w:vAlign w:val="bottom"/>
            <w:hideMark/>
          </w:tcPr>
          <w:p w14:paraId="4BF44032"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80.8%</w:t>
            </w:r>
          </w:p>
        </w:tc>
        <w:tc>
          <w:tcPr>
            <w:tcW w:w="2977" w:type="dxa"/>
            <w:tcBorders>
              <w:top w:val="nil"/>
              <w:left w:val="nil"/>
              <w:bottom w:val="single" w:sz="4" w:space="0" w:color="auto"/>
              <w:right w:val="single" w:sz="4" w:space="0" w:color="000000"/>
            </w:tcBorders>
            <w:shd w:val="clear" w:color="auto" w:fill="auto"/>
            <w:noWrap/>
            <w:vAlign w:val="bottom"/>
            <w:hideMark/>
          </w:tcPr>
          <w:p w14:paraId="744F88B7"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19.2%</w:t>
            </w:r>
          </w:p>
        </w:tc>
      </w:tr>
      <w:tr w:rsidR="00FA1574" w:rsidRPr="00FA1574" w14:paraId="657B793D" w14:textId="77777777" w:rsidTr="00F5532B">
        <w:trPr>
          <w:trHeight w:val="285"/>
        </w:trPr>
        <w:tc>
          <w:tcPr>
            <w:tcW w:w="1980" w:type="dxa"/>
            <w:tcBorders>
              <w:top w:val="single" w:sz="4" w:space="0" w:color="auto"/>
              <w:left w:val="single" w:sz="4" w:space="0" w:color="auto"/>
              <w:bottom w:val="single" w:sz="4" w:space="0" w:color="auto"/>
              <w:right w:val="single" w:sz="4" w:space="0" w:color="auto"/>
            </w:tcBorders>
          </w:tcPr>
          <w:p w14:paraId="792E411C"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Increase/Decrease</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84D1FE"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21.5%</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79032C"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6%</w:t>
            </w:r>
          </w:p>
        </w:tc>
      </w:tr>
    </w:tbl>
    <w:p w14:paraId="4CE6F339" w14:textId="77777777" w:rsidR="00FA1574" w:rsidRPr="00FA1574" w:rsidRDefault="00FA1574" w:rsidP="00FA1574">
      <w:pPr>
        <w:spacing w:after="160" w:line="259" w:lineRule="auto"/>
        <w:rPr>
          <w:rFonts w:ascii="Arial" w:hAnsi="Arial" w:cs="Arial"/>
          <w:color w:val="auto"/>
          <w:kern w:val="0"/>
          <w:sz w:val="22"/>
          <w:szCs w:val="22"/>
          <w14:ligatures w14:val="none"/>
        </w:rPr>
      </w:pPr>
    </w:p>
    <w:p w14:paraId="530DB848" w14:textId="77777777" w:rsidR="00FA1574" w:rsidRPr="00FA1574" w:rsidRDefault="00FA1574" w:rsidP="00FA1574">
      <w:pPr>
        <w:numPr>
          <w:ilvl w:val="0"/>
          <w:numId w:val="31"/>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It is notable that 19.2% of the respondents within this consultation identified as being from a group which does not identify as being white British. </w:t>
      </w:r>
    </w:p>
    <w:p w14:paraId="5063958C" w14:textId="77777777" w:rsidR="00FA1574" w:rsidRPr="00FA1574" w:rsidRDefault="00FA1574" w:rsidP="00FA1574">
      <w:pPr>
        <w:numPr>
          <w:ilvl w:val="0"/>
          <w:numId w:val="31"/>
        </w:numPr>
        <w:spacing w:after="160" w:line="259" w:lineRule="auto"/>
        <w:contextualSpacing/>
        <w:rPr>
          <w:rFonts w:ascii="Arial" w:hAnsi="Arial" w:cs="Arial"/>
          <w:b/>
          <w:bCs/>
          <w:color w:val="auto"/>
          <w:kern w:val="0"/>
          <w:sz w:val="20"/>
          <w:szCs w:val="20"/>
          <w14:ligatures w14:val="none"/>
        </w:rPr>
      </w:pPr>
      <w:r w:rsidRPr="00FA1574">
        <w:rPr>
          <w:rFonts w:ascii="Arial" w:hAnsi="Arial" w:cs="Arial"/>
          <w:color w:val="auto"/>
          <w:kern w:val="0"/>
          <w:sz w:val="20"/>
          <w:szCs w:val="20"/>
          <w14:ligatures w14:val="none"/>
        </w:rPr>
        <w:t xml:space="preserve">Within the City, 34% of people identify as being from a racially minoritised group. County-wide, this figure is 6%. </w:t>
      </w:r>
    </w:p>
    <w:p w14:paraId="176CEB36" w14:textId="77777777" w:rsidR="00FA1574" w:rsidRPr="00FA1574" w:rsidRDefault="00FA1574" w:rsidP="00FA1574">
      <w:pPr>
        <w:numPr>
          <w:ilvl w:val="0"/>
          <w:numId w:val="31"/>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Returns from racially marginalised groups are not aligned to Nottinghamshire community from a diversity perspective, with some groups underrepresented.</w:t>
      </w:r>
    </w:p>
    <w:p w14:paraId="488837CE" w14:textId="77777777" w:rsidR="00FA1574" w:rsidRPr="00FA1574" w:rsidRDefault="00FA1574" w:rsidP="00FA1574">
      <w:pPr>
        <w:numPr>
          <w:ilvl w:val="0"/>
          <w:numId w:val="31"/>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However, as can be seen in the table above, overall response rates from marginalised groups increased by 925% - from 12 in 2021 to 123 in 2024. </w:t>
      </w:r>
    </w:p>
    <w:p w14:paraId="2CD1B4BA" w14:textId="77777777" w:rsidR="00FA1574" w:rsidRPr="00FA1574" w:rsidRDefault="00FA1574" w:rsidP="00FA1574">
      <w:pPr>
        <w:numPr>
          <w:ilvl w:val="0"/>
          <w:numId w:val="31"/>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The NFRS CAG (among other groups) was engaged with and supported in promoting the Consultation across a variety of demographic groups. </w:t>
      </w:r>
    </w:p>
    <w:p w14:paraId="040F03B7" w14:textId="77777777" w:rsidR="00FA1574" w:rsidRPr="00FA1574" w:rsidRDefault="00FA1574" w:rsidP="00FA1574">
      <w:pPr>
        <w:spacing w:after="160" w:line="259" w:lineRule="auto"/>
        <w:rPr>
          <w:rFonts w:ascii="Arial" w:hAnsi="Arial" w:cs="Arial"/>
          <w:color w:val="auto"/>
          <w:kern w:val="0"/>
          <w:sz w:val="22"/>
          <w:szCs w:val="22"/>
          <w14:ligatures w14:val="none"/>
        </w:rPr>
      </w:pPr>
    </w:p>
    <w:p w14:paraId="4F0E232D" w14:textId="77777777" w:rsidR="00FA1574" w:rsidRPr="00FA1574" w:rsidRDefault="00FA1574" w:rsidP="00FA1574">
      <w:pPr>
        <w:spacing w:after="160" w:line="259" w:lineRule="auto"/>
        <w:rPr>
          <w:rFonts w:ascii="Arial" w:hAnsi="Arial" w:cs="Arial"/>
          <w:b/>
          <w:bCs/>
          <w:color w:val="auto"/>
          <w:kern w:val="0"/>
          <w14:ligatures w14:val="none"/>
        </w:rPr>
      </w:pPr>
      <w:r w:rsidRPr="00FA1574">
        <w:rPr>
          <w:rFonts w:ascii="Arial" w:hAnsi="Arial" w:cs="Arial"/>
          <w:b/>
          <w:bCs/>
          <w:color w:val="auto"/>
          <w:kern w:val="0"/>
          <w14:ligatures w14:val="none"/>
        </w:rPr>
        <w:t>Disability &amp; Long-Term Health Conditions</w:t>
      </w:r>
    </w:p>
    <w:tbl>
      <w:tblPr>
        <w:tblW w:w="3060" w:type="dxa"/>
        <w:tblLook w:val="04A0" w:firstRow="1" w:lastRow="0" w:firstColumn="1" w:lastColumn="0" w:noHBand="0" w:noVBand="1"/>
      </w:tblPr>
      <w:tblGrid>
        <w:gridCol w:w="1020"/>
        <w:gridCol w:w="1020"/>
        <w:gridCol w:w="1020"/>
      </w:tblGrid>
      <w:tr w:rsidR="00FA1574" w:rsidRPr="00FA1574" w14:paraId="77BE6119" w14:textId="77777777" w:rsidTr="00F5532B">
        <w:trPr>
          <w:trHeight w:val="908"/>
        </w:trPr>
        <w:tc>
          <w:tcPr>
            <w:tcW w:w="3060" w:type="dxa"/>
            <w:gridSpan w:val="3"/>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C6848D1" w14:textId="77777777" w:rsidR="00FA1574" w:rsidRPr="00FA1574" w:rsidRDefault="00FA1574" w:rsidP="00FA1574">
            <w:pPr>
              <w:rPr>
                <w:rFonts w:ascii="Calibri" w:eastAsia="Times New Roman" w:hAnsi="Calibri" w:cs="Calibri"/>
                <w:b/>
                <w:bCs/>
                <w:color w:val="auto"/>
                <w:kern w:val="0"/>
                <w:lang w:eastAsia="en-GB"/>
                <w14:ligatures w14:val="none"/>
              </w:rPr>
            </w:pPr>
            <w:r w:rsidRPr="00FA1574">
              <w:rPr>
                <w:rFonts w:ascii="Calibri" w:eastAsia="Times New Roman" w:hAnsi="Calibri" w:cs="Calibri"/>
                <w:b/>
                <w:bCs/>
                <w:color w:val="auto"/>
                <w:kern w:val="0"/>
                <w:lang w:eastAsia="en-GB"/>
                <w14:ligatures w14:val="none"/>
              </w:rPr>
              <w:t>Do you consider yourself to have a disability or long-term health condition?</w:t>
            </w:r>
          </w:p>
        </w:tc>
      </w:tr>
      <w:tr w:rsidR="00FA1574" w:rsidRPr="00FA1574" w14:paraId="3E53077D" w14:textId="77777777" w:rsidTr="00F5532B">
        <w:trPr>
          <w:trHeight w:val="548"/>
        </w:trPr>
        <w:tc>
          <w:tcPr>
            <w:tcW w:w="1020" w:type="dxa"/>
            <w:tcBorders>
              <w:top w:val="nil"/>
              <w:left w:val="single" w:sz="4" w:space="0" w:color="000000"/>
              <w:bottom w:val="single" w:sz="4" w:space="0" w:color="000000"/>
              <w:right w:val="single" w:sz="4" w:space="0" w:color="000000"/>
            </w:tcBorders>
            <w:shd w:val="clear" w:color="auto" w:fill="auto"/>
            <w:vAlign w:val="bottom"/>
            <w:hideMark/>
          </w:tcPr>
          <w:p w14:paraId="5DA000EE"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Yes</w:t>
            </w:r>
          </w:p>
        </w:tc>
        <w:tc>
          <w:tcPr>
            <w:tcW w:w="1020" w:type="dxa"/>
            <w:tcBorders>
              <w:top w:val="nil"/>
              <w:left w:val="nil"/>
              <w:bottom w:val="single" w:sz="4" w:space="0" w:color="000000"/>
              <w:right w:val="single" w:sz="4" w:space="0" w:color="000000"/>
            </w:tcBorders>
            <w:shd w:val="clear" w:color="auto" w:fill="auto"/>
            <w:vAlign w:val="bottom"/>
            <w:hideMark/>
          </w:tcPr>
          <w:p w14:paraId="5E50863F"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No</w:t>
            </w:r>
          </w:p>
        </w:tc>
        <w:tc>
          <w:tcPr>
            <w:tcW w:w="1020" w:type="dxa"/>
            <w:tcBorders>
              <w:top w:val="nil"/>
              <w:left w:val="nil"/>
              <w:bottom w:val="single" w:sz="4" w:space="0" w:color="000000"/>
              <w:right w:val="single" w:sz="4" w:space="0" w:color="000000"/>
            </w:tcBorders>
            <w:shd w:val="clear" w:color="auto" w:fill="auto"/>
            <w:vAlign w:val="bottom"/>
            <w:hideMark/>
          </w:tcPr>
          <w:p w14:paraId="523B0C48"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Prefer not to say</w:t>
            </w:r>
          </w:p>
        </w:tc>
      </w:tr>
      <w:tr w:rsidR="00FA1574" w:rsidRPr="00FA1574" w14:paraId="654B07C7" w14:textId="77777777" w:rsidTr="00F5532B">
        <w:trPr>
          <w:trHeight w:val="285"/>
        </w:trPr>
        <w:tc>
          <w:tcPr>
            <w:tcW w:w="1020" w:type="dxa"/>
            <w:tcBorders>
              <w:top w:val="nil"/>
              <w:left w:val="single" w:sz="4" w:space="0" w:color="000000"/>
              <w:bottom w:val="single" w:sz="4" w:space="0" w:color="000000"/>
              <w:right w:val="single" w:sz="4" w:space="0" w:color="000000"/>
            </w:tcBorders>
            <w:shd w:val="clear" w:color="auto" w:fill="auto"/>
            <w:noWrap/>
            <w:vAlign w:val="bottom"/>
            <w:hideMark/>
          </w:tcPr>
          <w:p w14:paraId="12531E61"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183</w:t>
            </w:r>
          </w:p>
        </w:tc>
        <w:tc>
          <w:tcPr>
            <w:tcW w:w="1020" w:type="dxa"/>
            <w:tcBorders>
              <w:top w:val="nil"/>
              <w:left w:val="nil"/>
              <w:bottom w:val="single" w:sz="4" w:space="0" w:color="000000"/>
              <w:right w:val="single" w:sz="4" w:space="0" w:color="000000"/>
            </w:tcBorders>
            <w:shd w:val="clear" w:color="auto" w:fill="auto"/>
            <w:noWrap/>
            <w:vAlign w:val="bottom"/>
            <w:hideMark/>
          </w:tcPr>
          <w:p w14:paraId="19C12C28"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430</w:t>
            </w:r>
          </w:p>
        </w:tc>
        <w:tc>
          <w:tcPr>
            <w:tcW w:w="1020" w:type="dxa"/>
            <w:tcBorders>
              <w:top w:val="nil"/>
              <w:left w:val="nil"/>
              <w:bottom w:val="single" w:sz="4" w:space="0" w:color="000000"/>
              <w:right w:val="single" w:sz="4" w:space="0" w:color="000000"/>
            </w:tcBorders>
            <w:shd w:val="clear" w:color="auto" w:fill="auto"/>
            <w:noWrap/>
            <w:vAlign w:val="bottom"/>
            <w:hideMark/>
          </w:tcPr>
          <w:p w14:paraId="22C7C7DC"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26</w:t>
            </w:r>
          </w:p>
        </w:tc>
      </w:tr>
      <w:tr w:rsidR="00FA1574" w:rsidRPr="00FA1574" w14:paraId="0D2DAF95" w14:textId="77777777" w:rsidTr="00F5532B">
        <w:trPr>
          <w:trHeight w:val="285"/>
        </w:trPr>
        <w:tc>
          <w:tcPr>
            <w:tcW w:w="1020" w:type="dxa"/>
            <w:tcBorders>
              <w:top w:val="nil"/>
              <w:left w:val="single" w:sz="4" w:space="0" w:color="000000"/>
              <w:bottom w:val="single" w:sz="4" w:space="0" w:color="000000"/>
              <w:right w:val="single" w:sz="4" w:space="0" w:color="000000"/>
            </w:tcBorders>
            <w:shd w:val="clear" w:color="auto" w:fill="auto"/>
            <w:noWrap/>
            <w:vAlign w:val="bottom"/>
            <w:hideMark/>
          </w:tcPr>
          <w:p w14:paraId="0A765ABA"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28.6%</w:t>
            </w:r>
          </w:p>
        </w:tc>
        <w:tc>
          <w:tcPr>
            <w:tcW w:w="1020" w:type="dxa"/>
            <w:tcBorders>
              <w:top w:val="nil"/>
              <w:left w:val="nil"/>
              <w:bottom w:val="single" w:sz="4" w:space="0" w:color="000000"/>
              <w:right w:val="single" w:sz="4" w:space="0" w:color="000000"/>
            </w:tcBorders>
            <w:shd w:val="clear" w:color="auto" w:fill="auto"/>
            <w:noWrap/>
            <w:vAlign w:val="bottom"/>
            <w:hideMark/>
          </w:tcPr>
          <w:p w14:paraId="79834797"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67.3%</w:t>
            </w:r>
          </w:p>
        </w:tc>
        <w:tc>
          <w:tcPr>
            <w:tcW w:w="1020" w:type="dxa"/>
            <w:tcBorders>
              <w:top w:val="nil"/>
              <w:left w:val="nil"/>
              <w:bottom w:val="single" w:sz="4" w:space="0" w:color="000000"/>
              <w:right w:val="single" w:sz="4" w:space="0" w:color="000000"/>
            </w:tcBorders>
            <w:shd w:val="clear" w:color="auto" w:fill="auto"/>
            <w:noWrap/>
            <w:vAlign w:val="bottom"/>
            <w:hideMark/>
          </w:tcPr>
          <w:p w14:paraId="3C5E6AA2"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4.1%</w:t>
            </w:r>
          </w:p>
        </w:tc>
      </w:tr>
    </w:tbl>
    <w:p w14:paraId="2CB59BBB" w14:textId="77777777" w:rsidR="00FA1574" w:rsidRPr="00FA1574" w:rsidRDefault="00FA1574" w:rsidP="00FA1574">
      <w:pPr>
        <w:spacing w:after="160" w:line="259" w:lineRule="auto"/>
        <w:rPr>
          <w:rFonts w:ascii="Arial" w:hAnsi="Arial" w:cs="Arial"/>
          <w:b/>
          <w:bCs/>
          <w:color w:val="auto"/>
          <w:kern w:val="0"/>
          <w:sz w:val="22"/>
          <w:szCs w:val="22"/>
          <w14:ligatures w14:val="none"/>
        </w:rPr>
      </w:pPr>
    </w:p>
    <w:p w14:paraId="4E241C0A" w14:textId="77777777" w:rsidR="00FA1574" w:rsidRPr="00FA1574" w:rsidRDefault="00FA1574" w:rsidP="00FA1574">
      <w:pPr>
        <w:spacing w:after="160" w:line="259" w:lineRule="auto"/>
        <w:rPr>
          <w:rFonts w:ascii="Arial" w:hAnsi="Arial" w:cs="Arial"/>
          <w:color w:val="auto"/>
          <w:kern w:val="0"/>
          <w:sz w:val="22"/>
          <w:szCs w:val="22"/>
          <w14:ligatures w14:val="none"/>
        </w:rPr>
      </w:pPr>
      <w:r w:rsidRPr="00FA1574">
        <w:rPr>
          <w:rFonts w:ascii="Arial" w:hAnsi="Arial" w:cs="Arial"/>
          <w:color w:val="auto"/>
          <w:kern w:val="0"/>
          <w:sz w:val="22"/>
          <w:szCs w:val="22"/>
          <w14:ligatures w14:val="none"/>
        </w:rPr>
        <w:t>Comparison with 2021:</w:t>
      </w:r>
    </w:p>
    <w:tbl>
      <w:tblPr>
        <w:tblW w:w="5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559"/>
        <w:gridCol w:w="1414"/>
      </w:tblGrid>
      <w:tr w:rsidR="00FA1574" w:rsidRPr="00FA1574" w14:paraId="3E1882C7" w14:textId="77777777" w:rsidTr="00F5532B">
        <w:trPr>
          <w:trHeight w:val="908"/>
        </w:trPr>
        <w:tc>
          <w:tcPr>
            <w:tcW w:w="2127" w:type="dxa"/>
            <w:tcBorders>
              <w:top w:val="nil"/>
              <w:left w:val="nil"/>
              <w:bottom w:val="nil"/>
              <w:right w:val="single" w:sz="4" w:space="0" w:color="auto"/>
            </w:tcBorders>
          </w:tcPr>
          <w:p w14:paraId="5A5493EF" w14:textId="77777777" w:rsidR="00FA1574" w:rsidRPr="00FA1574" w:rsidRDefault="00FA1574" w:rsidP="00FA1574">
            <w:pPr>
              <w:rPr>
                <w:rFonts w:ascii="Calibri" w:eastAsia="Times New Roman" w:hAnsi="Calibri" w:cs="Calibri"/>
                <w:b/>
                <w:bCs/>
                <w:color w:val="auto"/>
                <w:kern w:val="0"/>
                <w:lang w:eastAsia="en-GB"/>
                <w14:ligatures w14:val="none"/>
              </w:rPr>
            </w:pPr>
          </w:p>
        </w:tc>
        <w:tc>
          <w:tcPr>
            <w:tcW w:w="2973" w:type="dxa"/>
            <w:gridSpan w:val="2"/>
            <w:tcBorders>
              <w:left w:val="single" w:sz="4" w:space="0" w:color="auto"/>
            </w:tcBorders>
            <w:shd w:val="clear" w:color="auto" w:fill="auto"/>
            <w:vAlign w:val="bottom"/>
            <w:hideMark/>
          </w:tcPr>
          <w:p w14:paraId="79BC0BAA" w14:textId="77777777" w:rsidR="00FA1574" w:rsidRPr="00FA1574" w:rsidRDefault="00FA1574" w:rsidP="00FA1574">
            <w:pPr>
              <w:rPr>
                <w:rFonts w:ascii="Calibri" w:eastAsia="Times New Roman" w:hAnsi="Calibri" w:cs="Calibri"/>
                <w:b/>
                <w:bCs/>
                <w:color w:val="auto"/>
                <w:kern w:val="0"/>
                <w:lang w:eastAsia="en-GB"/>
                <w14:ligatures w14:val="none"/>
              </w:rPr>
            </w:pPr>
            <w:r w:rsidRPr="00FA1574">
              <w:rPr>
                <w:rFonts w:ascii="Calibri" w:eastAsia="Times New Roman" w:hAnsi="Calibri" w:cs="Calibri"/>
                <w:b/>
                <w:bCs/>
                <w:color w:val="auto"/>
                <w:kern w:val="0"/>
                <w:lang w:eastAsia="en-GB"/>
                <w14:ligatures w14:val="none"/>
              </w:rPr>
              <w:t>Do you consider yourself to have a disability or long-term health condition?</w:t>
            </w:r>
          </w:p>
        </w:tc>
      </w:tr>
      <w:tr w:rsidR="00FA1574" w:rsidRPr="00FA1574" w14:paraId="3FA0DF47" w14:textId="77777777" w:rsidTr="00F5532B">
        <w:trPr>
          <w:trHeight w:val="548"/>
        </w:trPr>
        <w:tc>
          <w:tcPr>
            <w:tcW w:w="2127" w:type="dxa"/>
            <w:tcBorders>
              <w:top w:val="nil"/>
              <w:left w:val="nil"/>
              <w:bottom w:val="single" w:sz="4" w:space="0" w:color="auto"/>
              <w:right w:val="single" w:sz="4" w:space="0" w:color="auto"/>
            </w:tcBorders>
          </w:tcPr>
          <w:p w14:paraId="4D5DD63F" w14:textId="77777777" w:rsidR="00FA1574" w:rsidRPr="00FA1574" w:rsidRDefault="00FA1574" w:rsidP="00FA1574">
            <w:pPr>
              <w:rPr>
                <w:rFonts w:ascii="Calibri" w:eastAsia="Times New Roman" w:hAnsi="Calibri" w:cs="Calibri"/>
                <w:color w:val="auto"/>
                <w:kern w:val="0"/>
                <w:sz w:val="22"/>
                <w:szCs w:val="22"/>
                <w:lang w:eastAsia="en-GB"/>
                <w14:ligatures w14:val="none"/>
              </w:rPr>
            </w:pPr>
          </w:p>
        </w:tc>
        <w:tc>
          <w:tcPr>
            <w:tcW w:w="1559" w:type="dxa"/>
            <w:tcBorders>
              <w:left w:val="single" w:sz="4" w:space="0" w:color="auto"/>
            </w:tcBorders>
            <w:shd w:val="clear" w:color="auto" w:fill="auto"/>
            <w:vAlign w:val="bottom"/>
            <w:hideMark/>
          </w:tcPr>
          <w:p w14:paraId="23F11371"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Yes</w:t>
            </w:r>
          </w:p>
        </w:tc>
        <w:tc>
          <w:tcPr>
            <w:tcW w:w="1414" w:type="dxa"/>
            <w:shd w:val="clear" w:color="auto" w:fill="auto"/>
            <w:vAlign w:val="bottom"/>
            <w:hideMark/>
          </w:tcPr>
          <w:p w14:paraId="7283A6BF"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No</w:t>
            </w:r>
          </w:p>
        </w:tc>
      </w:tr>
      <w:tr w:rsidR="00FA1574" w:rsidRPr="00FA1574" w14:paraId="4328E2AB" w14:textId="77777777" w:rsidTr="00F5532B">
        <w:trPr>
          <w:trHeight w:val="285"/>
        </w:trPr>
        <w:tc>
          <w:tcPr>
            <w:tcW w:w="2127" w:type="dxa"/>
            <w:vMerge w:val="restart"/>
            <w:tcBorders>
              <w:top w:val="single" w:sz="4" w:space="0" w:color="auto"/>
            </w:tcBorders>
          </w:tcPr>
          <w:p w14:paraId="19A2843B" w14:textId="77777777" w:rsidR="00FA1574" w:rsidRPr="00FA1574" w:rsidRDefault="00FA1574" w:rsidP="00FA1574">
            <w:pPr>
              <w:rPr>
                <w:rFonts w:ascii="Calibri" w:eastAsia="Times New Roman" w:hAnsi="Calibri" w:cs="Calibri"/>
                <w:color w:val="auto"/>
                <w:kern w:val="0"/>
                <w:sz w:val="22"/>
                <w:szCs w:val="22"/>
                <w:lang w:eastAsia="en-GB"/>
                <w14:ligatures w14:val="none"/>
              </w:rPr>
            </w:pPr>
          </w:p>
          <w:p w14:paraId="0AB79252"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2021</w:t>
            </w:r>
          </w:p>
        </w:tc>
        <w:tc>
          <w:tcPr>
            <w:tcW w:w="1559" w:type="dxa"/>
            <w:shd w:val="clear" w:color="auto" w:fill="auto"/>
            <w:noWrap/>
            <w:vAlign w:val="bottom"/>
            <w:hideMark/>
          </w:tcPr>
          <w:p w14:paraId="3F7500D2"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14</w:t>
            </w:r>
          </w:p>
        </w:tc>
        <w:tc>
          <w:tcPr>
            <w:tcW w:w="1414" w:type="dxa"/>
            <w:shd w:val="clear" w:color="auto" w:fill="auto"/>
            <w:noWrap/>
            <w:vAlign w:val="bottom"/>
            <w:hideMark/>
          </w:tcPr>
          <w:p w14:paraId="06AD5880"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54</w:t>
            </w:r>
          </w:p>
        </w:tc>
      </w:tr>
      <w:tr w:rsidR="00FA1574" w:rsidRPr="00FA1574" w14:paraId="1183709B" w14:textId="77777777" w:rsidTr="00F5532B">
        <w:trPr>
          <w:trHeight w:val="285"/>
        </w:trPr>
        <w:tc>
          <w:tcPr>
            <w:tcW w:w="2127" w:type="dxa"/>
            <w:vMerge/>
          </w:tcPr>
          <w:p w14:paraId="128C8E7E" w14:textId="77777777" w:rsidR="00FA1574" w:rsidRPr="00FA1574" w:rsidRDefault="00FA1574" w:rsidP="00FA1574">
            <w:pPr>
              <w:rPr>
                <w:rFonts w:ascii="Calibri" w:eastAsia="Times New Roman" w:hAnsi="Calibri" w:cs="Calibri"/>
                <w:color w:val="auto"/>
                <w:kern w:val="0"/>
                <w:sz w:val="22"/>
                <w:szCs w:val="22"/>
                <w:lang w:eastAsia="en-GB"/>
                <w14:ligatures w14:val="none"/>
              </w:rPr>
            </w:pPr>
          </w:p>
        </w:tc>
        <w:tc>
          <w:tcPr>
            <w:tcW w:w="1559" w:type="dxa"/>
            <w:shd w:val="clear" w:color="auto" w:fill="auto"/>
            <w:noWrap/>
            <w:vAlign w:val="center"/>
            <w:hideMark/>
          </w:tcPr>
          <w:p w14:paraId="35433F7B"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hAnsi="Calibri" w:cs="Calibri"/>
                <w:color w:val="000000"/>
                <w:kern w:val="0"/>
                <w:sz w:val="22"/>
                <w:szCs w:val="22"/>
                <w14:ligatures w14:val="none"/>
              </w:rPr>
              <w:t>15.4%</w:t>
            </w:r>
          </w:p>
        </w:tc>
        <w:tc>
          <w:tcPr>
            <w:tcW w:w="1414" w:type="dxa"/>
            <w:shd w:val="clear" w:color="auto" w:fill="auto"/>
            <w:noWrap/>
            <w:vAlign w:val="center"/>
            <w:hideMark/>
          </w:tcPr>
          <w:p w14:paraId="6FE72500"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hAnsi="Calibri" w:cs="Calibri"/>
                <w:color w:val="000000"/>
                <w:kern w:val="0"/>
                <w:sz w:val="22"/>
                <w:szCs w:val="22"/>
                <w14:ligatures w14:val="none"/>
              </w:rPr>
              <w:t>59.3%</w:t>
            </w:r>
          </w:p>
        </w:tc>
      </w:tr>
      <w:tr w:rsidR="00FA1574" w:rsidRPr="00FA1574" w14:paraId="28376373" w14:textId="77777777" w:rsidTr="00F5532B">
        <w:trPr>
          <w:trHeight w:val="47"/>
        </w:trPr>
        <w:tc>
          <w:tcPr>
            <w:tcW w:w="5100" w:type="dxa"/>
            <w:gridSpan w:val="3"/>
            <w:shd w:val="clear" w:color="auto" w:fill="D9D9D9" w:themeFill="background1" w:themeFillShade="D9"/>
          </w:tcPr>
          <w:p w14:paraId="7A83AAAB" w14:textId="77777777" w:rsidR="00FA1574" w:rsidRPr="00FA1574" w:rsidRDefault="00FA1574" w:rsidP="00FA1574">
            <w:pPr>
              <w:rPr>
                <w:rFonts w:ascii="Calibri" w:eastAsia="Times New Roman" w:hAnsi="Calibri" w:cs="Calibri"/>
                <w:color w:val="auto"/>
                <w:kern w:val="0"/>
                <w:sz w:val="14"/>
                <w:szCs w:val="14"/>
                <w:lang w:eastAsia="en-GB"/>
                <w14:ligatures w14:val="none"/>
              </w:rPr>
            </w:pPr>
          </w:p>
        </w:tc>
      </w:tr>
      <w:tr w:rsidR="00FA1574" w:rsidRPr="00FA1574" w14:paraId="540D5DF6" w14:textId="77777777" w:rsidTr="00F5532B">
        <w:trPr>
          <w:trHeight w:val="285"/>
        </w:trPr>
        <w:tc>
          <w:tcPr>
            <w:tcW w:w="2127" w:type="dxa"/>
            <w:vMerge w:val="restart"/>
          </w:tcPr>
          <w:p w14:paraId="6FEEFA08" w14:textId="77777777" w:rsidR="00FA1574" w:rsidRPr="00FA1574" w:rsidRDefault="00FA1574" w:rsidP="00FA1574">
            <w:pPr>
              <w:rPr>
                <w:rFonts w:ascii="Calibri" w:eastAsia="Times New Roman" w:hAnsi="Calibri" w:cs="Calibri"/>
                <w:color w:val="auto"/>
                <w:kern w:val="0"/>
                <w:sz w:val="22"/>
                <w:szCs w:val="22"/>
                <w:lang w:eastAsia="en-GB"/>
                <w14:ligatures w14:val="none"/>
              </w:rPr>
            </w:pPr>
          </w:p>
          <w:p w14:paraId="3DFAFB25"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2024</w:t>
            </w:r>
          </w:p>
        </w:tc>
        <w:tc>
          <w:tcPr>
            <w:tcW w:w="1559" w:type="dxa"/>
            <w:shd w:val="clear" w:color="auto" w:fill="auto"/>
            <w:noWrap/>
            <w:vAlign w:val="bottom"/>
          </w:tcPr>
          <w:p w14:paraId="60818631"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183</w:t>
            </w:r>
          </w:p>
        </w:tc>
        <w:tc>
          <w:tcPr>
            <w:tcW w:w="1414" w:type="dxa"/>
            <w:shd w:val="clear" w:color="auto" w:fill="auto"/>
            <w:noWrap/>
            <w:vAlign w:val="bottom"/>
          </w:tcPr>
          <w:p w14:paraId="6405F824"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430</w:t>
            </w:r>
          </w:p>
        </w:tc>
      </w:tr>
      <w:tr w:rsidR="00FA1574" w:rsidRPr="00FA1574" w14:paraId="671FE63D" w14:textId="77777777" w:rsidTr="00F5532B">
        <w:trPr>
          <w:trHeight w:val="285"/>
        </w:trPr>
        <w:tc>
          <w:tcPr>
            <w:tcW w:w="2127" w:type="dxa"/>
            <w:vMerge/>
          </w:tcPr>
          <w:p w14:paraId="1FDA7AE3" w14:textId="77777777" w:rsidR="00FA1574" w:rsidRPr="00FA1574" w:rsidRDefault="00FA1574" w:rsidP="00FA1574">
            <w:pPr>
              <w:rPr>
                <w:rFonts w:ascii="Calibri" w:eastAsia="Times New Roman" w:hAnsi="Calibri" w:cs="Calibri"/>
                <w:color w:val="auto"/>
                <w:kern w:val="0"/>
                <w:sz w:val="22"/>
                <w:szCs w:val="22"/>
                <w:lang w:eastAsia="en-GB"/>
                <w14:ligatures w14:val="none"/>
              </w:rPr>
            </w:pPr>
          </w:p>
        </w:tc>
        <w:tc>
          <w:tcPr>
            <w:tcW w:w="1559" w:type="dxa"/>
            <w:shd w:val="clear" w:color="auto" w:fill="auto"/>
            <w:noWrap/>
            <w:vAlign w:val="bottom"/>
          </w:tcPr>
          <w:p w14:paraId="1BA92C1C"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28.6%</w:t>
            </w:r>
          </w:p>
        </w:tc>
        <w:tc>
          <w:tcPr>
            <w:tcW w:w="1414" w:type="dxa"/>
            <w:shd w:val="clear" w:color="auto" w:fill="auto"/>
            <w:noWrap/>
            <w:vAlign w:val="bottom"/>
          </w:tcPr>
          <w:p w14:paraId="440DF940"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67.3%</w:t>
            </w:r>
          </w:p>
        </w:tc>
      </w:tr>
      <w:tr w:rsidR="00FA1574" w:rsidRPr="00FA1574" w14:paraId="2A941737" w14:textId="77777777" w:rsidTr="00F5532B">
        <w:trPr>
          <w:trHeight w:val="285"/>
        </w:trPr>
        <w:tc>
          <w:tcPr>
            <w:tcW w:w="2127" w:type="dxa"/>
          </w:tcPr>
          <w:p w14:paraId="4DD091C5"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lastRenderedPageBreak/>
              <w:t>Increase/Decrease</w:t>
            </w:r>
          </w:p>
        </w:tc>
        <w:tc>
          <w:tcPr>
            <w:tcW w:w="1559" w:type="dxa"/>
            <w:shd w:val="clear" w:color="auto" w:fill="auto"/>
            <w:noWrap/>
            <w:vAlign w:val="bottom"/>
          </w:tcPr>
          <w:p w14:paraId="557503B6"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noProof/>
                <w:color w:val="auto"/>
                <w:kern w:val="0"/>
                <w:sz w:val="22"/>
                <w:szCs w:val="22"/>
                <w:lang w:eastAsia="en-GB"/>
                <w14:ligatures w14:val="none"/>
              </w:rPr>
              <mc:AlternateContent>
                <mc:Choice Requires="wps">
                  <w:drawing>
                    <wp:anchor distT="0" distB="0" distL="114300" distR="114300" simplePos="0" relativeHeight="251671553" behindDoc="0" locked="0" layoutInCell="1" allowOverlap="1" wp14:anchorId="509C8DD4" wp14:editId="20F9E771">
                      <wp:simplePos x="0" y="0"/>
                      <wp:positionH relativeFrom="column">
                        <wp:posOffset>494665</wp:posOffset>
                      </wp:positionH>
                      <wp:positionV relativeFrom="paragraph">
                        <wp:posOffset>20320</wp:posOffset>
                      </wp:positionV>
                      <wp:extent cx="112395" cy="118745"/>
                      <wp:effectExtent l="19050" t="19050" r="40005" b="14605"/>
                      <wp:wrapNone/>
                      <wp:docPr id="910662217" name="Isosceles Triangle 5"/>
                      <wp:cNvGraphicFramePr/>
                      <a:graphic xmlns:a="http://schemas.openxmlformats.org/drawingml/2006/main">
                        <a:graphicData uri="http://schemas.microsoft.com/office/word/2010/wordprocessingShape">
                          <wps:wsp>
                            <wps:cNvSpPr/>
                            <wps:spPr>
                              <a:xfrm>
                                <a:off x="0" y="0"/>
                                <a:ext cx="112395" cy="118745"/>
                              </a:xfrm>
                              <a:prstGeom prst="triangle">
                                <a:avLst/>
                              </a:prstGeom>
                              <a:solidFill>
                                <a:srgbClr val="92D05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9929A" id="Isosceles Triangle 5" o:spid="_x0000_s1026" type="#_x0000_t5" style="position:absolute;margin-left:38.95pt;margin-top:1.6pt;width:8.85pt;height:9.35pt;z-index:251671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" fillcolor="#92d050" strokecolor="#70ad47" strokeweight="1pt"/>
                  </w:pict>
                </mc:Fallback>
              </mc:AlternateContent>
            </w:r>
            <w:r w:rsidRPr="00FA1574">
              <w:rPr>
                <w:rFonts w:ascii="Calibri" w:eastAsia="Times New Roman" w:hAnsi="Calibri" w:cs="Calibri"/>
                <w:color w:val="auto"/>
                <w:kern w:val="0"/>
                <w:sz w:val="22"/>
                <w:szCs w:val="22"/>
                <w:lang w:eastAsia="en-GB"/>
                <w14:ligatures w14:val="none"/>
              </w:rPr>
              <w:t>13.2%</w:t>
            </w:r>
          </w:p>
        </w:tc>
        <w:tc>
          <w:tcPr>
            <w:tcW w:w="1414" w:type="dxa"/>
            <w:shd w:val="clear" w:color="auto" w:fill="auto"/>
            <w:noWrap/>
            <w:vAlign w:val="bottom"/>
          </w:tcPr>
          <w:p w14:paraId="051C5275"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noProof/>
                <w:color w:val="auto"/>
                <w:kern w:val="0"/>
                <w:sz w:val="22"/>
                <w:szCs w:val="22"/>
                <w:lang w:eastAsia="en-GB"/>
                <w14:ligatures w14:val="none"/>
              </w:rPr>
              <mc:AlternateContent>
                <mc:Choice Requires="wps">
                  <w:drawing>
                    <wp:anchor distT="0" distB="0" distL="114300" distR="114300" simplePos="0" relativeHeight="251672577" behindDoc="0" locked="0" layoutInCell="1" allowOverlap="1" wp14:anchorId="2E30A355" wp14:editId="1AF6C015">
                      <wp:simplePos x="0" y="0"/>
                      <wp:positionH relativeFrom="column">
                        <wp:posOffset>389255</wp:posOffset>
                      </wp:positionH>
                      <wp:positionV relativeFrom="paragraph">
                        <wp:posOffset>20320</wp:posOffset>
                      </wp:positionV>
                      <wp:extent cx="112395" cy="118745"/>
                      <wp:effectExtent l="19050" t="19050" r="40005" b="14605"/>
                      <wp:wrapNone/>
                      <wp:docPr id="161866067" name="Isosceles Triangle 5"/>
                      <wp:cNvGraphicFramePr/>
                      <a:graphic xmlns:a="http://schemas.openxmlformats.org/drawingml/2006/main">
                        <a:graphicData uri="http://schemas.microsoft.com/office/word/2010/wordprocessingShape">
                          <wps:wsp>
                            <wps:cNvSpPr/>
                            <wps:spPr>
                              <a:xfrm>
                                <a:off x="0" y="0"/>
                                <a:ext cx="112395" cy="118745"/>
                              </a:xfrm>
                              <a:prstGeom prst="triangle">
                                <a:avLst/>
                              </a:prstGeom>
                              <a:solidFill>
                                <a:srgbClr val="92D050"/>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67E2A" id="Isosceles Triangle 5" o:spid="_x0000_s1026" type="#_x0000_t5" style="position:absolute;margin-left:30.65pt;margin-top:1.6pt;width:8.85pt;height:9.35pt;z-index:251672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" fillcolor="#92d050" strokecolor="#70ad47" strokeweight="1pt"/>
                  </w:pict>
                </mc:Fallback>
              </mc:AlternateContent>
            </w:r>
            <w:r w:rsidRPr="00FA1574">
              <w:rPr>
                <w:rFonts w:ascii="Calibri" w:eastAsia="Times New Roman" w:hAnsi="Calibri" w:cs="Calibri"/>
                <w:color w:val="auto"/>
                <w:kern w:val="0"/>
                <w:sz w:val="22"/>
                <w:szCs w:val="22"/>
                <w:lang w:eastAsia="en-GB"/>
                <w14:ligatures w14:val="none"/>
              </w:rPr>
              <w:t>8.0%</w:t>
            </w:r>
          </w:p>
        </w:tc>
      </w:tr>
    </w:tbl>
    <w:p w14:paraId="0E4B621D" w14:textId="77777777" w:rsidR="00FA1574" w:rsidRPr="00FA1574" w:rsidRDefault="00FA1574" w:rsidP="00FA1574">
      <w:pPr>
        <w:spacing w:after="160" w:line="259" w:lineRule="auto"/>
        <w:rPr>
          <w:rFonts w:ascii="Arial" w:hAnsi="Arial" w:cs="Arial"/>
          <w:color w:val="auto"/>
          <w:kern w:val="0"/>
          <w:sz w:val="22"/>
          <w:szCs w:val="22"/>
          <w14:ligatures w14:val="none"/>
        </w:rPr>
      </w:pPr>
    </w:p>
    <w:p w14:paraId="7CFFB0CC" w14:textId="77777777" w:rsidR="00FA1574" w:rsidRPr="00FA1574" w:rsidRDefault="00FA1574" w:rsidP="00FA1574">
      <w:pPr>
        <w:numPr>
          <w:ilvl w:val="0"/>
          <w:numId w:val="32"/>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A significant percentage of respondents elected to state whether they have a disability or not, compared with the last consultation which saw a high number of nil-returns.</w:t>
      </w:r>
    </w:p>
    <w:p w14:paraId="782E8023" w14:textId="77777777" w:rsidR="00FA1574" w:rsidRPr="00FA1574" w:rsidRDefault="00FA1574" w:rsidP="00FA1574">
      <w:pPr>
        <w:numPr>
          <w:ilvl w:val="0"/>
          <w:numId w:val="32"/>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An increase of 13.2% in respondents who have a disability or long-term health condition is notable, particularly due to the potential for these individuals having additional vulnerabilities to fires and other emergencies. </w:t>
      </w:r>
    </w:p>
    <w:p w14:paraId="2AF6ACA3" w14:textId="77777777" w:rsidR="00FA1574" w:rsidRPr="00FA1574" w:rsidRDefault="00FA1574" w:rsidP="00FA1574">
      <w:pPr>
        <w:spacing w:after="160" w:line="259" w:lineRule="auto"/>
        <w:rPr>
          <w:rFonts w:ascii="Arial" w:hAnsi="Arial" w:cs="Arial"/>
          <w:color w:val="auto"/>
          <w:kern w:val="0"/>
          <w:sz w:val="22"/>
          <w:szCs w:val="22"/>
          <w14:ligatures w14:val="none"/>
        </w:rPr>
      </w:pPr>
    </w:p>
    <w:p w14:paraId="5449AEAC" w14:textId="77777777" w:rsidR="00FA1574" w:rsidRPr="00FA1574" w:rsidRDefault="00FA1574" w:rsidP="00FA1574">
      <w:pPr>
        <w:spacing w:after="160" w:line="259" w:lineRule="auto"/>
        <w:rPr>
          <w:rFonts w:ascii="Arial" w:hAnsi="Arial" w:cs="Arial"/>
          <w:b/>
          <w:bCs/>
          <w:color w:val="auto"/>
          <w:kern w:val="0"/>
          <w14:ligatures w14:val="none"/>
        </w:rPr>
      </w:pPr>
      <w:r w:rsidRPr="00FA1574">
        <w:rPr>
          <w:rFonts w:ascii="Arial" w:hAnsi="Arial" w:cs="Arial"/>
          <w:b/>
          <w:bCs/>
          <w:color w:val="auto"/>
          <w:kern w:val="0"/>
          <w14:ligatures w14:val="none"/>
        </w:rPr>
        <w:t>Religion or Belief</w:t>
      </w:r>
    </w:p>
    <w:tbl>
      <w:tblPr>
        <w:tblW w:w="9320" w:type="dxa"/>
        <w:jc w:val="center"/>
        <w:tblLook w:val="04A0" w:firstRow="1" w:lastRow="0" w:firstColumn="1" w:lastColumn="0" w:noHBand="0" w:noVBand="1"/>
      </w:tblPr>
      <w:tblGrid>
        <w:gridCol w:w="1020"/>
        <w:gridCol w:w="1372"/>
        <w:gridCol w:w="1020"/>
        <w:gridCol w:w="1020"/>
        <w:gridCol w:w="1020"/>
        <w:gridCol w:w="1020"/>
        <w:gridCol w:w="1020"/>
        <w:gridCol w:w="994"/>
        <w:gridCol w:w="1020"/>
      </w:tblGrid>
      <w:tr w:rsidR="00FA1574" w:rsidRPr="00FA1574" w14:paraId="1B61869C" w14:textId="77777777" w:rsidTr="00F5532B">
        <w:trPr>
          <w:trHeight w:val="323"/>
          <w:jc w:val="center"/>
        </w:trPr>
        <w:tc>
          <w:tcPr>
            <w:tcW w:w="9320" w:type="dxa"/>
            <w:gridSpan w:val="9"/>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BEE4F0" w14:textId="77777777" w:rsidR="00FA1574" w:rsidRPr="00FA1574" w:rsidRDefault="00FA1574" w:rsidP="00FA1574">
            <w:pPr>
              <w:rPr>
                <w:rFonts w:ascii="Calibri" w:eastAsia="Times New Roman" w:hAnsi="Calibri" w:cs="Calibri"/>
                <w:b/>
                <w:bCs/>
                <w:color w:val="auto"/>
                <w:kern w:val="0"/>
                <w:lang w:eastAsia="en-GB"/>
                <w14:ligatures w14:val="none"/>
              </w:rPr>
            </w:pPr>
            <w:r w:rsidRPr="00FA1574">
              <w:rPr>
                <w:rFonts w:ascii="Calibri" w:eastAsia="Times New Roman" w:hAnsi="Calibri" w:cs="Calibri"/>
                <w:b/>
                <w:bCs/>
                <w:color w:val="auto"/>
                <w:kern w:val="0"/>
                <w:lang w:eastAsia="en-GB"/>
                <w14:ligatures w14:val="none"/>
              </w:rPr>
              <w:t>What is your religion or belief?</w:t>
            </w:r>
          </w:p>
        </w:tc>
      </w:tr>
      <w:tr w:rsidR="00FA1574" w:rsidRPr="00FA1574" w14:paraId="190E7738" w14:textId="77777777" w:rsidTr="00F5532B">
        <w:trPr>
          <w:trHeight w:val="1624"/>
          <w:jc w:val="center"/>
        </w:trPr>
        <w:tc>
          <w:tcPr>
            <w:tcW w:w="1020" w:type="dxa"/>
            <w:tcBorders>
              <w:top w:val="nil"/>
              <w:left w:val="single" w:sz="4" w:space="0" w:color="000000"/>
              <w:bottom w:val="single" w:sz="4" w:space="0" w:color="000000"/>
              <w:right w:val="single" w:sz="4" w:space="0" w:color="000000"/>
            </w:tcBorders>
            <w:shd w:val="clear" w:color="auto" w:fill="auto"/>
            <w:vAlign w:val="bottom"/>
            <w:hideMark/>
          </w:tcPr>
          <w:p w14:paraId="0775C3BA" w14:textId="77777777" w:rsidR="00FA1574" w:rsidRPr="00FA1574" w:rsidRDefault="00FA1574" w:rsidP="00FA1574">
            <w:pPr>
              <w:rPr>
                <w:rFonts w:ascii="Calibri" w:eastAsia="Times New Roman" w:hAnsi="Calibri" w:cs="Calibri"/>
                <w:color w:val="auto"/>
                <w:kern w:val="0"/>
                <w:sz w:val="18"/>
                <w:szCs w:val="18"/>
                <w:lang w:eastAsia="en-GB"/>
                <w14:ligatures w14:val="none"/>
              </w:rPr>
            </w:pPr>
            <w:r w:rsidRPr="00FA1574">
              <w:rPr>
                <w:rFonts w:ascii="Calibri" w:eastAsia="Times New Roman" w:hAnsi="Calibri" w:cs="Calibri"/>
                <w:color w:val="auto"/>
                <w:kern w:val="0"/>
                <w:sz w:val="18"/>
                <w:szCs w:val="18"/>
                <w:lang w:eastAsia="en-GB"/>
                <w14:ligatures w14:val="none"/>
              </w:rPr>
              <w:t>No religion</w:t>
            </w:r>
          </w:p>
        </w:tc>
        <w:tc>
          <w:tcPr>
            <w:tcW w:w="1186" w:type="dxa"/>
            <w:tcBorders>
              <w:top w:val="nil"/>
              <w:left w:val="nil"/>
              <w:bottom w:val="single" w:sz="4" w:space="0" w:color="000000"/>
              <w:right w:val="single" w:sz="4" w:space="0" w:color="000000"/>
            </w:tcBorders>
            <w:shd w:val="clear" w:color="auto" w:fill="auto"/>
            <w:vAlign w:val="bottom"/>
            <w:hideMark/>
          </w:tcPr>
          <w:p w14:paraId="4BE25AC3" w14:textId="77777777" w:rsidR="00FA1574" w:rsidRPr="00FA1574" w:rsidRDefault="00FA1574" w:rsidP="00FA1574">
            <w:pPr>
              <w:rPr>
                <w:rFonts w:ascii="Calibri" w:eastAsia="Times New Roman" w:hAnsi="Calibri" w:cs="Calibri"/>
                <w:color w:val="auto"/>
                <w:kern w:val="0"/>
                <w:sz w:val="18"/>
                <w:szCs w:val="18"/>
                <w:lang w:eastAsia="en-GB"/>
                <w14:ligatures w14:val="none"/>
              </w:rPr>
            </w:pPr>
            <w:r w:rsidRPr="00FA1574">
              <w:rPr>
                <w:rFonts w:ascii="Calibri" w:eastAsia="Times New Roman" w:hAnsi="Calibri" w:cs="Calibri"/>
                <w:color w:val="auto"/>
                <w:kern w:val="0"/>
                <w:sz w:val="18"/>
                <w:szCs w:val="18"/>
                <w:lang w:eastAsia="en-GB"/>
                <w14:ligatures w14:val="none"/>
              </w:rPr>
              <w:t>Christian (including Church of England, Catholic, Protestant, and other Christian denominations)</w:t>
            </w:r>
          </w:p>
        </w:tc>
        <w:tc>
          <w:tcPr>
            <w:tcW w:w="1020" w:type="dxa"/>
            <w:tcBorders>
              <w:top w:val="nil"/>
              <w:left w:val="nil"/>
              <w:bottom w:val="single" w:sz="4" w:space="0" w:color="000000"/>
              <w:right w:val="single" w:sz="4" w:space="0" w:color="000000"/>
            </w:tcBorders>
            <w:shd w:val="clear" w:color="auto" w:fill="auto"/>
            <w:vAlign w:val="bottom"/>
            <w:hideMark/>
          </w:tcPr>
          <w:p w14:paraId="45C0BA6A" w14:textId="77777777" w:rsidR="00FA1574" w:rsidRPr="00FA1574" w:rsidRDefault="00FA1574" w:rsidP="00FA1574">
            <w:pPr>
              <w:rPr>
                <w:rFonts w:ascii="Calibri" w:eastAsia="Times New Roman" w:hAnsi="Calibri" w:cs="Calibri"/>
                <w:color w:val="auto"/>
                <w:kern w:val="0"/>
                <w:sz w:val="18"/>
                <w:szCs w:val="18"/>
                <w:lang w:eastAsia="en-GB"/>
                <w14:ligatures w14:val="none"/>
              </w:rPr>
            </w:pPr>
            <w:r w:rsidRPr="00FA1574">
              <w:rPr>
                <w:rFonts w:ascii="Calibri" w:eastAsia="Times New Roman" w:hAnsi="Calibri" w:cs="Calibri"/>
                <w:color w:val="auto"/>
                <w:kern w:val="0"/>
                <w:sz w:val="18"/>
                <w:szCs w:val="18"/>
                <w:lang w:eastAsia="en-GB"/>
                <w14:ligatures w14:val="none"/>
              </w:rPr>
              <w:t>Muslim</w:t>
            </w:r>
          </w:p>
        </w:tc>
        <w:tc>
          <w:tcPr>
            <w:tcW w:w="1020" w:type="dxa"/>
            <w:tcBorders>
              <w:top w:val="nil"/>
              <w:left w:val="nil"/>
              <w:bottom w:val="single" w:sz="4" w:space="0" w:color="000000"/>
              <w:right w:val="single" w:sz="4" w:space="0" w:color="000000"/>
            </w:tcBorders>
            <w:shd w:val="clear" w:color="auto" w:fill="auto"/>
            <w:vAlign w:val="bottom"/>
            <w:hideMark/>
          </w:tcPr>
          <w:p w14:paraId="0DBC4A9B" w14:textId="77777777" w:rsidR="00FA1574" w:rsidRPr="00FA1574" w:rsidRDefault="00FA1574" w:rsidP="00FA1574">
            <w:pPr>
              <w:rPr>
                <w:rFonts w:ascii="Calibri" w:eastAsia="Times New Roman" w:hAnsi="Calibri" w:cs="Calibri"/>
                <w:color w:val="auto"/>
                <w:kern w:val="0"/>
                <w:sz w:val="18"/>
                <w:szCs w:val="18"/>
                <w:lang w:eastAsia="en-GB"/>
                <w14:ligatures w14:val="none"/>
              </w:rPr>
            </w:pPr>
            <w:r w:rsidRPr="00FA1574">
              <w:rPr>
                <w:rFonts w:ascii="Calibri" w:eastAsia="Times New Roman" w:hAnsi="Calibri" w:cs="Calibri"/>
                <w:color w:val="auto"/>
                <w:kern w:val="0"/>
                <w:sz w:val="18"/>
                <w:szCs w:val="18"/>
                <w:lang w:eastAsia="en-GB"/>
                <w14:ligatures w14:val="none"/>
              </w:rPr>
              <w:t>Hindu</w:t>
            </w:r>
          </w:p>
        </w:tc>
        <w:tc>
          <w:tcPr>
            <w:tcW w:w="1020" w:type="dxa"/>
            <w:tcBorders>
              <w:top w:val="nil"/>
              <w:left w:val="nil"/>
              <w:bottom w:val="single" w:sz="4" w:space="0" w:color="000000"/>
              <w:right w:val="single" w:sz="4" w:space="0" w:color="000000"/>
            </w:tcBorders>
            <w:shd w:val="clear" w:color="auto" w:fill="auto"/>
            <w:vAlign w:val="bottom"/>
            <w:hideMark/>
          </w:tcPr>
          <w:p w14:paraId="0B86C479" w14:textId="77777777" w:rsidR="00FA1574" w:rsidRPr="00FA1574" w:rsidRDefault="00FA1574" w:rsidP="00FA1574">
            <w:pPr>
              <w:rPr>
                <w:rFonts w:ascii="Calibri" w:eastAsia="Times New Roman" w:hAnsi="Calibri" w:cs="Calibri"/>
                <w:color w:val="auto"/>
                <w:kern w:val="0"/>
                <w:sz w:val="18"/>
                <w:szCs w:val="18"/>
                <w:lang w:eastAsia="en-GB"/>
                <w14:ligatures w14:val="none"/>
              </w:rPr>
            </w:pPr>
            <w:r w:rsidRPr="00FA1574">
              <w:rPr>
                <w:rFonts w:ascii="Calibri" w:eastAsia="Times New Roman" w:hAnsi="Calibri" w:cs="Calibri"/>
                <w:color w:val="auto"/>
                <w:kern w:val="0"/>
                <w:sz w:val="18"/>
                <w:szCs w:val="18"/>
                <w:lang w:eastAsia="en-GB"/>
                <w14:ligatures w14:val="none"/>
              </w:rPr>
              <w:t>Sikh</w:t>
            </w:r>
          </w:p>
        </w:tc>
        <w:tc>
          <w:tcPr>
            <w:tcW w:w="1020" w:type="dxa"/>
            <w:tcBorders>
              <w:top w:val="nil"/>
              <w:left w:val="nil"/>
              <w:bottom w:val="single" w:sz="4" w:space="0" w:color="000000"/>
              <w:right w:val="single" w:sz="4" w:space="0" w:color="000000"/>
            </w:tcBorders>
            <w:shd w:val="clear" w:color="auto" w:fill="auto"/>
            <w:vAlign w:val="bottom"/>
            <w:hideMark/>
          </w:tcPr>
          <w:p w14:paraId="4C2C1738" w14:textId="77777777" w:rsidR="00FA1574" w:rsidRPr="00FA1574" w:rsidRDefault="00FA1574" w:rsidP="00FA1574">
            <w:pPr>
              <w:rPr>
                <w:rFonts w:ascii="Calibri" w:eastAsia="Times New Roman" w:hAnsi="Calibri" w:cs="Calibri"/>
                <w:color w:val="auto"/>
                <w:kern w:val="0"/>
                <w:sz w:val="18"/>
                <w:szCs w:val="18"/>
                <w:lang w:eastAsia="en-GB"/>
                <w14:ligatures w14:val="none"/>
              </w:rPr>
            </w:pPr>
            <w:r w:rsidRPr="00FA1574">
              <w:rPr>
                <w:rFonts w:ascii="Calibri" w:eastAsia="Times New Roman" w:hAnsi="Calibri" w:cs="Calibri"/>
                <w:color w:val="auto"/>
                <w:kern w:val="0"/>
                <w:sz w:val="18"/>
                <w:szCs w:val="18"/>
                <w:lang w:eastAsia="en-GB"/>
                <w14:ligatures w14:val="none"/>
              </w:rPr>
              <w:t>Jewish</w:t>
            </w:r>
          </w:p>
        </w:tc>
        <w:tc>
          <w:tcPr>
            <w:tcW w:w="1020" w:type="dxa"/>
            <w:tcBorders>
              <w:top w:val="nil"/>
              <w:left w:val="nil"/>
              <w:bottom w:val="single" w:sz="4" w:space="0" w:color="000000"/>
              <w:right w:val="single" w:sz="4" w:space="0" w:color="000000"/>
            </w:tcBorders>
            <w:shd w:val="clear" w:color="auto" w:fill="auto"/>
            <w:vAlign w:val="bottom"/>
            <w:hideMark/>
          </w:tcPr>
          <w:p w14:paraId="5283A133" w14:textId="77777777" w:rsidR="00FA1574" w:rsidRPr="00FA1574" w:rsidRDefault="00FA1574" w:rsidP="00FA1574">
            <w:pPr>
              <w:rPr>
                <w:rFonts w:ascii="Calibri" w:eastAsia="Times New Roman" w:hAnsi="Calibri" w:cs="Calibri"/>
                <w:color w:val="auto"/>
                <w:kern w:val="0"/>
                <w:sz w:val="18"/>
                <w:szCs w:val="18"/>
                <w:lang w:eastAsia="en-GB"/>
                <w14:ligatures w14:val="none"/>
              </w:rPr>
            </w:pPr>
            <w:r w:rsidRPr="00FA1574">
              <w:rPr>
                <w:rFonts w:ascii="Calibri" w:eastAsia="Times New Roman" w:hAnsi="Calibri" w:cs="Calibri"/>
                <w:color w:val="auto"/>
                <w:kern w:val="0"/>
                <w:sz w:val="18"/>
                <w:szCs w:val="18"/>
                <w:lang w:eastAsia="en-GB"/>
                <w14:ligatures w14:val="none"/>
              </w:rPr>
              <w:t>Buddhist</w:t>
            </w:r>
          </w:p>
        </w:tc>
        <w:tc>
          <w:tcPr>
            <w:tcW w:w="994" w:type="dxa"/>
            <w:tcBorders>
              <w:top w:val="nil"/>
              <w:left w:val="nil"/>
              <w:bottom w:val="single" w:sz="4" w:space="0" w:color="000000"/>
              <w:right w:val="single" w:sz="4" w:space="0" w:color="000000"/>
            </w:tcBorders>
            <w:shd w:val="clear" w:color="auto" w:fill="auto"/>
            <w:vAlign w:val="bottom"/>
            <w:hideMark/>
          </w:tcPr>
          <w:p w14:paraId="1ECC03E9" w14:textId="77777777" w:rsidR="00FA1574" w:rsidRPr="00FA1574" w:rsidRDefault="00FA1574" w:rsidP="00FA1574">
            <w:pPr>
              <w:rPr>
                <w:rFonts w:ascii="Calibri" w:eastAsia="Times New Roman" w:hAnsi="Calibri" w:cs="Calibri"/>
                <w:color w:val="auto"/>
                <w:kern w:val="0"/>
                <w:sz w:val="18"/>
                <w:szCs w:val="18"/>
                <w:lang w:eastAsia="en-GB"/>
                <w14:ligatures w14:val="none"/>
              </w:rPr>
            </w:pPr>
            <w:r w:rsidRPr="00FA1574">
              <w:rPr>
                <w:rFonts w:ascii="Calibri" w:eastAsia="Times New Roman" w:hAnsi="Calibri" w:cs="Calibri"/>
                <w:color w:val="auto"/>
                <w:kern w:val="0"/>
                <w:sz w:val="18"/>
                <w:szCs w:val="18"/>
                <w:lang w:eastAsia="en-GB"/>
                <w14:ligatures w14:val="none"/>
              </w:rPr>
              <w:t>Prefer not to say</w:t>
            </w:r>
          </w:p>
        </w:tc>
        <w:tc>
          <w:tcPr>
            <w:tcW w:w="1020" w:type="dxa"/>
            <w:tcBorders>
              <w:top w:val="nil"/>
              <w:left w:val="nil"/>
              <w:bottom w:val="single" w:sz="4" w:space="0" w:color="000000"/>
              <w:right w:val="single" w:sz="4" w:space="0" w:color="000000"/>
            </w:tcBorders>
            <w:shd w:val="clear" w:color="auto" w:fill="auto"/>
            <w:vAlign w:val="bottom"/>
            <w:hideMark/>
          </w:tcPr>
          <w:p w14:paraId="13BEC815" w14:textId="77777777" w:rsidR="00FA1574" w:rsidRPr="00FA1574" w:rsidRDefault="00FA1574" w:rsidP="00FA1574">
            <w:pPr>
              <w:rPr>
                <w:rFonts w:ascii="Calibri" w:eastAsia="Times New Roman" w:hAnsi="Calibri" w:cs="Calibri"/>
                <w:color w:val="auto"/>
                <w:kern w:val="0"/>
                <w:sz w:val="18"/>
                <w:szCs w:val="18"/>
                <w:lang w:eastAsia="en-GB"/>
                <w14:ligatures w14:val="none"/>
              </w:rPr>
            </w:pPr>
            <w:r w:rsidRPr="00FA1574">
              <w:rPr>
                <w:rFonts w:ascii="Calibri" w:eastAsia="Times New Roman" w:hAnsi="Calibri" w:cs="Calibri"/>
                <w:color w:val="auto"/>
                <w:kern w:val="0"/>
                <w:sz w:val="18"/>
                <w:szCs w:val="18"/>
                <w:lang w:eastAsia="en-GB"/>
                <w14:ligatures w14:val="none"/>
              </w:rPr>
              <w:t>Other (please specify)</w:t>
            </w:r>
          </w:p>
        </w:tc>
      </w:tr>
      <w:tr w:rsidR="00FA1574" w:rsidRPr="00FA1574" w14:paraId="29FD4B4E" w14:textId="77777777" w:rsidTr="00F5532B">
        <w:trPr>
          <w:trHeight w:val="293"/>
          <w:jc w:val="center"/>
        </w:trPr>
        <w:tc>
          <w:tcPr>
            <w:tcW w:w="1020" w:type="dxa"/>
            <w:tcBorders>
              <w:top w:val="nil"/>
              <w:left w:val="single" w:sz="4" w:space="0" w:color="000000"/>
              <w:bottom w:val="single" w:sz="4" w:space="0" w:color="000000"/>
              <w:right w:val="single" w:sz="4" w:space="0" w:color="000000"/>
            </w:tcBorders>
            <w:shd w:val="clear" w:color="auto" w:fill="auto"/>
            <w:noWrap/>
            <w:vAlign w:val="bottom"/>
            <w:hideMark/>
          </w:tcPr>
          <w:p w14:paraId="5B004B8D"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299</w:t>
            </w:r>
          </w:p>
        </w:tc>
        <w:tc>
          <w:tcPr>
            <w:tcW w:w="1186" w:type="dxa"/>
            <w:tcBorders>
              <w:top w:val="nil"/>
              <w:left w:val="nil"/>
              <w:bottom w:val="single" w:sz="4" w:space="0" w:color="000000"/>
              <w:right w:val="single" w:sz="4" w:space="0" w:color="000000"/>
            </w:tcBorders>
            <w:shd w:val="clear" w:color="auto" w:fill="auto"/>
            <w:noWrap/>
            <w:vAlign w:val="bottom"/>
            <w:hideMark/>
          </w:tcPr>
          <w:p w14:paraId="355F4082"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259</w:t>
            </w:r>
          </w:p>
        </w:tc>
        <w:tc>
          <w:tcPr>
            <w:tcW w:w="1020" w:type="dxa"/>
            <w:tcBorders>
              <w:top w:val="nil"/>
              <w:left w:val="nil"/>
              <w:bottom w:val="single" w:sz="4" w:space="0" w:color="000000"/>
              <w:right w:val="single" w:sz="4" w:space="0" w:color="000000"/>
            </w:tcBorders>
            <w:shd w:val="clear" w:color="auto" w:fill="auto"/>
            <w:noWrap/>
            <w:vAlign w:val="bottom"/>
            <w:hideMark/>
          </w:tcPr>
          <w:p w14:paraId="223A7E5D"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19</w:t>
            </w:r>
          </w:p>
        </w:tc>
        <w:tc>
          <w:tcPr>
            <w:tcW w:w="1020" w:type="dxa"/>
            <w:tcBorders>
              <w:top w:val="nil"/>
              <w:left w:val="nil"/>
              <w:bottom w:val="single" w:sz="4" w:space="0" w:color="000000"/>
              <w:right w:val="single" w:sz="4" w:space="0" w:color="000000"/>
            </w:tcBorders>
            <w:shd w:val="clear" w:color="auto" w:fill="auto"/>
            <w:noWrap/>
            <w:vAlign w:val="bottom"/>
            <w:hideMark/>
          </w:tcPr>
          <w:p w14:paraId="390E8609"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1</w:t>
            </w:r>
          </w:p>
        </w:tc>
        <w:tc>
          <w:tcPr>
            <w:tcW w:w="1020" w:type="dxa"/>
            <w:tcBorders>
              <w:top w:val="nil"/>
              <w:left w:val="nil"/>
              <w:bottom w:val="single" w:sz="4" w:space="0" w:color="000000"/>
              <w:right w:val="single" w:sz="4" w:space="0" w:color="000000"/>
            </w:tcBorders>
            <w:shd w:val="clear" w:color="auto" w:fill="auto"/>
            <w:noWrap/>
            <w:vAlign w:val="bottom"/>
            <w:hideMark/>
          </w:tcPr>
          <w:p w14:paraId="7D38CF59"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3</w:t>
            </w:r>
          </w:p>
        </w:tc>
        <w:tc>
          <w:tcPr>
            <w:tcW w:w="1020" w:type="dxa"/>
            <w:tcBorders>
              <w:top w:val="nil"/>
              <w:left w:val="nil"/>
              <w:bottom w:val="single" w:sz="4" w:space="0" w:color="000000"/>
              <w:right w:val="single" w:sz="4" w:space="0" w:color="000000"/>
            </w:tcBorders>
            <w:shd w:val="clear" w:color="auto" w:fill="auto"/>
            <w:noWrap/>
            <w:vAlign w:val="bottom"/>
            <w:hideMark/>
          </w:tcPr>
          <w:p w14:paraId="07777F7F"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5</w:t>
            </w:r>
          </w:p>
        </w:tc>
        <w:tc>
          <w:tcPr>
            <w:tcW w:w="1020" w:type="dxa"/>
            <w:tcBorders>
              <w:top w:val="nil"/>
              <w:left w:val="nil"/>
              <w:bottom w:val="single" w:sz="4" w:space="0" w:color="000000"/>
              <w:right w:val="single" w:sz="4" w:space="0" w:color="000000"/>
            </w:tcBorders>
            <w:shd w:val="clear" w:color="auto" w:fill="auto"/>
            <w:noWrap/>
            <w:vAlign w:val="bottom"/>
            <w:hideMark/>
          </w:tcPr>
          <w:p w14:paraId="0E62EFD9"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4</w:t>
            </w:r>
          </w:p>
        </w:tc>
        <w:tc>
          <w:tcPr>
            <w:tcW w:w="994" w:type="dxa"/>
            <w:tcBorders>
              <w:top w:val="nil"/>
              <w:left w:val="nil"/>
              <w:bottom w:val="single" w:sz="4" w:space="0" w:color="000000"/>
              <w:right w:val="single" w:sz="4" w:space="0" w:color="000000"/>
            </w:tcBorders>
            <w:shd w:val="clear" w:color="auto" w:fill="auto"/>
            <w:noWrap/>
            <w:vAlign w:val="bottom"/>
            <w:hideMark/>
          </w:tcPr>
          <w:p w14:paraId="049820F7"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28</w:t>
            </w:r>
          </w:p>
        </w:tc>
        <w:tc>
          <w:tcPr>
            <w:tcW w:w="1020" w:type="dxa"/>
            <w:tcBorders>
              <w:top w:val="nil"/>
              <w:left w:val="nil"/>
              <w:bottom w:val="single" w:sz="4" w:space="0" w:color="000000"/>
              <w:right w:val="single" w:sz="4" w:space="0" w:color="000000"/>
            </w:tcBorders>
            <w:shd w:val="clear" w:color="auto" w:fill="auto"/>
            <w:noWrap/>
            <w:vAlign w:val="bottom"/>
            <w:hideMark/>
          </w:tcPr>
          <w:p w14:paraId="5B3561FF"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12</w:t>
            </w:r>
          </w:p>
        </w:tc>
      </w:tr>
      <w:tr w:rsidR="00FA1574" w:rsidRPr="00FA1574" w14:paraId="1E56E6EC" w14:textId="77777777" w:rsidTr="00F5532B">
        <w:trPr>
          <w:trHeight w:val="293"/>
          <w:jc w:val="center"/>
        </w:trPr>
        <w:tc>
          <w:tcPr>
            <w:tcW w:w="1020" w:type="dxa"/>
            <w:tcBorders>
              <w:top w:val="nil"/>
              <w:left w:val="single" w:sz="4" w:space="0" w:color="000000"/>
              <w:bottom w:val="single" w:sz="4" w:space="0" w:color="000000"/>
              <w:right w:val="single" w:sz="4" w:space="0" w:color="000000"/>
            </w:tcBorders>
            <w:shd w:val="clear" w:color="auto" w:fill="auto"/>
            <w:noWrap/>
            <w:vAlign w:val="bottom"/>
            <w:hideMark/>
          </w:tcPr>
          <w:p w14:paraId="753EB6BD"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47.5%</w:t>
            </w:r>
          </w:p>
        </w:tc>
        <w:tc>
          <w:tcPr>
            <w:tcW w:w="1186" w:type="dxa"/>
            <w:tcBorders>
              <w:top w:val="nil"/>
              <w:left w:val="nil"/>
              <w:bottom w:val="single" w:sz="4" w:space="0" w:color="000000"/>
              <w:right w:val="single" w:sz="4" w:space="0" w:color="000000"/>
            </w:tcBorders>
            <w:shd w:val="clear" w:color="auto" w:fill="auto"/>
            <w:noWrap/>
            <w:vAlign w:val="bottom"/>
            <w:hideMark/>
          </w:tcPr>
          <w:p w14:paraId="01F574D6"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41.1%</w:t>
            </w:r>
          </w:p>
        </w:tc>
        <w:tc>
          <w:tcPr>
            <w:tcW w:w="1020" w:type="dxa"/>
            <w:tcBorders>
              <w:top w:val="nil"/>
              <w:left w:val="nil"/>
              <w:bottom w:val="single" w:sz="4" w:space="0" w:color="000000"/>
              <w:right w:val="single" w:sz="4" w:space="0" w:color="000000"/>
            </w:tcBorders>
            <w:shd w:val="clear" w:color="auto" w:fill="auto"/>
            <w:noWrap/>
            <w:vAlign w:val="bottom"/>
            <w:hideMark/>
          </w:tcPr>
          <w:p w14:paraId="408FF91A"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3.0%</w:t>
            </w:r>
          </w:p>
        </w:tc>
        <w:tc>
          <w:tcPr>
            <w:tcW w:w="1020" w:type="dxa"/>
            <w:tcBorders>
              <w:top w:val="nil"/>
              <w:left w:val="nil"/>
              <w:bottom w:val="single" w:sz="4" w:space="0" w:color="000000"/>
              <w:right w:val="single" w:sz="4" w:space="0" w:color="000000"/>
            </w:tcBorders>
            <w:shd w:val="clear" w:color="auto" w:fill="auto"/>
            <w:noWrap/>
            <w:vAlign w:val="bottom"/>
            <w:hideMark/>
          </w:tcPr>
          <w:p w14:paraId="6E543F99"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0.2%</w:t>
            </w:r>
          </w:p>
        </w:tc>
        <w:tc>
          <w:tcPr>
            <w:tcW w:w="1020" w:type="dxa"/>
            <w:tcBorders>
              <w:top w:val="nil"/>
              <w:left w:val="nil"/>
              <w:bottom w:val="single" w:sz="4" w:space="0" w:color="000000"/>
              <w:right w:val="single" w:sz="4" w:space="0" w:color="000000"/>
            </w:tcBorders>
            <w:shd w:val="clear" w:color="auto" w:fill="auto"/>
            <w:noWrap/>
            <w:vAlign w:val="bottom"/>
            <w:hideMark/>
          </w:tcPr>
          <w:p w14:paraId="3118C9AB"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0.5%</w:t>
            </w:r>
          </w:p>
        </w:tc>
        <w:tc>
          <w:tcPr>
            <w:tcW w:w="1020" w:type="dxa"/>
            <w:tcBorders>
              <w:top w:val="nil"/>
              <w:left w:val="nil"/>
              <w:bottom w:val="single" w:sz="4" w:space="0" w:color="000000"/>
              <w:right w:val="single" w:sz="4" w:space="0" w:color="000000"/>
            </w:tcBorders>
            <w:shd w:val="clear" w:color="auto" w:fill="auto"/>
            <w:noWrap/>
            <w:vAlign w:val="bottom"/>
            <w:hideMark/>
          </w:tcPr>
          <w:p w14:paraId="1EFD6CFB"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0.8%</w:t>
            </w:r>
          </w:p>
        </w:tc>
        <w:tc>
          <w:tcPr>
            <w:tcW w:w="1020" w:type="dxa"/>
            <w:tcBorders>
              <w:top w:val="nil"/>
              <w:left w:val="nil"/>
              <w:bottom w:val="single" w:sz="4" w:space="0" w:color="000000"/>
              <w:right w:val="single" w:sz="4" w:space="0" w:color="000000"/>
            </w:tcBorders>
            <w:shd w:val="clear" w:color="auto" w:fill="auto"/>
            <w:noWrap/>
            <w:vAlign w:val="bottom"/>
            <w:hideMark/>
          </w:tcPr>
          <w:p w14:paraId="7B4A9413"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0.6%</w:t>
            </w:r>
          </w:p>
        </w:tc>
        <w:tc>
          <w:tcPr>
            <w:tcW w:w="994" w:type="dxa"/>
            <w:tcBorders>
              <w:top w:val="nil"/>
              <w:left w:val="nil"/>
              <w:bottom w:val="single" w:sz="4" w:space="0" w:color="000000"/>
              <w:right w:val="single" w:sz="4" w:space="0" w:color="000000"/>
            </w:tcBorders>
            <w:shd w:val="clear" w:color="auto" w:fill="auto"/>
            <w:noWrap/>
            <w:vAlign w:val="bottom"/>
            <w:hideMark/>
          </w:tcPr>
          <w:p w14:paraId="771F9443"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4.4%</w:t>
            </w:r>
          </w:p>
        </w:tc>
        <w:tc>
          <w:tcPr>
            <w:tcW w:w="1020" w:type="dxa"/>
            <w:tcBorders>
              <w:top w:val="nil"/>
              <w:left w:val="nil"/>
              <w:bottom w:val="single" w:sz="4" w:space="0" w:color="000000"/>
              <w:right w:val="single" w:sz="4" w:space="0" w:color="000000"/>
            </w:tcBorders>
            <w:shd w:val="clear" w:color="auto" w:fill="auto"/>
            <w:noWrap/>
            <w:vAlign w:val="bottom"/>
            <w:hideMark/>
          </w:tcPr>
          <w:p w14:paraId="1187B5D2"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1.9%</w:t>
            </w:r>
          </w:p>
        </w:tc>
      </w:tr>
    </w:tbl>
    <w:p w14:paraId="06E5B6F7" w14:textId="77777777" w:rsidR="00FA1574" w:rsidRPr="00FA1574" w:rsidRDefault="00FA1574" w:rsidP="00FA1574">
      <w:pPr>
        <w:spacing w:after="160" w:line="259" w:lineRule="auto"/>
        <w:rPr>
          <w:rFonts w:ascii="Arial" w:hAnsi="Arial" w:cs="Arial"/>
          <w:color w:val="auto"/>
          <w:kern w:val="0"/>
          <w:sz w:val="22"/>
          <w:szCs w:val="22"/>
          <w14:ligatures w14:val="none"/>
        </w:rPr>
      </w:pPr>
    </w:p>
    <w:p w14:paraId="35A8E34B" w14:textId="77777777" w:rsidR="00FA1574" w:rsidRPr="00FA1574" w:rsidRDefault="00FA1574" w:rsidP="00FA1574">
      <w:pPr>
        <w:numPr>
          <w:ilvl w:val="0"/>
          <w:numId w:val="34"/>
        </w:num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According to the 2021 Census, the religious composition of Nottinghamshire was as follows: </w:t>
      </w:r>
    </w:p>
    <w:p w14:paraId="2B248B9D" w14:textId="77777777" w:rsidR="00FA1574" w:rsidRPr="00FA1574" w:rsidRDefault="00FA1574" w:rsidP="00A30C20">
      <w:pPr>
        <w:numPr>
          <w:ilvl w:val="1"/>
          <w:numId w:val="34"/>
        </w:numPr>
        <w:spacing w:line="259" w:lineRule="auto"/>
        <w:ind w:left="1077"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Christian: 43.0% </w:t>
      </w:r>
    </w:p>
    <w:p w14:paraId="340CD7EF" w14:textId="77777777" w:rsidR="00FA1574" w:rsidRPr="00FA1574" w:rsidRDefault="00FA1574" w:rsidP="00A30C20">
      <w:pPr>
        <w:numPr>
          <w:ilvl w:val="1"/>
          <w:numId w:val="34"/>
        </w:numPr>
        <w:spacing w:line="259" w:lineRule="auto"/>
        <w:ind w:left="1077"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Muslim: 2.0% </w:t>
      </w:r>
    </w:p>
    <w:p w14:paraId="6BC4B3C1" w14:textId="77777777" w:rsidR="00FA1574" w:rsidRPr="00FA1574" w:rsidRDefault="00FA1574" w:rsidP="00A30C20">
      <w:pPr>
        <w:numPr>
          <w:ilvl w:val="1"/>
          <w:numId w:val="34"/>
        </w:numPr>
        <w:spacing w:line="259" w:lineRule="auto"/>
        <w:ind w:left="1077"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Hindu: 1.0% </w:t>
      </w:r>
    </w:p>
    <w:p w14:paraId="7430DB56" w14:textId="77777777" w:rsidR="00FA1574" w:rsidRPr="00FA1574" w:rsidRDefault="00FA1574" w:rsidP="00A30C20">
      <w:pPr>
        <w:numPr>
          <w:ilvl w:val="1"/>
          <w:numId w:val="34"/>
        </w:numPr>
        <w:spacing w:line="259" w:lineRule="auto"/>
        <w:ind w:left="1077"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Sikh: 0.6%  </w:t>
      </w:r>
    </w:p>
    <w:p w14:paraId="115B658F" w14:textId="77777777" w:rsidR="00FA1574" w:rsidRPr="00FA1574" w:rsidRDefault="00FA1574" w:rsidP="00A30C20">
      <w:pPr>
        <w:numPr>
          <w:ilvl w:val="1"/>
          <w:numId w:val="34"/>
        </w:numPr>
        <w:spacing w:line="259" w:lineRule="auto"/>
        <w:ind w:left="1077"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Jewish: 0.1% </w:t>
      </w:r>
    </w:p>
    <w:p w14:paraId="7A53E767" w14:textId="77777777" w:rsidR="00FA1574" w:rsidRPr="00FA1574" w:rsidRDefault="00FA1574" w:rsidP="00A30C20">
      <w:pPr>
        <w:numPr>
          <w:ilvl w:val="1"/>
          <w:numId w:val="34"/>
        </w:numPr>
        <w:spacing w:line="259" w:lineRule="auto"/>
        <w:ind w:left="1077"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Buddhist: 0.3% </w:t>
      </w:r>
    </w:p>
    <w:p w14:paraId="7FE14D0E" w14:textId="77777777" w:rsidR="00FA1574" w:rsidRPr="00FA1574" w:rsidRDefault="00FA1574" w:rsidP="00A30C20">
      <w:pPr>
        <w:numPr>
          <w:ilvl w:val="1"/>
          <w:numId w:val="34"/>
        </w:numPr>
        <w:spacing w:line="259" w:lineRule="auto"/>
        <w:ind w:left="1077"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Other religions: 3.1% </w:t>
      </w:r>
    </w:p>
    <w:p w14:paraId="01560EFF" w14:textId="77777777" w:rsidR="00FA1574" w:rsidRPr="00FA1574" w:rsidRDefault="00FA1574" w:rsidP="00A30C20">
      <w:pPr>
        <w:numPr>
          <w:ilvl w:val="1"/>
          <w:numId w:val="34"/>
        </w:numPr>
        <w:spacing w:line="259" w:lineRule="auto"/>
        <w:ind w:left="1077"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No religion: 43.8%</w:t>
      </w:r>
    </w:p>
    <w:p w14:paraId="5D89F852" w14:textId="77777777" w:rsidR="00FA1574" w:rsidRPr="00FA1574" w:rsidRDefault="00FA1574" w:rsidP="00A30C20">
      <w:pPr>
        <w:numPr>
          <w:ilvl w:val="1"/>
          <w:numId w:val="34"/>
        </w:numPr>
        <w:spacing w:line="259" w:lineRule="auto"/>
        <w:ind w:left="1077" w:hanging="357"/>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Not stated: 6.1%</w:t>
      </w:r>
    </w:p>
    <w:p w14:paraId="110837A9" w14:textId="77777777" w:rsidR="00FA1574" w:rsidRPr="00FA1574" w:rsidRDefault="00FA1574" w:rsidP="00FA1574">
      <w:pPr>
        <w:numPr>
          <w:ilvl w:val="0"/>
          <w:numId w:val="33"/>
        </w:num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The response rates outlined above align closely with the profile of Nottinghamshire’s community. </w:t>
      </w:r>
    </w:p>
    <w:p w14:paraId="034C137C" w14:textId="77777777" w:rsidR="00FA1574" w:rsidRPr="00FA1574" w:rsidRDefault="00FA1574" w:rsidP="00FA1574">
      <w:pPr>
        <w:numPr>
          <w:ilvl w:val="0"/>
          <w:numId w:val="33"/>
        </w:num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The Hindu community is the most underrepresented in comparison with the overall Nottinghamshire Hindu community. </w:t>
      </w:r>
    </w:p>
    <w:p w14:paraId="18941B4B" w14:textId="77777777" w:rsidR="00FA1574" w:rsidRPr="00FA1574" w:rsidRDefault="00FA1574" w:rsidP="00FA1574">
      <w:pPr>
        <w:numPr>
          <w:ilvl w:val="0"/>
          <w:numId w:val="33"/>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It is not possible to draw a comparison with the previous consultation as this demographic data was not collected.</w:t>
      </w:r>
    </w:p>
    <w:p w14:paraId="04E7DC47" w14:textId="77777777" w:rsidR="00FA1574" w:rsidRPr="00FA1574" w:rsidRDefault="00FA1574" w:rsidP="00FA1574">
      <w:pPr>
        <w:spacing w:after="160" w:line="259" w:lineRule="auto"/>
        <w:rPr>
          <w:rFonts w:ascii="Arial" w:hAnsi="Arial" w:cs="Arial"/>
          <w:color w:val="auto"/>
          <w:kern w:val="0"/>
          <w:sz w:val="22"/>
          <w:szCs w:val="22"/>
          <w14:ligatures w14:val="none"/>
        </w:rPr>
      </w:pPr>
    </w:p>
    <w:p w14:paraId="4DFA339C" w14:textId="77777777" w:rsidR="00FA1574" w:rsidRPr="00FA1574" w:rsidRDefault="00FA1574" w:rsidP="00FA1574">
      <w:pPr>
        <w:spacing w:after="160" w:line="259" w:lineRule="auto"/>
        <w:rPr>
          <w:rFonts w:ascii="Arial" w:hAnsi="Arial" w:cs="Arial"/>
          <w:b/>
          <w:bCs/>
          <w:color w:val="auto"/>
          <w:kern w:val="0"/>
          <w14:ligatures w14:val="none"/>
        </w:rPr>
      </w:pPr>
      <w:r w:rsidRPr="00FA1574">
        <w:rPr>
          <w:rFonts w:ascii="Arial" w:hAnsi="Arial" w:cs="Arial"/>
          <w:b/>
          <w:bCs/>
          <w:color w:val="auto"/>
          <w:kern w:val="0"/>
          <w14:ligatures w14:val="none"/>
        </w:rPr>
        <w:t>Staff, Public &amp; Agency Responses</w:t>
      </w:r>
    </w:p>
    <w:tbl>
      <w:tblPr>
        <w:tblW w:w="3060" w:type="dxa"/>
        <w:tblLook w:val="04A0" w:firstRow="1" w:lastRow="0" w:firstColumn="1" w:lastColumn="0" w:noHBand="0" w:noVBand="1"/>
      </w:tblPr>
      <w:tblGrid>
        <w:gridCol w:w="964"/>
        <w:gridCol w:w="1132"/>
        <w:gridCol w:w="964"/>
      </w:tblGrid>
      <w:tr w:rsidR="00FA1574" w:rsidRPr="00FA1574" w14:paraId="54FBDBE6" w14:textId="77777777" w:rsidTr="00F5532B">
        <w:trPr>
          <w:trHeight w:val="930"/>
        </w:trPr>
        <w:tc>
          <w:tcPr>
            <w:tcW w:w="3060" w:type="dxa"/>
            <w:gridSpan w:val="3"/>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29ABAC5" w14:textId="77777777" w:rsidR="00FA1574" w:rsidRPr="00FA1574" w:rsidRDefault="00FA1574" w:rsidP="00FA1574">
            <w:pPr>
              <w:rPr>
                <w:rFonts w:ascii="Calibri" w:eastAsia="Times New Roman" w:hAnsi="Calibri" w:cs="Calibri"/>
                <w:b/>
                <w:bCs/>
                <w:color w:val="auto"/>
                <w:kern w:val="0"/>
                <w:lang w:eastAsia="en-GB"/>
                <w14:ligatures w14:val="none"/>
              </w:rPr>
            </w:pPr>
            <w:r w:rsidRPr="00FA1574">
              <w:rPr>
                <w:rFonts w:ascii="Calibri" w:eastAsia="Times New Roman" w:hAnsi="Calibri" w:cs="Calibri"/>
                <w:b/>
                <w:bCs/>
                <w:color w:val="auto"/>
                <w:kern w:val="0"/>
                <w:lang w:eastAsia="en-GB"/>
                <w14:ligatures w14:val="none"/>
              </w:rPr>
              <w:t>Are you a member of staff, the public, or a partner agency?</w:t>
            </w:r>
          </w:p>
        </w:tc>
      </w:tr>
      <w:tr w:rsidR="00FA1574" w:rsidRPr="00FA1574" w14:paraId="12D3C9B5" w14:textId="77777777" w:rsidTr="00F5532B">
        <w:trPr>
          <w:trHeight w:val="285"/>
        </w:trPr>
        <w:tc>
          <w:tcPr>
            <w:tcW w:w="964" w:type="dxa"/>
            <w:tcBorders>
              <w:top w:val="nil"/>
              <w:left w:val="single" w:sz="4" w:space="0" w:color="000000"/>
              <w:bottom w:val="single" w:sz="4" w:space="0" w:color="000000"/>
              <w:right w:val="single" w:sz="4" w:space="0" w:color="000000"/>
            </w:tcBorders>
            <w:shd w:val="clear" w:color="auto" w:fill="auto"/>
            <w:noWrap/>
            <w:vAlign w:val="bottom"/>
            <w:hideMark/>
          </w:tcPr>
          <w:p w14:paraId="5D2FF991"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Staff</w:t>
            </w:r>
          </w:p>
        </w:tc>
        <w:tc>
          <w:tcPr>
            <w:tcW w:w="1132" w:type="dxa"/>
            <w:tcBorders>
              <w:top w:val="nil"/>
              <w:left w:val="nil"/>
              <w:bottom w:val="single" w:sz="4" w:space="0" w:color="000000"/>
              <w:right w:val="single" w:sz="4" w:space="0" w:color="000000"/>
            </w:tcBorders>
            <w:shd w:val="clear" w:color="auto" w:fill="auto"/>
            <w:noWrap/>
            <w:vAlign w:val="bottom"/>
            <w:hideMark/>
          </w:tcPr>
          <w:p w14:paraId="148628EA"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Partner</w:t>
            </w:r>
          </w:p>
        </w:tc>
        <w:tc>
          <w:tcPr>
            <w:tcW w:w="964" w:type="dxa"/>
            <w:tcBorders>
              <w:top w:val="nil"/>
              <w:left w:val="nil"/>
              <w:bottom w:val="single" w:sz="4" w:space="0" w:color="000000"/>
              <w:right w:val="single" w:sz="4" w:space="0" w:color="000000"/>
            </w:tcBorders>
            <w:shd w:val="clear" w:color="auto" w:fill="auto"/>
            <w:noWrap/>
            <w:vAlign w:val="bottom"/>
            <w:hideMark/>
          </w:tcPr>
          <w:p w14:paraId="79DC486F"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Public</w:t>
            </w:r>
          </w:p>
        </w:tc>
      </w:tr>
      <w:tr w:rsidR="00FA1574" w:rsidRPr="00FA1574" w14:paraId="292FB6EE" w14:textId="77777777" w:rsidTr="00F5532B">
        <w:trPr>
          <w:trHeight w:val="285"/>
        </w:trPr>
        <w:tc>
          <w:tcPr>
            <w:tcW w:w="964" w:type="dxa"/>
            <w:tcBorders>
              <w:top w:val="nil"/>
              <w:left w:val="single" w:sz="4" w:space="0" w:color="000000"/>
              <w:bottom w:val="single" w:sz="4" w:space="0" w:color="000000"/>
              <w:right w:val="single" w:sz="4" w:space="0" w:color="000000"/>
            </w:tcBorders>
            <w:shd w:val="clear" w:color="auto" w:fill="auto"/>
            <w:noWrap/>
            <w:vAlign w:val="bottom"/>
            <w:hideMark/>
          </w:tcPr>
          <w:p w14:paraId="61EDD023"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157</w:t>
            </w:r>
          </w:p>
        </w:tc>
        <w:tc>
          <w:tcPr>
            <w:tcW w:w="1132" w:type="dxa"/>
            <w:tcBorders>
              <w:top w:val="nil"/>
              <w:left w:val="nil"/>
              <w:bottom w:val="single" w:sz="4" w:space="0" w:color="000000"/>
              <w:right w:val="single" w:sz="4" w:space="0" w:color="000000"/>
            </w:tcBorders>
            <w:shd w:val="clear" w:color="auto" w:fill="auto"/>
            <w:noWrap/>
            <w:vAlign w:val="bottom"/>
            <w:hideMark/>
          </w:tcPr>
          <w:p w14:paraId="7B56AF12"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32</w:t>
            </w:r>
          </w:p>
        </w:tc>
        <w:tc>
          <w:tcPr>
            <w:tcW w:w="964" w:type="dxa"/>
            <w:tcBorders>
              <w:top w:val="nil"/>
              <w:left w:val="nil"/>
              <w:bottom w:val="single" w:sz="4" w:space="0" w:color="000000"/>
              <w:right w:val="single" w:sz="4" w:space="0" w:color="000000"/>
            </w:tcBorders>
            <w:shd w:val="clear" w:color="auto" w:fill="auto"/>
            <w:noWrap/>
            <w:vAlign w:val="bottom"/>
            <w:hideMark/>
          </w:tcPr>
          <w:p w14:paraId="47873602" w14:textId="77777777" w:rsidR="00FA1574" w:rsidRPr="00FA1574" w:rsidRDefault="00FA1574" w:rsidP="00FA1574">
            <w:pPr>
              <w:rPr>
                <w:rFonts w:ascii="Calibri" w:eastAsia="Times New Roman" w:hAnsi="Calibri" w:cs="Calibri"/>
                <w:color w:val="auto"/>
                <w:kern w:val="0"/>
                <w:sz w:val="22"/>
                <w:szCs w:val="22"/>
                <w:lang w:eastAsia="en-GB"/>
                <w14:ligatures w14:val="none"/>
              </w:rPr>
            </w:pPr>
            <w:r w:rsidRPr="00FA1574">
              <w:rPr>
                <w:rFonts w:ascii="Calibri" w:eastAsia="Times New Roman" w:hAnsi="Calibri" w:cs="Calibri"/>
                <w:color w:val="auto"/>
                <w:kern w:val="0"/>
                <w:sz w:val="22"/>
                <w:szCs w:val="22"/>
                <w:lang w:eastAsia="en-GB"/>
                <w14:ligatures w14:val="none"/>
              </w:rPr>
              <w:t>409</w:t>
            </w:r>
          </w:p>
        </w:tc>
      </w:tr>
      <w:tr w:rsidR="00FA1574" w:rsidRPr="00FA1574" w14:paraId="34B102EC" w14:textId="77777777" w:rsidTr="00F5532B">
        <w:trPr>
          <w:trHeight w:val="255"/>
        </w:trPr>
        <w:tc>
          <w:tcPr>
            <w:tcW w:w="964" w:type="dxa"/>
            <w:tcBorders>
              <w:top w:val="nil"/>
              <w:left w:val="single" w:sz="4" w:space="0" w:color="000000"/>
              <w:bottom w:val="single" w:sz="4" w:space="0" w:color="000000"/>
              <w:right w:val="single" w:sz="4" w:space="0" w:color="000000"/>
            </w:tcBorders>
            <w:shd w:val="clear" w:color="auto" w:fill="auto"/>
            <w:noWrap/>
            <w:vAlign w:val="bottom"/>
            <w:hideMark/>
          </w:tcPr>
          <w:p w14:paraId="268997E3" w14:textId="77777777" w:rsidR="00FA1574" w:rsidRPr="00FA1574" w:rsidRDefault="00FA1574" w:rsidP="00FA1574">
            <w:pPr>
              <w:rPr>
                <w:rFonts w:ascii="Arial" w:eastAsia="Times New Roman" w:hAnsi="Arial" w:cs="Arial"/>
                <w:color w:val="000000"/>
                <w:kern w:val="0"/>
                <w:sz w:val="20"/>
                <w:szCs w:val="20"/>
                <w:lang w:eastAsia="en-GB"/>
                <w14:ligatures w14:val="none"/>
              </w:rPr>
            </w:pPr>
            <w:r w:rsidRPr="00FA1574">
              <w:rPr>
                <w:rFonts w:ascii="Arial" w:eastAsia="Times New Roman" w:hAnsi="Arial" w:cs="Arial"/>
                <w:color w:val="000000"/>
                <w:kern w:val="0"/>
                <w:sz w:val="20"/>
                <w:szCs w:val="20"/>
                <w:lang w:eastAsia="en-GB"/>
                <w14:ligatures w14:val="none"/>
              </w:rPr>
              <w:t>26.3%</w:t>
            </w:r>
          </w:p>
        </w:tc>
        <w:tc>
          <w:tcPr>
            <w:tcW w:w="1132" w:type="dxa"/>
            <w:tcBorders>
              <w:top w:val="nil"/>
              <w:left w:val="nil"/>
              <w:bottom w:val="single" w:sz="4" w:space="0" w:color="000000"/>
              <w:right w:val="single" w:sz="4" w:space="0" w:color="000000"/>
            </w:tcBorders>
            <w:shd w:val="clear" w:color="auto" w:fill="auto"/>
            <w:noWrap/>
            <w:vAlign w:val="bottom"/>
            <w:hideMark/>
          </w:tcPr>
          <w:p w14:paraId="0794A7A0" w14:textId="77777777" w:rsidR="00FA1574" w:rsidRPr="00FA1574" w:rsidRDefault="00FA1574" w:rsidP="00FA1574">
            <w:pPr>
              <w:rPr>
                <w:rFonts w:ascii="Arial" w:eastAsia="Times New Roman" w:hAnsi="Arial" w:cs="Arial"/>
                <w:color w:val="000000"/>
                <w:kern w:val="0"/>
                <w:sz w:val="20"/>
                <w:szCs w:val="20"/>
                <w:lang w:eastAsia="en-GB"/>
                <w14:ligatures w14:val="none"/>
              </w:rPr>
            </w:pPr>
            <w:r w:rsidRPr="00FA1574">
              <w:rPr>
                <w:rFonts w:ascii="Arial" w:eastAsia="Times New Roman" w:hAnsi="Arial" w:cs="Arial"/>
                <w:color w:val="000000"/>
                <w:kern w:val="0"/>
                <w:sz w:val="20"/>
                <w:szCs w:val="20"/>
                <w:lang w:eastAsia="en-GB"/>
                <w14:ligatures w14:val="none"/>
              </w:rPr>
              <w:t>5.4%</w:t>
            </w:r>
          </w:p>
        </w:tc>
        <w:tc>
          <w:tcPr>
            <w:tcW w:w="964" w:type="dxa"/>
            <w:tcBorders>
              <w:top w:val="nil"/>
              <w:left w:val="nil"/>
              <w:bottom w:val="single" w:sz="4" w:space="0" w:color="000000"/>
              <w:right w:val="single" w:sz="4" w:space="0" w:color="000000"/>
            </w:tcBorders>
            <w:shd w:val="clear" w:color="auto" w:fill="auto"/>
            <w:noWrap/>
            <w:vAlign w:val="bottom"/>
            <w:hideMark/>
          </w:tcPr>
          <w:p w14:paraId="6CEF5587" w14:textId="77777777" w:rsidR="00FA1574" w:rsidRPr="00FA1574" w:rsidRDefault="00FA1574" w:rsidP="00FA1574">
            <w:pPr>
              <w:rPr>
                <w:rFonts w:ascii="Arial" w:eastAsia="Times New Roman" w:hAnsi="Arial" w:cs="Arial"/>
                <w:color w:val="000000"/>
                <w:kern w:val="0"/>
                <w:sz w:val="20"/>
                <w:szCs w:val="20"/>
                <w:lang w:eastAsia="en-GB"/>
                <w14:ligatures w14:val="none"/>
              </w:rPr>
            </w:pPr>
            <w:r w:rsidRPr="00FA1574">
              <w:rPr>
                <w:rFonts w:ascii="Arial" w:eastAsia="Times New Roman" w:hAnsi="Arial" w:cs="Arial"/>
                <w:color w:val="000000"/>
                <w:kern w:val="0"/>
                <w:sz w:val="20"/>
                <w:szCs w:val="20"/>
                <w:lang w:eastAsia="en-GB"/>
                <w14:ligatures w14:val="none"/>
              </w:rPr>
              <w:t>68.4%</w:t>
            </w:r>
          </w:p>
        </w:tc>
      </w:tr>
    </w:tbl>
    <w:p w14:paraId="05C9DA59" w14:textId="77777777" w:rsidR="00FA1574" w:rsidRPr="00FA1574" w:rsidRDefault="00FA1574" w:rsidP="00FA1574">
      <w:pPr>
        <w:spacing w:after="160" w:line="259" w:lineRule="auto"/>
        <w:rPr>
          <w:rFonts w:ascii="Arial" w:hAnsi="Arial" w:cs="Arial"/>
          <w:color w:val="auto"/>
          <w:kern w:val="0"/>
          <w:sz w:val="22"/>
          <w:szCs w:val="22"/>
          <w14:ligatures w14:val="none"/>
        </w:rPr>
      </w:pPr>
    </w:p>
    <w:p w14:paraId="2BCA4E2B" w14:textId="77777777" w:rsidR="00FA1574" w:rsidRPr="00FA1574" w:rsidRDefault="00FA1574" w:rsidP="00FA1574">
      <w:pPr>
        <w:numPr>
          <w:ilvl w:val="0"/>
          <w:numId w:val="35"/>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The consultation saw significant increases in responses from all three categories over the consultation period. </w:t>
      </w:r>
    </w:p>
    <w:p w14:paraId="0B258631" w14:textId="77777777" w:rsidR="00FA1574" w:rsidRPr="00FA1574" w:rsidRDefault="00FA1574" w:rsidP="00FA1574">
      <w:pPr>
        <w:numPr>
          <w:ilvl w:val="0"/>
          <w:numId w:val="35"/>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increase in responses is such that comparisons with previous years in this area does not provide useful insight. For example, partner responses as a percentage of the total decreased by 4%, but the overall number of partner responses increased 357%.</w:t>
      </w:r>
    </w:p>
    <w:p w14:paraId="3999AC9D" w14:textId="77777777" w:rsidR="00FA1574" w:rsidRPr="00FA1574" w:rsidRDefault="00FA1574" w:rsidP="00FA1574">
      <w:pPr>
        <w:spacing w:after="160" w:line="259" w:lineRule="auto"/>
        <w:rPr>
          <w:rFonts w:ascii="Arial" w:hAnsi="Arial" w:cs="Arial"/>
          <w:color w:val="auto"/>
          <w:kern w:val="0"/>
          <w:sz w:val="22"/>
          <w:szCs w:val="22"/>
          <w14:ligatures w14:val="none"/>
        </w:rPr>
      </w:pPr>
    </w:p>
    <w:p w14:paraId="577FE052" w14:textId="77777777" w:rsidR="00FA1574" w:rsidRPr="00FA1574" w:rsidRDefault="00FA1574" w:rsidP="00FA1574">
      <w:pPr>
        <w:spacing w:after="160" w:line="259" w:lineRule="auto"/>
        <w:rPr>
          <w:rFonts w:ascii="Arial" w:hAnsi="Arial" w:cs="Arial"/>
          <w:color w:val="auto"/>
          <w:kern w:val="0"/>
          <w:sz w:val="22"/>
          <w:szCs w:val="22"/>
          <w14:ligatures w14:val="none"/>
        </w:rPr>
      </w:pPr>
    </w:p>
    <w:p w14:paraId="63F71F62" w14:textId="77777777" w:rsidR="00A30C20" w:rsidRDefault="00A30C20" w:rsidP="00FA1574">
      <w:pPr>
        <w:spacing w:after="160" w:line="259" w:lineRule="auto"/>
        <w:rPr>
          <w:rFonts w:ascii="Arial" w:hAnsi="Arial" w:cs="Arial"/>
          <w:b/>
          <w:bCs/>
          <w:color w:val="auto"/>
          <w:kern w:val="0"/>
          <w:sz w:val="52"/>
          <w:szCs w:val="52"/>
          <w14:ligatures w14:val="none"/>
        </w:rPr>
      </w:pPr>
    </w:p>
    <w:p w14:paraId="1C58C5F7" w14:textId="77777777" w:rsidR="00A30C20" w:rsidRDefault="00A30C20" w:rsidP="00FA1574">
      <w:pPr>
        <w:spacing w:after="160" w:line="259" w:lineRule="auto"/>
        <w:rPr>
          <w:rFonts w:ascii="Arial" w:hAnsi="Arial" w:cs="Arial"/>
          <w:b/>
          <w:bCs/>
          <w:color w:val="auto"/>
          <w:kern w:val="0"/>
          <w:sz w:val="52"/>
          <w:szCs w:val="52"/>
          <w14:ligatures w14:val="none"/>
        </w:rPr>
      </w:pPr>
    </w:p>
    <w:p w14:paraId="23EAA57F" w14:textId="77777777" w:rsidR="00A30C20" w:rsidRDefault="00A30C20" w:rsidP="00FA1574">
      <w:pPr>
        <w:spacing w:after="160" w:line="259" w:lineRule="auto"/>
        <w:rPr>
          <w:rFonts w:ascii="Arial" w:hAnsi="Arial" w:cs="Arial"/>
          <w:b/>
          <w:bCs/>
          <w:color w:val="auto"/>
          <w:kern w:val="0"/>
          <w:sz w:val="52"/>
          <w:szCs w:val="52"/>
          <w14:ligatures w14:val="none"/>
        </w:rPr>
      </w:pPr>
    </w:p>
    <w:p w14:paraId="38373527" w14:textId="77777777" w:rsidR="00A30C20" w:rsidRDefault="00A30C20" w:rsidP="00FA1574">
      <w:pPr>
        <w:spacing w:after="160" w:line="259" w:lineRule="auto"/>
        <w:rPr>
          <w:rFonts w:ascii="Arial" w:hAnsi="Arial" w:cs="Arial"/>
          <w:b/>
          <w:bCs/>
          <w:color w:val="auto"/>
          <w:kern w:val="0"/>
          <w:sz w:val="52"/>
          <w:szCs w:val="52"/>
          <w14:ligatures w14:val="none"/>
        </w:rPr>
      </w:pPr>
    </w:p>
    <w:p w14:paraId="267B73E3" w14:textId="77777777" w:rsidR="00A30C20" w:rsidRDefault="00A30C20" w:rsidP="00FA1574">
      <w:pPr>
        <w:spacing w:after="160" w:line="259" w:lineRule="auto"/>
        <w:rPr>
          <w:rFonts w:ascii="Arial" w:hAnsi="Arial" w:cs="Arial"/>
          <w:b/>
          <w:bCs/>
          <w:color w:val="auto"/>
          <w:kern w:val="0"/>
          <w:sz w:val="52"/>
          <w:szCs w:val="52"/>
          <w14:ligatures w14:val="none"/>
        </w:rPr>
      </w:pPr>
    </w:p>
    <w:p w14:paraId="124473EF" w14:textId="77777777" w:rsidR="00A30C20" w:rsidRDefault="00A30C20" w:rsidP="00FA1574">
      <w:pPr>
        <w:spacing w:after="160" w:line="259" w:lineRule="auto"/>
        <w:rPr>
          <w:rFonts w:ascii="Arial" w:hAnsi="Arial" w:cs="Arial"/>
          <w:b/>
          <w:bCs/>
          <w:color w:val="auto"/>
          <w:kern w:val="0"/>
          <w:sz w:val="52"/>
          <w:szCs w:val="52"/>
          <w14:ligatures w14:val="none"/>
        </w:rPr>
      </w:pPr>
    </w:p>
    <w:p w14:paraId="5C772055" w14:textId="77777777" w:rsidR="00A30C20" w:rsidRDefault="00A30C20" w:rsidP="00FA1574">
      <w:pPr>
        <w:spacing w:after="160" w:line="259" w:lineRule="auto"/>
        <w:rPr>
          <w:rFonts w:ascii="Arial" w:hAnsi="Arial" w:cs="Arial"/>
          <w:b/>
          <w:bCs/>
          <w:color w:val="auto"/>
          <w:kern w:val="0"/>
          <w:sz w:val="52"/>
          <w:szCs w:val="52"/>
          <w14:ligatures w14:val="none"/>
        </w:rPr>
      </w:pPr>
    </w:p>
    <w:p w14:paraId="2FFC132F" w14:textId="77777777" w:rsidR="00A30C20" w:rsidRDefault="00A30C20" w:rsidP="00FA1574">
      <w:pPr>
        <w:spacing w:after="160" w:line="259" w:lineRule="auto"/>
        <w:rPr>
          <w:rFonts w:ascii="Arial" w:hAnsi="Arial" w:cs="Arial"/>
          <w:b/>
          <w:bCs/>
          <w:color w:val="auto"/>
          <w:kern w:val="0"/>
          <w:sz w:val="52"/>
          <w:szCs w:val="52"/>
          <w14:ligatures w14:val="none"/>
        </w:rPr>
      </w:pPr>
    </w:p>
    <w:p w14:paraId="5750B768" w14:textId="77777777" w:rsidR="00A30C20" w:rsidRDefault="00A30C20" w:rsidP="00FA1574">
      <w:pPr>
        <w:spacing w:after="160" w:line="259" w:lineRule="auto"/>
        <w:rPr>
          <w:rFonts w:ascii="Arial" w:hAnsi="Arial" w:cs="Arial"/>
          <w:b/>
          <w:bCs/>
          <w:color w:val="auto"/>
          <w:kern w:val="0"/>
          <w:sz w:val="52"/>
          <w:szCs w:val="52"/>
          <w14:ligatures w14:val="none"/>
        </w:rPr>
      </w:pPr>
    </w:p>
    <w:p w14:paraId="5BA724D8" w14:textId="77777777" w:rsidR="00A30C20" w:rsidRDefault="00A30C20" w:rsidP="00FA1574">
      <w:pPr>
        <w:spacing w:after="160" w:line="259" w:lineRule="auto"/>
        <w:rPr>
          <w:rFonts w:ascii="Arial" w:hAnsi="Arial" w:cs="Arial"/>
          <w:b/>
          <w:bCs/>
          <w:color w:val="auto"/>
          <w:kern w:val="0"/>
          <w:sz w:val="52"/>
          <w:szCs w:val="52"/>
          <w14:ligatures w14:val="none"/>
        </w:rPr>
      </w:pPr>
    </w:p>
    <w:p w14:paraId="6D794CC2" w14:textId="77777777" w:rsidR="00A30C20" w:rsidRDefault="00A30C20" w:rsidP="00FA1574">
      <w:pPr>
        <w:spacing w:after="160" w:line="259" w:lineRule="auto"/>
        <w:rPr>
          <w:rFonts w:ascii="Arial" w:hAnsi="Arial" w:cs="Arial"/>
          <w:b/>
          <w:bCs/>
          <w:color w:val="auto"/>
          <w:kern w:val="0"/>
          <w:sz w:val="52"/>
          <w:szCs w:val="52"/>
          <w14:ligatures w14:val="none"/>
        </w:rPr>
      </w:pPr>
    </w:p>
    <w:p w14:paraId="6C492868" w14:textId="77777777" w:rsidR="00A30C20" w:rsidRDefault="00A30C20" w:rsidP="00FA1574">
      <w:pPr>
        <w:spacing w:after="160" w:line="259" w:lineRule="auto"/>
        <w:rPr>
          <w:rFonts w:ascii="Arial" w:hAnsi="Arial" w:cs="Arial"/>
          <w:b/>
          <w:bCs/>
          <w:color w:val="auto"/>
          <w:kern w:val="0"/>
          <w:sz w:val="52"/>
          <w:szCs w:val="52"/>
          <w14:ligatures w14:val="none"/>
        </w:rPr>
      </w:pPr>
    </w:p>
    <w:p w14:paraId="0EE269F4" w14:textId="77777777" w:rsidR="00A30C20" w:rsidRDefault="00A30C20" w:rsidP="00FA1574">
      <w:pPr>
        <w:spacing w:after="160" w:line="259" w:lineRule="auto"/>
        <w:rPr>
          <w:rFonts w:ascii="Arial" w:hAnsi="Arial" w:cs="Arial"/>
          <w:b/>
          <w:bCs/>
          <w:color w:val="auto"/>
          <w:kern w:val="0"/>
          <w:sz w:val="52"/>
          <w:szCs w:val="52"/>
          <w14:ligatures w14:val="none"/>
        </w:rPr>
      </w:pPr>
    </w:p>
    <w:p w14:paraId="5FCD8919" w14:textId="58FB384C" w:rsidR="00FA1574" w:rsidRPr="00FA1574" w:rsidRDefault="00FA1574" w:rsidP="00FA1574">
      <w:pPr>
        <w:spacing w:after="160" w:line="259" w:lineRule="auto"/>
        <w:rPr>
          <w:rFonts w:ascii="Arial" w:hAnsi="Arial" w:cs="Arial"/>
          <w:b/>
          <w:bCs/>
          <w:color w:val="auto"/>
          <w:kern w:val="0"/>
          <w:sz w:val="52"/>
          <w:szCs w:val="52"/>
          <w14:ligatures w14:val="none"/>
        </w:rPr>
      </w:pPr>
      <w:r w:rsidRPr="00FA1574">
        <w:rPr>
          <w:rFonts w:ascii="Arial" w:hAnsi="Arial" w:cs="Arial"/>
          <w:b/>
          <w:bCs/>
          <w:color w:val="auto"/>
          <w:kern w:val="0"/>
          <w:sz w:val="52"/>
          <w:szCs w:val="52"/>
          <w14:ligatures w14:val="none"/>
        </w:rPr>
        <w:lastRenderedPageBreak/>
        <w:t>PART THREE</w:t>
      </w:r>
      <w:r w:rsidR="00A4164E">
        <w:rPr>
          <w:rFonts w:ascii="Arial" w:hAnsi="Arial" w:cs="Arial"/>
          <w:b/>
          <w:bCs/>
          <w:color w:val="auto"/>
          <w:kern w:val="0"/>
          <w:sz w:val="52"/>
          <w:szCs w:val="52"/>
          <w14:ligatures w14:val="none"/>
        </w:rPr>
        <w:t>:</w:t>
      </w:r>
    </w:p>
    <w:p w14:paraId="6B115FB8" w14:textId="77777777" w:rsidR="00FA1574" w:rsidRPr="00FA1574" w:rsidRDefault="00FA1574" w:rsidP="00FA1574">
      <w:pPr>
        <w:spacing w:after="160" w:line="259" w:lineRule="auto"/>
        <w:rPr>
          <w:rFonts w:ascii="Arial" w:hAnsi="Arial" w:cs="Arial"/>
          <w:b/>
          <w:bCs/>
          <w:color w:val="auto"/>
          <w:kern w:val="0"/>
          <w:sz w:val="52"/>
          <w:szCs w:val="52"/>
          <w14:ligatures w14:val="none"/>
        </w:rPr>
      </w:pPr>
      <w:r w:rsidRPr="00FA1574">
        <w:rPr>
          <w:rFonts w:ascii="Arial" w:hAnsi="Arial" w:cs="Arial"/>
          <w:b/>
          <w:bCs/>
          <w:color w:val="auto"/>
          <w:kern w:val="0"/>
          <w:sz w:val="52"/>
          <w:szCs w:val="52"/>
          <w14:ligatures w14:val="none"/>
        </w:rPr>
        <w:t>CONSULTATION SURVEY RESULTS</w:t>
      </w:r>
    </w:p>
    <w:p w14:paraId="1491F54E" w14:textId="77777777" w:rsidR="00FA1574" w:rsidRPr="00FA1574" w:rsidRDefault="00FA1574" w:rsidP="00FA1574">
      <w:pPr>
        <w:spacing w:after="160" w:line="278" w:lineRule="auto"/>
        <w:ind w:left="360"/>
        <w:contextualSpacing/>
        <w:rPr>
          <w:rFonts w:ascii="Arial" w:hAnsi="Arial" w:cs="Arial"/>
          <w:b/>
          <w:bCs/>
          <w:color w:val="auto"/>
          <w:kern w:val="0"/>
          <w14:ligatures w14:val="none"/>
        </w:rPr>
      </w:pPr>
    </w:p>
    <w:p w14:paraId="3E7C74B2" w14:textId="77777777" w:rsidR="00FA1574" w:rsidRPr="00FA1574" w:rsidRDefault="00FA1574" w:rsidP="00FA1574">
      <w:pPr>
        <w:numPr>
          <w:ilvl w:val="0"/>
          <w:numId w:val="53"/>
        </w:numPr>
        <w:spacing w:after="160" w:line="278" w:lineRule="auto"/>
        <w:contextualSpacing/>
        <w:rPr>
          <w:rFonts w:ascii="Arial" w:hAnsi="Arial" w:cs="Arial"/>
          <w:b/>
          <w:bCs/>
          <w:color w:val="auto"/>
          <w:kern w:val="0"/>
          <w:sz w:val="28"/>
          <w:szCs w:val="28"/>
          <w14:ligatures w14:val="none"/>
        </w:rPr>
      </w:pPr>
      <w:r w:rsidRPr="00FA1574">
        <w:rPr>
          <w:rFonts w:ascii="Arial" w:hAnsi="Arial" w:cs="Arial"/>
          <w:b/>
          <w:bCs/>
          <w:color w:val="auto"/>
          <w:kern w:val="0"/>
          <w:sz w:val="28"/>
          <w:szCs w:val="28"/>
          <w14:ligatures w14:val="none"/>
        </w:rPr>
        <w:t>Agreement with the Strategic Goals.</w:t>
      </w:r>
    </w:p>
    <w:p w14:paraId="4795B5D1" w14:textId="77777777" w:rsidR="00FA1574" w:rsidRPr="00FA1574" w:rsidRDefault="00FA1574" w:rsidP="00FA1574">
      <w:pPr>
        <w:spacing w:after="160" w:line="259" w:lineRule="auto"/>
        <w:rPr>
          <w:rFonts w:ascii="Arial" w:hAnsi="Arial" w:cs="Arial"/>
          <w:color w:val="auto"/>
          <w:kern w:val="0"/>
          <w:sz w:val="22"/>
          <w:szCs w:val="22"/>
          <w14:ligatures w14:val="none"/>
        </w:rPr>
      </w:pPr>
      <w:r w:rsidRPr="00FA1574">
        <w:rPr>
          <w:rFonts w:ascii="Arial" w:hAnsi="Arial" w:cs="Arial"/>
          <w:color w:val="auto"/>
          <w:kern w:val="0"/>
          <w:sz w:val="22"/>
          <w:szCs w:val="22"/>
          <w14:ligatures w14:val="none"/>
        </w:rPr>
        <w:t>Participants were asked: “To what extent do you agree that these [the strategic goals] are the correct areas of focus for your Fire Service over the next 3 years.”</w:t>
      </w:r>
    </w:p>
    <w:tbl>
      <w:tblPr>
        <w:tblW w:w="7020" w:type="dxa"/>
        <w:jc w:val="center"/>
        <w:tblLook w:val="04A0" w:firstRow="1" w:lastRow="0" w:firstColumn="1" w:lastColumn="0" w:noHBand="0" w:noVBand="1"/>
      </w:tblPr>
      <w:tblGrid>
        <w:gridCol w:w="1020"/>
        <w:gridCol w:w="1200"/>
        <w:gridCol w:w="1200"/>
        <w:gridCol w:w="1200"/>
        <w:gridCol w:w="1200"/>
        <w:gridCol w:w="1200"/>
      </w:tblGrid>
      <w:tr w:rsidR="00FA1574" w:rsidRPr="00FA1574" w14:paraId="2FA4A6BD" w14:textId="77777777" w:rsidTr="00F5532B">
        <w:trPr>
          <w:trHeight w:val="960"/>
          <w:jc w:val="center"/>
        </w:trPr>
        <w:tc>
          <w:tcPr>
            <w:tcW w:w="1020" w:type="dxa"/>
            <w:tcBorders>
              <w:top w:val="nil"/>
              <w:left w:val="nil"/>
              <w:bottom w:val="nil"/>
              <w:right w:val="nil"/>
            </w:tcBorders>
            <w:shd w:val="clear" w:color="auto" w:fill="auto"/>
            <w:noWrap/>
            <w:vAlign w:val="bottom"/>
            <w:hideMark/>
          </w:tcPr>
          <w:p w14:paraId="556CF502" w14:textId="77777777" w:rsidR="00FA1574" w:rsidRPr="00FA1574" w:rsidRDefault="00FA1574" w:rsidP="00FA1574">
            <w:pPr>
              <w:rPr>
                <w:rFonts w:ascii="Times New Roman" w:eastAsia="Times New Roman" w:hAnsi="Times New Roman" w:cs="Times New Roman"/>
                <w:color w:val="auto"/>
                <w:kern w:val="0"/>
                <w:sz w:val="22"/>
                <w:szCs w:val="22"/>
                <w:lang w:eastAsia="en-GB"/>
                <w14:ligatures w14:val="none"/>
              </w:rPr>
            </w:pPr>
          </w:p>
        </w:tc>
        <w:tc>
          <w:tcPr>
            <w:tcW w:w="6000" w:type="dxa"/>
            <w:gridSpan w:val="5"/>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0001EA6" w14:textId="77777777" w:rsidR="00FA1574" w:rsidRPr="00FA1574" w:rsidRDefault="00FA1574" w:rsidP="00FA1574">
            <w:pPr>
              <w:rPr>
                <w:rFonts w:ascii="Calibri" w:eastAsia="Times New Roman" w:hAnsi="Calibri" w:cs="Calibri"/>
                <w:b/>
                <w:bCs/>
                <w:color w:val="auto"/>
                <w:kern w:val="0"/>
                <w:sz w:val="22"/>
                <w:szCs w:val="22"/>
                <w:lang w:eastAsia="en-GB"/>
                <w14:ligatures w14:val="none"/>
              </w:rPr>
            </w:pPr>
            <w:r w:rsidRPr="00FA1574">
              <w:rPr>
                <w:rFonts w:ascii="Calibri" w:eastAsia="Times New Roman" w:hAnsi="Calibri" w:cs="Calibri"/>
                <w:b/>
                <w:bCs/>
                <w:color w:val="auto"/>
                <w:kern w:val="0"/>
                <w:sz w:val="22"/>
                <w:szCs w:val="22"/>
                <w:lang w:eastAsia="en-GB"/>
                <w14:ligatures w14:val="none"/>
              </w:rPr>
              <w:t>To what extent do you agree that these are the correct areas of focus for your Fire Service over the next three years?</w:t>
            </w:r>
          </w:p>
        </w:tc>
      </w:tr>
      <w:tr w:rsidR="00FA1574" w:rsidRPr="00FA1574" w14:paraId="5CC02CBF" w14:textId="77777777" w:rsidTr="00F5532B">
        <w:trPr>
          <w:trHeight w:val="945"/>
          <w:jc w:val="center"/>
        </w:trPr>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9D71BB" w14:textId="77777777" w:rsidR="00FA1574" w:rsidRPr="00FA1574" w:rsidRDefault="00FA1574" w:rsidP="00FA1574">
            <w:pPr>
              <w:rPr>
                <w:rFonts w:ascii="Arial" w:eastAsia="Times New Roman" w:hAnsi="Arial" w:cs="Arial"/>
                <w:color w:val="000000"/>
                <w:kern w:val="0"/>
                <w:sz w:val="20"/>
                <w:szCs w:val="20"/>
                <w:lang w:eastAsia="en-GB"/>
                <w14:ligatures w14:val="none"/>
              </w:rPr>
            </w:pPr>
            <w:r w:rsidRPr="00FA1574">
              <w:rPr>
                <w:rFonts w:ascii="Arial" w:eastAsia="Times New Roman" w:hAnsi="Arial" w:cs="Arial"/>
                <w:color w:val="000000"/>
                <w:kern w:val="0"/>
                <w:sz w:val="20"/>
                <w:szCs w:val="20"/>
                <w:lang w:eastAsia="en-GB"/>
                <w14:ligatures w14:val="none"/>
              </w:rPr>
              <w:t> </w:t>
            </w:r>
          </w:p>
        </w:tc>
        <w:tc>
          <w:tcPr>
            <w:tcW w:w="1200" w:type="dxa"/>
            <w:tcBorders>
              <w:top w:val="nil"/>
              <w:left w:val="nil"/>
              <w:bottom w:val="nil"/>
              <w:right w:val="single" w:sz="4" w:space="0" w:color="000000"/>
            </w:tcBorders>
            <w:shd w:val="clear" w:color="auto" w:fill="auto"/>
            <w:vAlign w:val="bottom"/>
            <w:hideMark/>
          </w:tcPr>
          <w:p w14:paraId="6521014D" w14:textId="77777777" w:rsidR="00FA1574" w:rsidRPr="00FA1574" w:rsidRDefault="00FA1574" w:rsidP="00FA1574">
            <w:pPr>
              <w:rPr>
                <w:rFonts w:ascii="Calibri" w:eastAsia="Times New Roman" w:hAnsi="Calibri" w:cs="Calibri"/>
                <w:b/>
                <w:bCs/>
                <w:color w:val="auto"/>
                <w:kern w:val="0"/>
                <w:sz w:val="22"/>
                <w:szCs w:val="22"/>
                <w:lang w:eastAsia="en-GB"/>
                <w14:ligatures w14:val="none"/>
              </w:rPr>
            </w:pPr>
            <w:r w:rsidRPr="00FA1574">
              <w:rPr>
                <w:rFonts w:ascii="Calibri" w:eastAsia="Times New Roman" w:hAnsi="Calibri" w:cs="Calibri"/>
                <w:b/>
                <w:bCs/>
                <w:color w:val="auto"/>
                <w:kern w:val="0"/>
                <w:sz w:val="22"/>
                <w:szCs w:val="22"/>
                <w:lang w:eastAsia="en-GB"/>
                <w14:ligatures w14:val="none"/>
              </w:rPr>
              <w:t>Strongly agree</w:t>
            </w:r>
          </w:p>
        </w:tc>
        <w:tc>
          <w:tcPr>
            <w:tcW w:w="1200" w:type="dxa"/>
            <w:tcBorders>
              <w:top w:val="nil"/>
              <w:left w:val="nil"/>
              <w:bottom w:val="nil"/>
              <w:right w:val="single" w:sz="4" w:space="0" w:color="000000"/>
            </w:tcBorders>
            <w:shd w:val="clear" w:color="auto" w:fill="auto"/>
            <w:vAlign w:val="bottom"/>
            <w:hideMark/>
          </w:tcPr>
          <w:p w14:paraId="3E3BD62B" w14:textId="77777777" w:rsidR="00FA1574" w:rsidRPr="00FA1574" w:rsidRDefault="00FA1574" w:rsidP="00FA1574">
            <w:pPr>
              <w:rPr>
                <w:rFonts w:ascii="Calibri" w:eastAsia="Times New Roman" w:hAnsi="Calibri" w:cs="Calibri"/>
                <w:b/>
                <w:bCs/>
                <w:color w:val="auto"/>
                <w:kern w:val="0"/>
                <w:sz w:val="22"/>
                <w:szCs w:val="22"/>
                <w:lang w:eastAsia="en-GB"/>
                <w14:ligatures w14:val="none"/>
              </w:rPr>
            </w:pPr>
            <w:r w:rsidRPr="00FA1574">
              <w:rPr>
                <w:rFonts w:ascii="Calibri" w:eastAsia="Times New Roman" w:hAnsi="Calibri" w:cs="Calibri"/>
                <w:b/>
                <w:bCs/>
                <w:color w:val="auto"/>
                <w:kern w:val="0"/>
                <w:sz w:val="22"/>
                <w:szCs w:val="22"/>
                <w:lang w:eastAsia="en-GB"/>
                <w14:ligatures w14:val="none"/>
              </w:rPr>
              <w:t>Agree</w:t>
            </w:r>
          </w:p>
        </w:tc>
        <w:tc>
          <w:tcPr>
            <w:tcW w:w="1200" w:type="dxa"/>
            <w:tcBorders>
              <w:top w:val="nil"/>
              <w:left w:val="nil"/>
              <w:bottom w:val="nil"/>
              <w:right w:val="single" w:sz="4" w:space="0" w:color="000000"/>
            </w:tcBorders>
            <w:shd w:val="clear" w:color="auto" w:fill="auto"/>
            <w:vAlign w:val="bottom"/>
            <w:hideMark/>
          </w:tcPr>
          <w:p w14:paraId="1893F861" w14:textId="77777777" w:rsidR="00FA1574" w:rsidRPr="00FA1574" w:rsidRDefault="00FA1574" w:rsidP="00FA1574">
            <w:pPr>
              <w:rPr>
                <w:rFonts w:ascii="Calibri" w:eastAsia="Times New Roman" w:hAnsi="Calibri" w:cs="Calibri"/>
                <w:b/>
                <w:bCs/>
                <w:color w:val="auto"/>
                <w:kern w:val="0"/>
                <w:sz w:val="22"/>
                <w:szCs w:val="22"/>
                <w:lang w:eastAsia="en-GB"/>
                <w14:ligatures w14:val="none"/>
              </w:rPr>
            </w:pPr>
            <w:r w:rsidRPr="00FA1574">
              <w:rPr>
                <w:rFonts w:ascii="Calibri" w:eastAsia="Times New Roman" w:hAnsi="Calibri" w:cs="Calibri"/>
                <w:b/>
                <w:bCs/>
                <w:color w:val="auto"/>
                <w:kern w:val="0"/>
                <w:sz w:val="22"/>
                <w:szCs w:val="22"/>
                <w:lang w:eastAsia="en-GB"/>
                <w14:ligatures w14:val="none"/>
              </w:rPr>
              <w:t>Neither agree nor disagree</w:t>
            </w:r>
          </w:p>
        </w:tc>
        <w:tc>
          <w:tcPr>
            <w:tcW w:w="1200" w:type="dxa"/>
            <w:tcBorders>
              <w:top w:val="nil"/>
              <w:left w:val="nil"/>
              <w:bottom w:val="nil"/>
              <w:right w:val="single" w:sz="4" w:space="0" w:color="000000"/>
            </w:tcBorders>
            <w:shd w:val="clear" w:color="auto" w:fill="auto"/>
            <w:vAlign w:val="bottom"/>
            <w:hideMark/>
          </w:tcPr>
          <w:p w14:paraId="7FAC6306" w14:textId="77777777" w:rsidR="00FA1574" w:rsidRPr="00FA1574" w:rsidRDefault="00FA1574" w:rsidP="00FA1574">
            <w:pPr>
              <w:rPr>
                <w:rFonts w:ascii="Calibri" w:eastAsia="Times New Roman" w:hAnsi="Calibri" w:cs="Calibri"/>
                <w:b/>
                <w:bCs/>
                <w:color w:val="auto"/>
                <w:kern w:val="0"/>
                <w:sz w:val="22"/>
                <w:szCs w:val="22"/>
                <w:lang w:eastAsia="en-GB"/>
                <w14:ligatures w14:val="none"/>
              </w:rPr>
            </w:pPr>
            <w:r w:rsidRPr="00FA1574">
              <w:rPr>
                <w:rFonts w:ascii="Calibri" w:eastAsia="Times New Roman" w:hAnsi="Calibri" w:cs="Calibri"/>
                <w:b/>
                <w:bCs/>
                <w:color w:val="auto"/>
                <w:kern w:val="0"/>
                <w:sz w:val="22"/>
                <w:szCs w:val="22"/>
                <w:lang w:eastAsia="en-GB"/>
                <w14:ligatures w14:val="none"/>
              </w:rPr>
              <w:t>Disagree</w:t>
            </w:r>
          </w:p>
        </w:tc>
        <w:tc>
          <w:tcPr>
            <w:tcW w:w="1200" w:type="dxa"/>
            <w:tcBorders>
              <w:top w:val="nil"/>
              <w:left w:val="nil"/>
              <w:bottom w:val="nil"/>
              <w:right w:val="single" w:sz="4" w:space="0" w:color="000000"/>
            </w:tcBorders>
            <w:shd w:val="clear" w:color="auto" w:fill="auto"/>
            <w:vAlign w:val="bottom"/>
            <w:hideMark/>
          </w:tcPr>
          <w:p w14:paraId="135FC974" w14:textId="77777777" w:rsidR="00FA1574" w:rsidRPr="00FA1574" w:rsidRDefault="00FA1574" w:rsidP="00FA1574">
            <w:pPr>
              <w:rPr>
                <w:rFonts w:ascii="Calibri" w:eastAsia="Times New Roman" w:hAnsi="Calibri" w:cs="Calibri"/>
                <w:b/>
                <w:bCs/>
                <w:color w:val="auto"/>
                <w:kern w:val="0"/>
                <w:sz w:val="22"/>
                <w:szCs w:val="22"/>
                <w:lang w:eastAsia="en-GB"/>
                <w14:ligatures w14:val="none"/>
              </w:rPr>
            </w:pPr>
            <w:r w:rsidRPr="00FA1574">
              <w:rPr>
                <w:rFonts w:ascii="Calibri" w:eastAsia="Times New Roman" w:hAnsi="Calibri" w:cs="Calibri"/>
                <w:b/>
                <w:bCs/>
                <w:color w:val="auto"/>
                <w:kern w:val="0"/>
                <w:sz w:val="22"/>
                <w:szCs w:val="22"/>
                <w:lang w:eastAsia="en-GB"/>
                <w14:ligatures w14:val="none"/>
              </w:rPr>
              <w:t>Strongly Disagree</w:t>
            </w:r>
          </w:p>
        </w:tc>
      </w:tr>
      <w:tr w:rsidR="00FA1574" w:rsidRPr="00FA1574" w14:paraId="4412ECBD" w14:textId="77777777" w:rsidTr="00F5532B">
        <w:trPr>
          <w:trHeight w:val="263"/>
          <w:jc w:val="center"/>
        </w:trPr>
        <w:tc>
          <w:tcPr>
            <w:tcW w:w="1020" w:type="dxa"/>
            <w:vMerge w:val="restart"/>
            <w:tcBorders>
              <w:top w:val="nil"/>
              <w:left w:val="single" w:sz="4" w:space="0" w:color="000000"/>
              <w:right w:val="nil"/>
            </w:tcBorders>
            <w:shd w:val="clear" w:color="auto" w:fill="auto"/>
            <w:noWrap/>
            <w:vAlign w:val="bottom"/>
            <w:hideMark/>
          </w:tcPr>
          <w:p w14:paraId="538191C6"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Total</w:t>
            </w:r>
          </w:p>
          <w:p w14:paraId="2CC23278"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 </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1701C2"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389</w:t>
            </w:r>
          </w:p>
        </w:tc>
        <w:tc>
          <w:tcPr>
            <w:tcW w:w="1200" w:type="dxa"/>
            <w:tcBorders>
              <w:top w:val="single" w:sz="4" w:space="0" w:color="000000"/>
              <w:left w:val="nil"/>
              <w:bottom w:val="single" w:sz="4" w:space="0" w:color="000000"/>
              <w:right w:val="single" w:sz="4" w:space="0" w:color="000000"/>
            </w:tcBorders>
            <w:shd w:val="clear" w:color="auto" w:fill="auto"/>
            <w:vAlign w:val="center"/>
            <w:hideMark/>
          </w:tcPr>
          <w:p w14:paraId="5AAB32FC"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227</w:t>
            </w:r>
          </w:p>
        </w:tc>
        <w:tc>
          <w:tcPr>
            <w:tcW w:w="1200" w:type="dxa"/>
            <w:tcBorders>
              <w:top w:val="single" w:sz="4" w:space="0" w:color="000000"/>
              <w:left w:val="nil"/>
              <w:bottom w:val="single" w:sz="4" w:space="0" w:color="000000"/>
              <w:right w:val="single" w:sz="4" w:space="0" w:color="000000"/>
            </w:tcBorders>
            <w:shd w:val="clear" w:color="auto" w:fill="auto"/>
            <w:vAlign w:val="center"/>
            <w:hideMark/>
          </w:tcPr>
          <w:p w14:paraId="74CFE0A2"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16</w:t>
            </w:r>
          </w:p>
        </w:tc>
        <w:tc>
          <w:tcPr>
            <w:tcW w:w="1200" w:type="dxa"/>
            <w:tcBorders>
              <w:top w:val="single" w:sz="4" w:space="0" w:color="000000"/>
              <w:left w:val="nil"/>
              <w:bottom w:val="single" w:sz="4" w:space="0" w:color="000000"/>
              <w:right w:val="single" w:sz="4" w:space="0" w:color="000000"/>
            </w:tcBorders>
            <w:shd w:val="clear" w:color="auto" w:fill="auto"/>
            <w:vAlign w:val="center"/>
            <w:hideMark/>
          </w:tcPr>
          <w:p w14:paraId="65E9A70D"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6</w:t>
            </w:r>
          </w:p>
        </w:tc>
        <w:tc>
          <w:tcPr>
            <w:tcW w:w="1200" w:type="dxa"/>
            <w:tcBorders>
              <w:top w:val="single" w:sz="4" w:space="0" w:color="000000"/>
              <w:left w:val="nil"/>
              <w:bottom w:val="single" w:sz="4" w:space="0" w:color="000000"/>
              <w:right w:val="single" w:sz="4" w:space="0" w:color="000000"/>
            </w:tcBorders>
            <w:shd w:val="clear" w:color="auto" w:fill="auto"/>
            <w:vAlign w:val="center"/>
            <w:hideMark/>
          </w:tcPr>
          <w:p w14:paraId="4FBA95D5"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6</w:t>
            </w:r>
          </w:p>
        </w:tc>
      </w:tr>
      <w:tr w:rsidR="00FA1574" w:rsidRPr="00FA1574" w14:paraId="3768F017" w14:textId="77777777" w:rsidTr="00F5532B">
        <w:trPr>
          <w:trHeight w:val="263"/>
          <w:jc w:val="center"/>
        </w:trPr>
        <w:tc>
          <w:tcPr>
            <w:tcW w:w="1020" w:type="dxa"/>
            <w:vMerge/>
            <w:tcBorders>
              <w:left w:val="single" w:sz="4" w:space="0" w:color="000000"/>
              <w:bottom w:val="single" w:sz="4" w:space="0" w:color="000000"/>
              <w:right w:val="nil"/>
            </w:tcBorders>
            <w:shd w:val="clear" w:color="auto" w:fill="auto"/>
            <w:noWrap/>
            <w:vAlign w:val="bottom"/>
            <w:hideMark/>
          </w:tcPr>
          <w:p w14:paraId="2510D8C4" w14:textId="77777777" w:rsidR="00FA1574" w:rsidRPr="00FA1574" w:rsidRDefault="00FA1574" w:rsidP="00FA1574">
            <w:pPr>
              <w:rPr>
                <w:rFonts w:ascii="Calibri" w:eastAsia="Times New Roman" w:hAnsi="Calibri" w:cs="Calibri"/>
                <w:color w:val="000000"/>
                <w:kern w:val="0"/>
                <w:sz w:val="20"/>
                <w:szCs w:val="20"/>
                <w:lang w:eastAsia="en-GB"/>
                <w14:ligatures w14:val="none"/>
              </w:rPr>
            </w:pPr>
          </w:p>
        </w:tc>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1258A355"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60%</w:t>
            </w:r>
          </w:p>
        </w:tc>
        <w:tc>
          <w:tcPr>
            <w:tcW w:w="1200" w:type="dxa"/>
            <w:tcBorders>
              <w:top w:val="nil"/>
              <w:left w:val="nil"/>
              <w:bottom w:val="single" w:sz="4" w:space="0" w:color="000000"/>
              <w:right w:val="single" w:sz="4" w:space="0" w:color="000000"/>
            </w:tcBorders>
            <w:shd w:val="clear" w:color="auto" w:fill="auto"/>
            <w:vAlign w:val="center"/>
            <w:hideMark/>
          </w:tcPr>
          <w:p w14:paraId="6D7EBC55"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35%</w:t>
            </w:r>
          </w:p>
        </w:tc>
        <w:tc>
          <w:tcPr>
            <w:tcW w:w="1200" w:type="dxa"/>
            <w:tcBorders>
              <w:top w:val="nil"/>
              <w:left w:val="nil"/>
              <w:bottom w:val="single" w:sz="4" w:space="0" w:color="000000"/>
              <w:right w:val="single" w:sz="4" w:space="0" w:color="000000"/>
            </w:tcBorders>
            <w:shd w:val="clear" w:color="auto" w:fill="auto"/>
            <w:vAlign w:val="center"/>
            <w:hideMark/>
          </w:tcPr>
          <w:p w14:paraId="320BFB85"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2.5%</w:t>
            </w:r>
          </w:p>
        </w:tc>
        <w:tc>
          <w:tcPr>
            <w:tcW w:w="1200" w:type="dxa"/>
            <w:tcBorders>
              <w:top w:val="nil"/>
              <w:left w:val="nil"/>
              <w:bottom w:val="single" w:sz="4" w:space="0" w:color="000000"/>
              <w:right w:val="single" w:sz="4" w:space="0" w:color="000000"/>
            </w:tcBorders>
            <w:shd w:val="clear" w:color="auto" w:fill="auto"/>
            <w:vAlign w:val="center"/>
            <w:hideMark/>
          </w:tcPr>
          <w:p w14:paraId="10BCF3DD"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0.9%</w:t>
            </w:r>
          </w:p>
        </w:tc>
        <w:tc>
          <w:tcPr>
            <w:tcW w:w="1200" w:type="dxa"/>
            <w:tcBorders>
              <w:top w:val="nil"/>
              <w:left w:val="nil"/>
              <w:bottom w:val="single" w:sz="4" w:space="0" w:color="000000"/>
              <w:right w:val="single" w:sz="4" w:space="0" w:color="000000"/>
            </w:tcBorders>
            <w:shd w:val="clear" w:color="auto" w:fill="auto"/>
            <w:vAlign w:val="center"/>
            <w:hideMark/>
          </w:tcPr>
          <w:p w14:paraId="3BE410E5"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0.9%</w:t>
            </w:r>
          </w:p>
        </w:tc>
      </w:tr>
      <w:tr w:rsidR="00FA1574" w:rsidRPr="00FA1574" w14:paraId="67662A1E" w14:textId="77777777" w:rsidTr="00F5532B">
        <w:trPr>
          <w:trHeight w:val="86"/>
          <w:jc w:val="center"/>
        </w:trPr>
        <w:tc>
          <w:tcPr>
            <w:tcW w:w="7020"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bottom"/>
            <w:hideMark/>
          </w:tcPr>
          <w:p w14:paraId="4FCF8676"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 </w:t>
            </w:r>
          </w:p>
        </w:tc>
      </w:tr>
      <w:tr w:rsidR="00FA1574" w:rsidRPr="00FA1574" w14:paraId="02FEEA02" w14:textId="77777777" w:rsidTr="00F5532B">
        <w:trPr>
          <w:trHeight w:val="263"/>
          <w:jc w:val="center"/>
        </w:trPr>
        <w:tc>
          <w:tcPr>
            <w:tcW w:w="1020" w:type="dxa"/>
            <w:vMerge w:val="restart"/>
            <w:tcBorders>
              <w:top w:val="nil"/>
              <w:left w:val="single" w:sz="4" w:space="0" w:color="000000"/>
              <w:right w:val="single" w:sz="4" w:space="0" w:color="000000"/>
            </w:tcBorders>
            <w:shd w:val="clear" w:color="auto" w:fill="auto"/>
            <w:noWrap/>
            <w:vAlign w:val="bottom"/>
            <w:hideMark/>
          </w:tcPr>
          <w:p w14:paraId="556AA527"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Public</w:t>
            </w:r>
          </w:p>
          <w:p w14:paraId="774EA45A"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 </w:t>
            </w:r>
          </w:p>
        </w:tc>
        <w:tc>
          <w:tcPr>
            <w:tcW w:w="1200" w:type="dxa"/>
            <w:tcBorders>
              <w:top w:val="nil"/>
              <w:left w:val="nil"/>
              <w:bottom w:val="single" w:sz="4" w:space="0" w:color="000000"/>
              <w:right w:val="single" w:sz="4" w:space="0" w:color="000000"/>
            </w:tcBorders>
            <w:shd w:val="clear" w:color="auto" w:fill="auto"/>
            <w:vAlign w:val="bottom"/>
            <w:hideMark/>
          </w:tcPr>
          <w:p w14:paraId="1F041313" w14:textId="77777777" w:rsidR="00FA1574" w:rsidRPr="00FA1574" w:rsidRDefault="00FA1574" w:rsidP="00FA1574">
            <w:pPr>
              <w:rPr>
                <w:rFonts w:ascii="Calibri" w:eastAsia="Times New Roman" w:hAnsi="Calibri" w:cs="Calibri"/>
                <w:color w:val="auto"/>
                <w:kern w:val="0"/>
                <w:sz w:val="20"/>
                <w:szCs w:val="20"/>
                <w:lang w:eastAsia="en-GB"/>
                <w14:ligatures w14:val="none"/>
              </w:rPr>
            </w:pPr>
            <w:r w:rsidRPr="00FA1574">
              <w:rPr>
                <w:rFonts w:ascii="Calibri" w:eastAsia="Times New Roman" w:hAnsi="Calibri" w:cs="Calibri"/>
                <w:color w:val="auto"/>
                <w:kern w:val="0"/>
                <w:sz w:val="20"/>
                <w:szCs w:val="20"/>
                <w:lang w:eastAsia="en-GB"/>
                <w14:ligatures w14:val="none"/>
              </w:rPr>
              <w:t>254</w:t>
            </w:r>
          </w:p>
        </w:tc>
        <w:tc>
          <w:tcPr>
            <w:tcW w:w="1200" w:type="dxa"/>
            <w:tcBorders>
              <w:top w:val="nil"/>
              <w:left w:val="nil"/>
              <w:bottom w:val="single" w:sz="4" w:space="0" w:color="000000"/>
              <w:right w:val="single" w:sz="4" w:space="0" w:color="000000"/>
            </w:tcBorders>
            <w:shd w:val="clear" w:color="auto" w:fill="auto"/>
            <w:vAlign w:val="bottom"/>
            <w:hideMark/>
          </w:tcPr>
          <w:p w14:paraId="7A5C7579" w14:textId="77777777" w:rsidR="00FA1574" w:rsidRPr="00FA1574" w:rsidRDefault="00FA1574" w:rsidP="00FA1574">
            <w:pPr>
              <w:rPr>
                <w:rFonts w:ascii="Calibri" w:eastAsia="Times New Roman" w:hAnsi="Calibri" w:cs="Calibri"/>
                <w:color w:val="auto"/>
                <w:kern w:val="0"/>
                <w:sz w:val="20"/>
                <w:szCs w:val="20"/>
                <w:lang w:eastAsia="en-GB"/>
                <w14:ligatures w14:val="none"/>
              </w:rPr>
            </w:pPr>
            <w:r w:rsidRPr="00FA1574">
              <w:rPr>
                <w:rFonts w:ascii="Calibri" w:eastAsia="Times New Roman" w:hAnsi="Calibri" w:cs="Calibri"/>
                <w:color w:val="auto"/>
                <w:kern w:val="0"/>
                <w:sz w:val="20"/>
                <w:szCs w:val="20"/>
                <w:lang w:eastAsia="en-GB"/>
                <w14:ligatures w14:val="none"/>
              </w:rPr>
              <w:t>141</w:t>
            </w:r>
          </w:p>
        </w:tc>
        <w:tc>
          <w:tcPr>
            <w:tcW w:w="1200" w:type="dxa"/>
            <w:tcBorders>
              <w:top w:val="nil"/>
              <w:left w:val="nil"/>
              <w:bottom w:val="single" w:sz="4" w:space="0" w:color="000000"/>
              <w:right w:val="single" w:sz="4" w:space="0" w:color="000000"/>
            </w:tcBorders>
            <w:shd w:val="clear" w:color="auto" w:fill="auto"/>
            <w:vAlign w:val="bottom"/>
            <w:hideMark/>
          </w:tcPr>
          <w:p w14:paraId="48139E4A" w14:textId="77777777" w:rsidR="00FA1574" w:rsidRPr="00FA1574" w:rsidRDefault="00FA1574" w:rsidP="00FA1574">
            <w:pPr>
              <w:rPr>
                <w:rFonts w:ascii="Calibri" w:eastAsia="Times New Roman" w:hAnsi="Calibri" w:cs="Calibri"/>
                <w:color w:val="auto"/>
                <w:kern w:val="0"/>
                <w:sz w:val="20"/>
                <w:szCs w:val="20"/>
                <w:lang w:eastAsia="en-GB"/>
                <w14:ligatures w14:val="none"/>
              </w:rPr>
            </w:pPr>
            <w:r w:rsidRPr="00FA1574">
              <w:rPr>
                <w:rFonts w:ascii="Calibri" w:eastAsia="Times New Roman" w:hAnsi="Calibri" w:cs="Calibri"/>
                <w:color w:val="auto"/>
                <w:kern w:val="0"/>
                <w:sz w:val="20"/>
                <w:szCs w:val="20"/>
                <w:lang w:eastAsia="en-GB"/>
                <w14:ligatures w14:val="none"/>
              </w:rPr>
              <w:t>9</w:t>
            </w:r>
          </w:p>
        </w:tc>
        <w:tc>
          <w:tcPr>
            <w:tcW w:w="1200" w:type="dxa"/>
            <w:tcBorders>
              <w:top w:val="nil"/>
              <w:left w:val="nil"/>
              <w:bottom w:val="single" w:sz="4" w:space="0" w:color="000000"/>
              <w:right w:val="single" w:sz="4" w:space="0" w:color="000000"/>
            </w:tcBorders>
            <w:shd w:val="clear" w:color="auto" w:fill="auto"/>
            <w:noWrap/>
            <w:vAlign w:val="bottom"/>
            <w:hideMark/>
          </w:tcPr>
          <w:p w14:paraId="33AC5620"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3</w:t>
            </w:r>
          </w:p>
        </w:tc>
        <w:tc>
          <w:tcPr>
            <w:tcW w:w="1200" w:type="dxa"/>
            <w:tcBorders>
              <w:top w:val="nil"/>
              <w:left w:val="nil"/>
              <w:bottom w:val="single" w:sz="4" w:space="0" w:color="000000"/>
              <w:right w:val="single" w:sz="4" w:space="0" w:color="000000"/>
            </w:tcBorders>
            <w:shd w:val="clear" w:color="auto" w:fill="auto"/>
            <w:noWrap/>
            <w:vAlign w:val="bottom"/>
            <w:hideMark/>
          </w:tcPr>
          <w:p w14:paraId="7570C9E9"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3</w:t>
            </w:r>
          </w:p>
        </w:tc>
      </w:tr>
      <w:tr w:rsidR="00FA1574" w:rsidRPr="00FA1574" w14:paraId="36160F0D"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0863F3AC" w14:textId="77777777" w:rsidR="00FA1574" w:rsidRPr="00FA1574" w:rsidRDefault="00FA1574" w:rsidP="00FA1574">
            <w:pPr>
              <w:rPr>
                <w:rFonts w:ascii="Calibri" w:eastAsia="Times New Roman" w:hAnsi="Calibri" w:cs="Calibri"/>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vAlign w:val="bottom"/>
            <w:hideMark/>
          </w:tcPr>
          <w:p w14:paraId="7D87AFA7" w14:textId="77777777" w:rsidR="00FA1574" w:rsidRPr="00FA1574" w:rsidRDefault="00FA1574" w:rsidP="00FA1574">
            <w:pPr>
              <w:rPr>
                <w:rFonts w:ascii="Calibri" w:eastAsia="Times New Roman" w:hAnsi="Calibri" w:cs="Calibri"/>
                <w:color w:val="auto"/>
                <w:kern w:val="0"/>
                <w:sz w:val="20"/>
                <w:szCs w:val="20"/>
                <w:lang w:eastAsia="en-GB"/>
                <w14:ligatures w14:val="none"/>
              </w:rPr>
            </w:pPr>
            <w:r w:rsidRPr="00FA1574">
              <w:rPr>
                <w:rFonts w:ascii="Calibri" w:eastAsia="Times New Roman" w:hAnsi="Calibri" w:cs="Calibri"/>
                <w:color w:val="auto"/>
                <w:kern w:val="0"/>
                <w:sz w:val="20"/>
                <w:szCs w:val="20"/>
                <w:lang w:eastAsia="en-GB"/>
                <w14:ligatures w14:val="none"/>
              </w:rPr>
              <w:t>62%</w:t>
            </w:r>
          </w:p>
        </w:tc>
        <w:tc>
          <w:tcPr>
            <w:tcW w:w="1200" w:type="dxa"/>
            <w:tcBorders>
              <w:top w:val="nil"/>
              <w:left w:val="nil"/>
              <w:bottom w:val="single" w:sz="4" w:space="0" w:color="000000"/>
              <w:right w:val="single" w:sz="4" w:space="0" w:color="000000"/>
            </w:tcBorders>
            <w:shd w:val="clear" w:color="auto" w:fill="auto"/>
            <w:vAlign w:val="bottom"/>
            <w:hideMark/>
          </w:tcPr>
          <w:p w14:paraId="596A83E8" w14:textId="77777777" w:rsidR="00FA1574" w:rsidRPr="00FA1574" w:rsidRDefault="00FA1574" w:rsidP="00FA1574">
            <w:pPr>
              <w:rPr>
                <w:rFonts w:ascii="Calibri" w:eastAsia="Times New Roman" w:hAnsi="Calibri" w:cs="Calibri"/>
                <w:color w:val="auto"/>
                <w:kern w:val="0"/>
                <w:sz w:val="20"/>
                <w:szCs w:val="20"/>
                <w:lang w:eastAsia="en-GB"/>
                <w14:ligatures w14:val="none"/>
              </w:rPr>
            </w:pPr>
            <w:r w:rsidRPr="00FA1574">
              <w:rPr>
                <w:rFonts w:ascii="Calibri" w:eastAsia="Times New Roman" w:hAnsi="Calibri" w:cs="Calibri"/>
                <w:color w:val="auto"/>
                <w:kern w:val="0"/>
                <w:sz w:val="20"/>
                <w:szCs w:val="20"/>
                <w:lang w:eastAsia="en-GB"/>
                <w14:ligatures w14:val="none"/>
              </w:rPr>
              <w:t>34%</w:t>
            </w:r>
          </w:p>
        </w:tc>
        <w:tc>
          <w:tcPr>
            <w:tcW w:w="1200" w:type="dxa"/>
            <w:tcBorders>
              <w:top w:val="nil"/>
              <w:left w:val="nil"/>
              <w:bottom w:val="single" w:sz="4" w:space="0" w:color="000000"/>
              <w:right w:val="single" w:sz="4" w:space="0" w:color="000000"/>
            </w:tcBorders>
            <w:shd w:val="clear" w:color="auto" w:fill="auto"/>
            <w:vAlign w:val="bottom"/>
            <w:hideMark/>
          </w:tcPr>
          <w:p w14:paraId="66533BB6" w14:textId="77777777" w:rsidR="00FA1574" w:rsidRPr="00FA1574" w:rsidRDefault="00FA1574" w:rsidP="00FA1574">
            <w:pPr>
              <w:rPr>
                <w:rFonts w:ascii="Calibri" w:eastAsia="Times New Roman" w:hAnsi="Calibri" w:cs="Calibri"/>
                <w:color w:val="auto"/>
                <w:kern w:val="0"/>
                <w:sz w:val="20"/>
                <w:szCs w:val="20"/>
                <w:lang w:eastAsia="en-GB"/>
                <w14:ligatures w14:val="none"/>
              </w:rPr>
            </w:pPr>
            <w:r w:rsidRPr="00FA1574">
              <w:rPr>
                <w:rFonts w:ascii="Calibri" w:eastAsia="Times New Roman" w:hAnsi="Calibri" w:cs="Calibri"/>
                <w:color w:val="auto"/>
                <w:kern w:val="0"/>
                <w:sz w:val="20"/>
                <w:szCs w:val="20"/>
                <w:lang w:eastAsia="en-GB"/>
                <w14:ligatures w14:val="none"/>
              </w:rPr>
              <w:t>2%</w:t>
            </w:r>
          </w:p>
        </w:tc>
        <w:tc>
          <w:tcPr>
            <w:tcW w:w="1200" w:type="dxa"/>
            <w:tcBorders>
              <w:top w:val="nil"/>
              <w:left w:val="nil"/>
              <w:bottom w:val="single" w:sz="4" w:space="0" w:color="000000"/>
              <w:right w:val="single" w:sz="4" w:space="0" w:color="000000"/>
            </w:tcBorders>
            <w:shd w:val="clear" w:color="auto" w:fill="auto"/>
            <w:noWrap/>
            <w:vAlign w:val="bottom"/>
            <w:hideMark/>
          </w:tcPr>
          <w:p w14:paraId="2226AC8E"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w:t>
            </w:r>
          </w:p>
        </w:tc>
        <w:tc>
          <w:tcPr>
            <w:tcW w:w="1200" w:type="dxa"/>
            <w:tcBorders>
              <w:top w:val="nil"/>
              <w:left w:val="nil"/>
              <w:bottom w:val="single" w:sz="4" w:space="0" w:color="000000"/>
              <w:right w:val="single" w:sz="4" w:space="0" w:color="000000"/>
            </w:tcBorders>
            <w:shd w:val="clear" w:color="auto" w:fill="auto"/>
            <w:noWrap/>
            <w:vAlign w:val="bottom"/>
            <w:hideMark/>
          </w:tcPr>
          <w:p w14:paraId="40B68B98"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w:t>
            </w:r>
          </w:p>
        </w:tc>
      </w:tr>
      <w:tr w:rsidR="00FA1574" w:rsidRPr="00FA1574" w14:paraId="109FE679" w14:textId="77777777" w:rsidTr="00F5532B">
        <w:trPr>
          <w:trHeight w:val="105"/>
          <w:jc w:val="center"/>
        </w:trPr>
        <w:tc>
          <w:tcPr>
            <w:tcW w:w="7020"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bottom"/>
            <w:hideMark/>
          </w:tcPr>
          <w:p w14:paraId="074C2E7B"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 </w:t>
            </w:r>
          </w:p>
        </w:tc>
      </w:tr>
      <w:tr w:rsidR="00FA1574" w:rsidRPr="00FA1574" w14:paraId="0B84C1AC" w14:textId="77777777" w:rsidTr="00F5532B">
        <w:trPr>
          <w:trHeight w:val="263"/>
          <w:jc w:val="center"/>
        </w:trPr>
        <w:tc>
          <w:tcPr>
            <w:tcW w:w="1020" w:type="dxa"/>
            <w:vMerge w:val="restart"/>
            <w:tcBorders>
              <w:top w:val="nil"/>
              <w:left w:val="single" w:sz="4" w:space="0" w:color="000000"/>
              <w:right w:val="single" w:sz="4" w:space="0" w:color="000000"/>
            </w:tcBorders>
            <w:shd w:val="clear" w:color="auto" w:fill="auto"/>
            <w:noWrap/>
            <w:vAlign w:val="bottom"/>
            <w:hideMark/>
          </w:tcPr>
          <w:p w14:paraId="615975DD"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Agencies</w:t>
            </w:r>
          </w:p>
          <w:p w14:paraId="400B8B2F"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 </w:t>
            </w:r>
          </w:p>
        </w:tc>
        <w:tc>
          <w:tcPr>
            <w:tcW w:w="1200" w:type="dxa"/>
            <w:tcBorders>
              <w:top w:val="nil"/>
              <w:left w:val="nil"/>
              <w:bottom w:val="single" w:sz="4" w:space="0" w:color="000000"/>
              <w:right w:val="single" w:sz="4" w:space="0" w:color="000000"/>
            </w:tcBorders>
            <w:shd w:val="clear" w:color="auto" w:fill="auto"/>
            <w:noWrap/>
            <w:vAlign w:val="bottom"/>
            <w:hideMark/>
          </w:tcPr>
          <w:p w14:paraId="15E75322"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14</w:t>
            </w:r>
          </w:p>
        </w:tc>
        <w:tc>
          <w:tcPr>
            <w:tcW w:w="1200" w:type="dxa"/>
            <w:tcBorders>
              <w:top w:val="nil"/>
              <w:left w:val="nil"/>
              <w:bottom w:val="single" w:sz="4" w:space="0" w:color="000000"/>
              <w:right w:val="single" w:sz="4" w:space="0" w:color="000000"/>
            </w:tcBorders>
            <w:shd w:val="clear" w:color="auto" w:fill="auto"/>
            <w:noWrap/>
            <w:vAlign w:val="bottom"/>
            <w:hideMark/>
          </w:tcPr>
          <w:p w14:paraId="666CF6A6"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15</w:t>
            </w:r>
          </w:p>
        </w:tc>
        <w:tc>
          <w:tcPr>
            <w:tcW w:w="1200" w:type="dxa"/>
            <w:tcBorders>
              <w:top w:val="nil"/>
              <w:left w:val="nil"/>
              <w:bottom w:val="single" w:sz="4" w:space="0" w:color="000000"/>
              <w:right w:val="single" w:sz="4" w:space="0" w:color="000000"/>
            </w:tcBorders>
            <w:shd w:val="clear" w:color="auto" w:fill="auto"/>
            <w:noWrap/>
            <w:vAlign w:val="bottom"/>
            <w:hideMark/>
          </w:tcPr>
          <w:p w14:paraId="7D3F1A17"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w:t>
            </w:r>
          </w:p>
        </w:tc>
        <w:tc>
          <w:tcPr>
            <w:tcW w:w="1200" w:type="dxa"/>
            <w:tcBorders>
              <w:top w:val="nil"/>
              <w:left w:val="nil"/>
              <w:bottom w:val="single" w:sz="4" w:space="0" w:color="000000"/>
              <w:right w:val="single" w:sz="4" w:space="0" w:color="000000"/>
            </w:tcBorders>
            <w:shd w:val="clear" w:color="auto" w:fill="auto"/>
            <w:noWrap/>
            <w:vAlign w:val="bottom"/>
            <w:hideMark/>
          </w:tcPr>
          <w:p w14:paraId="78D8D1BF"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0</w:t>
            </w:r>
          </w:p>
        </w:tc>
        <w:tc>
          <w:tcPr>
            <w:tcW w:w="1200" w:type="dxa"/>
            <w:tcBorders>
              <w:top w:val="nil"/>
              <w:left w:val="nil"/>
              <w:bottom w:val="single" w:sz="4" w:space="0" w:color="000000"/>
              <w:right w:val="single" w:sz="4" w:space="0" w:color="000000"/>
            </w:tcBorders>
            <w:shd w:val="clear" w:color="auto" w:fill="auto"/>
            <w:noWrap/>
            <w:vAlign w:val="bottom"/>
            <w:hideMark/>
          </w:tcPr>
          <w:p w14:paraId="30F39415"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w:t>
            </w:r>
          </w:p>
        </w:tc>
      </w:tr>
      <w:tr w:rsidR="00FA1574" w:rsidRPr="00FA1574" w14:paraId="354EDF9D"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7F06A75E" w14:textId="77777777" w:rsidR="00FA1574" w:rsidRPr="00FA1574" w:rsidRDefault="00FA1574" w:rsidP="00FA1574">
            <w:pPr>
              <w:rPr>
                <w:rFonts w:ascii="Calibri" w:eastAsia="Times New Roman" w:hAnsi="Calibri" w:cs="Calibri"/>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noWrap/>
            <w:vAlign w:val="bottom"/>
            <w:hideMark/>
          </w:tcPr>
          <w:p w14:paraId="3D4FB0B8"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44%</w:t>
            </w:r>
          </w:p>
        </w:tc>
        <w:tc>
          <w:tcPr>
            <w:tcW w:w="1200" w:type="dxa"/>
            <w:tcBorders>
              <w:top w:val="nil"/>
              <w:left w:val="nil"/>
              <w:bottom w:val="single" w:sz="4" w:space="0" w:color="000000"/>
              <w:right w:val="single" w:sz="4" w:space="0" w:color="000000"/>
            </w:tcBorders>
            <w:shd w:val="clear" w:color="auto" w:fill="auto"/>
            <w:noWrap/>
            <w:vAlign w:val="bottom"/>
            <w:hideMark/>
          </w:tcPr>
          <w:p w14:paraId="353B4827"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47%</w:t>
            </w:r>
          </w:p>
        </w:tc>
        <w:tc>
          <w:tcPr>
            <w:tcW w:w="1200" w:type="dxa"/>
            <w:tcBorders>
              <w:top w:val="nil"/>
              <w:left w:val="nil"/>
              <w:bottom w:val="single" w:sz="4" w:space="0" w:color="000000"/>
              <w:right w:val="single" w:sz="4" w:space="0" w:color="000000"/>
            </w:tcBorders>
            <w:shd w:val="clear" w:color="auto" w:fill="auto"/>
            <w:noWrap/>
            <w:vAlign w:val="bottom"/>
            <w:hideMark/>
          </w:tcPr>
          <w:p w14:paraId="3E4BDAAF"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6%</w:t>
            </w:r>
          </w:p>
        </w:tc>
        <w:tc>
          <w:tcPr>
            <w:tcW w:w="1200" w:type="dxa"/>
            <w:tcBorders>
              <w:top w:val="nil"/>
              <w:left w:val="nil"/>
              <w:bottom w:val="single" w:sz="4" w:space="0" w:color="000000"/>
              <w:right w:val="single" w:sz="4" w:space="0" w:color="000000"/>
            </w:tcBorders>
            <w:shd w:val="clear" w:color="auto" w:fill="auto"/>
            <w:noWrap/>
            <w:vAlign w:val="bottom"/>
            <w:hideMark/>
          </w:tcPr>
          <w:p w14:paraId="7F112F3B"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0%</w:t>
            </w:r>
          </w:p>
        </w:tc>
        <w:tc>
          <w:tcPr>
            <w:tcW w:w="1200" w:type="dxa"/>
            <w:tcBorders>
              <w:top w:val="nil"/>
              <w:left w:val="nil"/>
              <w:bottom w:val="single" w:sz="4" w:space="0" w:color="000000"/>
              <w:right w:val="single" w:sz="4" w:space="0" w:color="000000"/>
            </w:tcBorders>
            <w:shd w:val="clear" w:color="auto" w:fill="auto"/>
            <w:noWrap/>
            <w:vAlign w:val="bottom"/>
            <w:hideMark/>
          </w:tcPr>
          <w:p w14:paraId="514DEB76"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3%</w:t>
            </w:r>
          </w:p>
        </w:tc>
      </w:tr>
      <w:tr w:rsidR="00FA1574" w:rsidRPr="00FA1574" w14:paraId="552F6ECB" w14:textId="77777777" w:rsidTr="00F5532B">
        <w:trPr>
          <w:trHeight w:val="98"/>
          <w:jc w:val="center"/>
        </w:trPr>
        <w:tc>
          <w:tcPr>
            <w:tcW w:w="7020" w:type="dxa"/>
            <w:gridSpan w:val="6"/>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bottom"/>
            <w:hideMark/>
          </w:tcPr>
          <w:p w14:paraId="2DE56A65"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 </w:t>
            </w:r>
          </w:p>
        </w:tc>
      </w:tr>
      <w:tr w:rsidR="00FA1574" w:rsidRPr="00FA1574" w14:paraId="0CBF966A" w14:textId="77777777" w:rsidTr="00F5532B">
        <w:trPr>
          <w:trHeight w:val="263"/>
          <w:jc w:val="center"/>
        </w:trPr>
        <w:tc>
          <w:tcPr>
            <w:tcW w:w="1020" w:type="dxa"/>
            <w:vMerge w:val="restart"/>
            <w:tcBorders>
              <w:top w:val="nil"/>
              <w:left w:val="single" w:sz="4" w:space="0" w:color="000000"/>
              <w:right w:val="single" w:sz="4" w:space="0" w:color="000000"/>
            </w:tcBorders>
            <w:shd w:val="clear" w:color="auto" w:fill="auto"/>
            <w:noWrap/>
            <w:vAlign w:val="bottom"/>
            <w:hideMark/>
          </w:tcPr>
          <w:p w14:paraId="17BA543D"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Staff</w:t>
            </w:r>
          </w:p>
          <w:p w14:paraId="623E709D"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 </w:t>
            </w:r>
          </w:p>
        </w:tc>
        <w:tc>
          <w:tcPr>
            <w:tcW w:w="1200" w:type="dxa"/>
            <w:tcBorders>
              <w:top w:val="nil"/>
              <w:left w:val="nil"/>
              <w:bottom w:val="single" w:sz="4" w:space="0" w:color="000000"/>
              <w:right w:val="single" w:sz="4" w:space="0" w:color="000000"/>
            </w:tcBorders>
            <w:shd w:val="clear" w:color="auto" w:fill="auto"/>
            <w:noWrap/>
            <w:vAlign w:val="bottom"/>
            <w:hideMark/>
          </w:tcPr>
          <w:p w14:paraId="107329AE"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93</w:t>
            </w:r>
          </w:p>
        </w:tc>
        <w:tc>
          <w:tcPr>
            <w:tcW w:w="1200" w:type="dxa"/>
            <w:tcBorders>
              <w:top w:val="nil"/>
              <w:left w:val="nil"/>
              <w:bottom w:val="single" w:sz="4" w:space="0" w:color="000000"/>
              <w:right w:val="single" w:sz="4" w:space="0" w:color="000000"/>
            </w:tcBorders>
            <w:shd w:val="clear" w:color="auto" w:fill="auto"/>
            <w:noWrap/>
            <w:vAlign w:val="bottom"/>
            <w:hideMark/>
          </w:tcPr>
          <w:p w14:paraId="2D12A83E"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57</w:t>
            </w:r>
          </w:p>
        </w:tc>
        <w:tc>
          <w:tcPr>
            <w:tcW w:w="1200" w:type="dxa"/>
            <w:tcBorders>
              <w:top w:val="nil"/>
              <w:left w:val="nil"/>
              <w:bottom w:val="single" w:sz="4" w:space="0" w:color="000000"/>
              <w:right w:val="single" w:sz="4" w:space="0" w:color="000000"/>
            </w:tcBorders>
            <w:shd w:val="clear" w:color="auto" w:fill="auto"/>
            <w:noWrap/>
            <w:vAlign w:val="bottom"/>
            <w:hideMark/>
          </w:tcPr>
          <w:p w14:paraId="3FCD168F"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w:t>
            </w:r>
          </w:p>
        </w:tc>
        <w:tc>
          <w:tcPr>
            <w:tcW w:w="1200" w:type="dxa"/>
            <w:tcBorders>
              <w:top w:val="nil"/>
              <w:left w:val="nil"/>
              <w:bottom w:val="single" w:sz="4" w:space="0" w:color="000000"/>
              <w:right w:val="single" w:sz="4" w:space="0" w:color="000000"/>
            </w:tcBorders>
            <w:shd w:val="clear" w:color="auto" w:fill="auto"/>
            <w:noWrap/>
            <w:vAlign w:val="bottom"/>
            <w:hideMark/>
          </w:tcPr>
          <w:p w14:paraId="39E74317"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w:t>
            </w:r>
          </w:p>
        </w:tc>
        <w:tc>
          <w:tcPr>
            <w:tcW w:w="1200" w:type="dxa"/>
            <w:tcBorders>
              <w:top w:val="nil"/>
              <w:left w:val="nil"/>
              <w:bottom w:val="single" w:sz="4" w:space="0" w:color="000000"/>
              <w:right w:val="single" w:sz="4" w:space="0" w:color="000000"/>
            </w:tcBorders>
            <w:shd w:val="clear" w:color="auto" w:fill="auto"/>
            <w:noWrap/>
            <w:vAlign w:val="bottom"/>
            <w:hideMark/>
          </w:tcPr>
          <w:p w14:paraId="7805ACB5"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w:t>
            </w:r>
          </w:p>
        </w:tc>
      </w:tr>
      <w:tr w:rsidR="00FA1574" w:rsidRPr="00FA1574" w14:paraId="06D5575A"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2CFA2153" w14:textId="77777777" w:rsidR="00FA1574" w:rsidRPr="00FA1574" w:rsidRDefault="00FA1574" w:rsidP="00FA1574">
            <w:pPr>
              <w:rPr>
                <w:rFonts w:ascii="Calibri" w:eastAsia="Times New Roman" w:hAnsi="Calibri" w:cs="Calibri"/>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noWrap/>
            <w:vAlign w:val="bottom"/>
            <w:hideMark/>
          </w:tcPr>
          <w:p w14:paraId="12DD2534"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59%</w:t>
            </w:r>
          </w:p>
        </w:tc>
        <w:tc>
          <w:tcPr>
            <w:tcW w:w="1200" w:type="dxa"/>
            <w:tcBorders>
              <w:top w:val="nil"/>
              <w:left w:val="nil"/>
              <w:bottom w:val="single" w:sz="4" w:space="0" w:color="000000"/>
              <w:right w:val="single" w:sz="4" w:space="0" w:color="000000"/>
            </w:tcBorders>
            <w:shd w:val="clear" w:color="auto" w:fill="auto"/>
            <w:noWrap/>
            <w:vAlign w:val="bottom"/>
            <w:hideMark/>
          </w:tcPr>
          <w:p w14:paraId="48E8EA45"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36%</w:t>
            </w:r>
          </w:p>
        </w:tc>
        <w:tc>
          <w:tcPr>
            <w:tcW w:w="1200" w:type="dxa"/>
            <w:tcBorders>
              <w:top w:val="nil"/>
              <w:left w:val="nil"/>
              <w:bottom w:val="single" w:sz="4" w:space="0" w:color="000000"/>
              <w:right w:val="single" w:sz="4" w:space="0" w:color="000000"/>
            </w:tcBorders>
            <w:shd w:val="clear" w:color="auto" w:fill="auto"/>
            <w:noWrap/>
            <w:vAlign w:val="bottom"/>
            <w:hideMark/>
          </w:tcPr>
          <w:p w14:paraId="2A70439E"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3%</w:t>
            </w:r>
          </w:p>
        </w:tc>
        <w:tc>
          <w:tcPr>
            <w:tcW w:w="1200" w:type="dxa"/>
            <w:tcBorders>
              <w:top w:val="nil"/>
              <w:left w:val="nil"/>
              <w:bottom w:val="single" w:sz="4" w:space="0" w:color="000000"/>
              <w:right w:val="single" w:sz="4" w:space="0" w:color="000000"/>
            </w:tcBorders>
            <w:shd w:val="clear" w:color="auto" w:fill="auto"/>
            <w:noWrap/>
            <w:vAlign w:val="bottom"/>
            <w:hideMark/>
          </w:tcPr>
          <w:p w14:paraId="2FDEC31D"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w:t>
            </w:r>
          </w:p>
        </w:tc>
        <w:tc>
          <w:tcPr>
            <w:tcW w:w="1200" w:type="dxa"/>
            <w:tcBorders>
              <w:top w:val="nil"/>
              <w:left w:val="nil"/>
              <w:bottom w:val="single" w:sz="4" w:space="0" w:color="000000"/>
              <w:right w:val="single" w:sz="4" w:space="0" w:color="000000"/>
            </w:tcBorders>
            <w:shd w:val="clear" w:color="auto" w:fill="auto"/>
            <w:noWrap/>
            <w:vAlign w:val="bottom"/>
            <w:hideMark/>
          </w:tcPr>
          <w:p w14:paraId="0FF00AA7"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w:t>
            </w:r>
          </w:p>
        </w:tc>
      </w:tr>
    </w:tbl>
    <w:p w14:paraId="4184D164" w14:textId="77777777" w:rsidR="00FA1574" w:rsidRPr="00FA1574" w:rsidRDefault="00FA1574" w:rsidP="00FA1574">
      <w:pPr>
        <w:spacing w:after="160" w:line="259" w:lineRule="auto"/>
        <w:rPr>
          <w:rFonts w:ascii="Arial" w:hAnsi="Arial" w:cs="Arial"/>
          <w:b/>
          <w:bCs/>
          <w:color w:val="auto"/>
          <w:kern w:val="0"/>
          <w:sz w:val="22"/>
          <w:szCs w:val="22"/>
          <w14:ligatures w14:val="none"/>
        </w:rPr>
      </w:pPr>
    </w:p>
    <w:p w14:paraId="1F61BDED" w14:textId="77777777" w:rsidR="00FA1574" w:rsidRPr="00FA1574" w:rsidRDefault="00FA1574" w:rsidP="00FA1574">
      <w:pPr>
        <w:spacing w:after="160" w:line="259" w:lineRule="auto"/>
        <w:rPr>
          <w:rFonts w:ascii="Arial" w:hAnsi="Arial" w:cs="Arial"/>
          <w:b/>
          <w:bCs/>
          <w:i/>
          <w:iCs/>
          <w:color w:val="auto"/>
          <w:kern w:val="0"/>
          <w:sz w:val="20"/>
          <w:szCs w:val="20"/>
          <w14:ligatures w14:val="none"/>
        </w:rPr>
      </w:pPr>
      <w:r w:rsidRPr="00FA1574">
        <w:rPr>
          <w:rFonts w:ascii="Arial" w:hAnsi="Arial" w:cs="Arial"/>
          <w:b/>
          <w:bCs/>
          <w:color w:val="auto"/>
          <w:kern w:val="0"/>
          <w:sz w:val="20"/>
          <w:szCs w:val="20"/>
          <w14:ligatures w14:val="none"/>
        </w:rPr>
        <w:t>95.6% of respondents agree or strongly agree that the strategic goals identified should be our focus.</w:t>
      </w:r>
      <w:r w:rsidRPr="00FA1574">
        <w:rPr>
          <w:rFonts w:ascii="Arial" w:hAnsi="Arial" w:cs="Arial"/>
          <w:b/>
          <w:bCs/>
          <w:i/>
          <w:iCs/>
          <w:color w:val="auto"/>
          <w:kern w:val="0"/>
          <w:sz w:val="20"/>
          <w:szCs w:val="20"/>
          <w14:ligatures w14:val="none"/>
        </w:rPr>
        <w:t xml:space="preserve"> </w:t>
      </w:r>
    </w:p>
    <w:p w14:paraId="03BFE35A"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1.8% of respondents disagree, with 2.5% not sure.</w:t>
      </w:r>
    </w:p>
    <w:p w14:paraId="73819449"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responses from the public, partners and staff are consistent, with no discernible difference in the level of agreement between each group.</w:t>
      </w:r>
    </w:p>
    <w:p w14:paraId="4D22B53F" w14:textId="77777777" w:rsidR="00FA1574" w:rsidRPr="00FA1574" w:rsidRDefault="00FA1574" w:rsidP="00FA1574">
      <w:pPr>
        <w:spacing w:after="160" w:line="259" w:lineRule="auto"/>
        <w:rPr>
          <w:rFonts w:ascii="Arial" w:hAnsi="Arial" w:cs="Arial"/>
          <w:color w:val="auto"/>
          <w:kern w:val="0"/>
          <w:sz w:val="22"/>
          <w:szCs w:val="22"/>
          <w14:ligatures w14:val="none"/>
        </w:rPr>
      </w:pPr>
    </w:p>
    <w:p w14:paraId="47900E20" w14:textId="77777777" w:rsidR="00FA1574" w:rsidRPr="00FA1574" w:rsidRDefault="00FA1574" w:rsidP="00FA1574">
      <w:pPr>
        <w:numPr>
          <w:ilvl w:val="0"/>
          <w:numId w:val="53"/>
        </w:numPr>
        <w:spacing w:after="160" w:line="278" w:lineRule="auto"/>
        <w:contextualSpacing/>
        <w:rPr>
          <w:rFonts w:ascii="Arial" w:hAnsi="Arial" w:cs="Arial"/>
          <w:b/>
          <w:bCs/>
          <w:color w:val="auto"/>
          <w:kern w:val="0"/>
          <w:sz w:val="28"/>
          <w:szCs w:val="28"/>
          <w14:ligatures w14:val="none"/>
        </w:rPr>
      </w:pPr>
      <w:r w:rsidRPr="00FA1574">
        <w:rPr>
          <w:rFonts w:ascii="Arial" w:hAnsi="Arial" w:cs="Arial"/>
          <w:b/>
          <w:bCs/>
          <w:color w:val="auto"/>
          <w:kern w:val="0"/>
          <w:sz w:val="28"/>
          <w:szCs w:val="28"/>
          <w14:ligatures w14:val="none"/>
        </w:rPr>
        <w:t>Risk Identification</w:t>
      </w:r>
    </w:p>
    <w:p w14:paraId="7C7AAC1A" w14:textId="616F4911" w:rsidR="00FA1574" w:rsidRPr="00FA1574" w:rsidRDefault="00FA1574" w:rsidP="00FA1574">
      <w:pPr>
        <w:spacing w:after="160" w:line="259" w:lineRule="auto"/>
        <w:rPr>
          <w:rFonts w:ascii="Arial" w:hAnsi="Arial" w:cs="Arial"/>
          <w:color w:val="000000" w:themeColor="text1"/>
          <w:kern w:val="0"/>
          <w:sz w:val="22"/>
          <w:szCs w:val="22"/>
          <w14:ligatures w14:val="none"/>
        </w:rPr>
      </w:pPr>
      <w:r w:rsidRPr="00FA1574">
        <w:rPr>
          <w:rFonts w:ascii="Arial" w:hAnsi="Arial" w:cs="Arial"/>
          <w:color w:val="000000" w:themeColor="text1"/>
          <w:kern w:val="0"/>
          <w:sz w:val="22"/>
          <w:szCs w:val="22"/>
          <w14:ligatures w14:val="none"/>
        </w:rPr>
        <w:t>Participants were asked: “To what extent do you agree that we have accurately identified and prioritised the key current and foreseeable risks in your community?”</w:t>
      </w:r>
    </w:p>
    <w:p w14:paraId="0929506B" w14:textId="77777777" w:rsidR="00FA1574" w:rsidRPr="00FA1574" w:rsidRDefault="00FA1574" w:rsidP="00FA1574">
      <w:pPr>
        <w:spacing w:after="160" w:line="259" w:lineRule="auto"/>
        <w:rPr>
          <w:rFonts w:ascii="Arial" w:hAnsi="Arial" w:cs="Arial"/>
          <w:color w:val="000000" w:themeColor="text1"/>
          <w:kern w:val="0"/>
          <w:sz w:val="22"/>
          <w:szCs w:val="22"/>
          <w14:ligatures w14:val="none"/>
        </w:rPr>
      </w:pPr>
    </w:p>
    <w:tbl>
      <w:tblPr>
        <w:tblW w:w="7020" w:type="dxa"/>
        <w:jc w:val="center"/>
        <w:tblLook w:val="04A0" w:firstRow="1" w:lastRow="0" w:firstColumn="1" w:lastColumn="0" w:noHBand="0" w:noVBand="1"/>
      </w:tblPr>
      <w:tblGrid>
        <w:gridCol w:w="1020"/>
        <w:gridCol w:w="1200"/>
        <w:gridCol w:w="1200"/>
        <w:gridCol w:w="1200"/>
        <w:gridCol w:w="1200"/>
        <w:gridCol w:w="1200"/>
      </w:tblGrid>
      <w:tr w:rsidR="00FA1574" w:rsidRPr="00FA1574" w14:paraId="13CE2F1A" w14:textId="77777777" w:rsidTr="00F5532B">
        <w:trPr>
          <w:trHeight w:val="773"/>
          <w:jc w:val="center"/>
        </w:trPr>
        <w:tc>
          <w:tcPr>
            <w:tcW w:w="1020" w:type="dxa"/>
            <w:tcBorders>
              <w:top w:val="nil"/>
              <w:left w:val="nil"/>
              <w:bottom w:val="nil"/>
              <w:right w:val="nil"/>
            </w:tcBorders>
            <w:shd w:val="clear" w:color="auto" w:fill="auto"/>
            <w:noWrap/>
            <w:vAlign w:val="bottom"/>
            <w:hideMark/>
          </w:tcPr>
          <w:p w14:paraId="10FECCCD" w14:textId="77777777" w:rsidR="00FA1574" w:rsidRPr="00FA1574" w:rsidRDefault="00FA1574" w:rsidP="00FA1574">
            <w:pPr>
              <w:rPr>
                <w:rFonts w:ascii="Times New Roman" w:eastAsia="Times New Roman" w:hAnsi="Times New Roman" w:cs="Times New Roman"/>
                <w:color w:val="auto"/>
                <w:kern w:val="0"/>
                <w:sz w:val="22"/>
                <w:szCs w:val="22"/>
                <w:lang w:eastAsia="en-GB"/>
                <w14:ligatures w14:val="none"/>
              </w:rPr>
            </w:pPr>
          </w:p>
        </w:tc>
        <w:tc>
          <w:tcPr>
            <w:tcW w:w="6000" w:type="dxa"/>
            <w:gridSpan w:val="5"/>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A03833B" w14:textId="77777777" w:rsidR="00FA1574" w:rsidRPr="00FA1574" w:rsidRDefault="00FA1574" w:rsidP="00FA1574">
            <w:pPr>
              <w:rPr>
                <w:rFonts w:ascii="Arial" w:eastAsia="Times New Roman" w:hAnsi="Arial" w:cs="Arial"/>
                <w:b/>
                <w:bCs/>
                <w:color w:val="000000"/>
                <w:kern w:val="0"/>
                <w:sz w:val="20"/>
                <w:szCs w:val="20"/>
                <w:lang w:eastAsia="en-GB"/>
                <w14:ligatures w14:val="none"/>
              </w:rPr>
            </w:pPr>
            <w:r w:rsidRPr="00FA1574">
              <w:rPr>
                <w:rFonts w:ascii="Arial" w:eastAsia="Times New Roman" w:hAnsi="Arial" w:cs="Arial"/>
                <w:b/>
                <w:bCs/>
                <w:color w:val="000000"/>
                <w:kern w:val="0"/>
                <w:sz w:val="20"/>
                <w:szCs w:val="20"/>
                <w:lang w:eastAsia="en-GB"/>
                <w14:ligatures w14:val="none"/>
              </w:rPr>
              <w:t>To what extent do you agree that we have accurately identified and prioritised the key current and foreseeable risks in your community?</w:t>
            </w:r>
          </w:p>
        </w:tc>
      </w:tr>
      <w:tr w:rsidR="00FA1574" w:rsidRPr="00FA1574" w14:paraId="7696BEFB" w14:textId="77777777" w:rsidTr="00F5532B">
        <w:trPr>
          <w:trHeight w:val="945"/>
          <w:jc w:val="center"/>
        </w:trPr>
        <w:tc>
          <w:tcPr>
            <w:tcW w:w="1020" w:type="dxa"/>
            <w:tcBorders>
              <w:top w:val="nil"/>
              <w:left w:val="nil"/>
              <w:bottom w:val="nil"/>
              <w:right w:val="nil"/>
            </w:tcBorders>
            <w:shd w:val="clear" w:color="auto" w:fill="auto"/>
            <w:noWrap/>
            <w:vAlign w:val="bottom"/>
            <w:hideMark/>
          </w:tcPr>
          <w:p w14:paraId="67F1A28E" w14:textId="77777777" w:rsidR="00FA1574" w:rsidRPr="00FA1574" w:rsidRDefault="00FA1574" w:rsidP="00FA1574">
            <w:pPr>
              <w:rPr>
                <w:rFonts w:ascii="Arial" w:eastAsia="Times New Roman" w:hAnsi="Arial" w:cs="Arial"/>
                <w:b/>
                <w:bCs/>
                <w:color w:val="000000"/>
                <w:kern w:val="0"/>
                <w:sz w:val="20"/>
                <w:szCs w:val="20"/>
                <w:lang w:eastAsia="en-GB"/>
                <w14:ligatures w14:val="none"/>
              </w:rPr>
            </w:pPr>
          </w:p>
        </w:tc>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3BF5FE93" w14:textId="77777777" w:rsidR="00FA1574" w:rsidRPr="00FA1574" w:rsidRDefault="00FA1574" w:rsidP="00FA1574">
            <w:pPr>
              <w:rPr>
                <w:rFonts w:ascii="Calibri" w:eastAsia="Times New Roman" w:hAnsi="Calibri" w:cs="Calibri"/>
                <w:b/>
                <w:bCs/>
                <w:color w:val="000000"/>
                <w:kern w:val="0"/>
                <w:sz w:val="22"/>
                <w:szCs w:val="22"/>
                <w:lang w:eastAsia="en-GB"/>
                <w14:ligatures w14:val="none"/>
              </w:rPr>
            </w:pPr>
            <w:r w:rsidRPr="00FA1574">
              <w:rPr>
                <w:rFonts w:ascii="Calibri" w:eastAsia="Times New Roman" w:hAnsi="Calibri" w:cs="Calibri"/>
                <w:b/>
                <w:bCs/>
                <w:color w:val="000000"/>
                <w:kern w:val="0"/>
                <w:sz w:val="22"/>
                <w:szCs w:val="22"/>
                <w:lang w:eastAsia="en-GB"/>
                <w14:ligatures w14:val="none"/>
              </w:rPr>
              <w:t>Strongly agree</w:t>
            </w:r>
          </w:p>
        </w:tc>
        <w:tc>
          <w:tcPr>
            <w:tcW w:w="1200" w:type="dxa"/>
            <w:tcBorders>
              <w:top w:val="nil"/>
              <w:left w:val="nil"/>
              <w:bottom w:val="single" w:sz="4" w:space="0" w:color="000000"/>
              <w:right w:val="single" w:sz="4" w:space="0" w:color="000000"/>
            </w:tcBorders>
            <w:shd w:val="clear" w:color="auto" w:fill="auto"/>
            <w:vAlign w:val="center"/>
            <w:hideMark/>
          </w:tcPr>
          <w:p w14:paraId="673410D6" w14:textId="77777777" w:rsidR="00FA1574" w:rsidRPr="00FA1574" w:rsidRDefault="00FA1574" w:rsidP="00FA1574">
            <w:pPr>
              <w:rPr>
                <w:rFonts w:ascii="Calibri" w:eastAsia="Times New Roman" w:hAnsi="Calibri" w:cs="Calibri"/>
                <w:b/>
                <w:bCs/>
                <w:color w:val="000000"/>
                <w:kern w:val="0"/>
                <w:sz w:val="22"/>
                <w:szCs w:val="22"/>
                <w:lang w:eastAsia="en-GB"/>
                <w14:ligatures w14:val="none"/>
              </w:rPr>
            </w:pPr>
            <w:r w:rsidRPr="00FA1574">
              <w:rPr>
                <w:rFonts w:ascii="Calibri" w:eastAsia="Times New Roman" w:hAnsi="Calibri" w:cs="Calibri"/>
                <w:b/>
                <w:bCs/>
                <w:color w:val="000000"/>
                <w:kern w:val="0"/>
                <w:sz w:val="22"/>
                <w:szCs w:val="22"/>
                <w:lang w:eastAsia="en-GB"/>
                <w14:ligatures w14:val="none"/>
              </w:rPr>
              <w:t>Agree</w:t>
            </w:r>
          </w:p>
        </w:tc>
        <w:tc>
          <w:tcPr>
            <w:tcW w:w="1200" w:type="dxa"/>
            <w:tcBorders>
              <w:top w:val="nil"/>
              <w:left w:val="nil"/>
              <w:bottom w:val="single" w:sz="4" w:space="0" w:color="000000"/>
              <w:right w:val="single" w:sz="4" w:space="0" w:color="000000"/>
            </w:tcBorders>
            <w:shd w:val="clear" w:color="auto" w:fill="auto"/>
            <w:vAlign w:val="center"/>
            <w:hideMark/>
          </w:tcPr>
          <w:p w14:paraId="5376CDDD" w14:textId="77777777" w:rsidR="00FA1574" w:rsidRPr="00FA1574" w:rsidRDefault="00FA1574" w:rsidP="00FA1574">
            <w:pPr>
              <w:rPr>
                <w:rFonts w:ascii="Calibri" w:eastAsia="Times New Roman" w:hAnsi="Calibri" w:cs="Calibri"/>
                <w:b/>
                <w:bCs/>
                <w:color w:val="000000"/>
                <w:kern w:val="0"/>
                <w:sz w:val="22"/>
                <w:szCs w:val="22"/>
                <w:lang w:eastAsia="en-GB"/>
                <w14:ligatures w14:val="none"/>
              </w:rPr>
            </w:pPr>
            <w:r w:rsidRPr="00FA1574">
              <w:rPr>
                <w:rFonts w:ascii="Calibri" w:eastAsia="Times New Roman" w:hAnsi="Calibri" w:cs="Calibri"/>
                <w:b/>
                <w:bCs/>
                <w:color w:val="000000"/>
                <w:kern w:val="0"/>
                <w:sz w:val="22"/>
                <w:szCs w:val="22"/>
                <w:lang w:eastAsia="en-GB"/>
                <w14:ligatures w14:val="none"/>
              </w:rPr>
              <w:t>Neither agree nor disagree</w:t>
            </w:r>
          </w:p>
        </w:tc>
        <w:tc>
          <w:tcPr>
            <w:tcW w:w="1200" w:type="dxa"/>
            <w:tcBorders>
              <w:top w:val="nil"/>
              <w:left w:val="nil"/>
              <w:bottom w:val="single" w:sz="4" w:space="0" w:color="000000"/>
              <w:right w:val="single" w:sz="4" w:space="0" w:color="000000"/>
            </w:tcBorders>
            <w:shd w:val="clear" w:color="auto" w:fill="auto"/>
            <w:vAlign w:val="center"/>
            <w:hideMark/>
          </w:tcPr>
          <w:p w14:paraId="0FC47540" w14:textId="77777777" w:rsidR="00FA1574" w:rsidRPr="00FA1574" w:rsidRDefault="00FA1574" w:rsidP="00FA1574">
            <w:pPr>
              <w:rPr>
                <w:rFonts w:ascii="Calibri" w:eastAsia="Times New Roman" w:hAnsi="Calibri" w:cs="Calibri"/>
                <w:b/>
                <w:bCs/>
                <w:color w:val="000000"/>
                <w:kern w:val="0"/>
                <w:sz w:val="22"/>
                <w:szCs w:val="22"/>
                <w:lang w:eastAsia="en-GB"/>
                <w14:ligatures w14:val="none"/>
              </w:rPr>
            </w:pPr>
            <w:r w:rsidRPr="00FA1574">
              <w:rPr>
                <w:rFonts w:ascii="Calibri" w:eastAsia="Times New Roman" w:hAnsi="Calibri" w:cs="Calibri"/>
                <w:b/>
                <w:bCs/>
                <w:color w:val="000000"/>
                <w:kern w:val="0"/>
                <w:sz w:val="22"/>
                <w:szCs w:val="22"/>
                <w:lang w:eastAsia="en-GB"/>
                <w14:ligatures w14:val="none"/>
              </w:rPr>
              <w:t>Disagree</w:t>
            </w:r>
          </w:p>
        </w:tc>
        <w:tc>
          <w:tcPr>
            <w:tcW w:w="1200" w:type="dxa"/>
            <w:tcBorders>
              <w:top w:val="nil"/>
              <w:left w:val="nil"/>
              <w:bottom w:val="single" w:sz="4" w:space="0" w:color="000000"/>
              <w:right w:val="single" w:sz="4" w:space="0" w:color="000000"/>
            </w:tcBorders>
            <w:shd w:val="clear" w:color="auto" w:fill="auto"/>
            <w:vAlign w:val="center"/>
            <w:hideMark/>
          </w:tcPr>
          <w:p w14:paraId="7ED2C32E" w14:textId="77777777" w:rsidR="00FA1574" w:rsidRPr="00FA1574" w:rsidRDefault="00FA1574" w:rsidP="00FA1574">
            <w:pPr>
              <w:rPr>
                <w:rFonts w:ascii="Calibri" w:eastAsia="Times New Roman" w:hAnsi="Calibri" w:cs="Calibri"/>
                <w:b/>
                <w:bCs/>
                <w:color w:val="000000"/>
                <w:kern w:val="0"/>
                <w:sz w:val="22"/>
                <w:szCs w:val="22"/>
                <w:lang w:eastAsia="en-GB"/>
                <w14:ligatures w14:val="none"/>
              </w:rPr>
            </w:pPr>
            <w:r w:rsidRPr="00FA1574">
              <w:rPr>
                <w:rFonts w:ascii="Calibri" w:eastAsia="Times New Roman" w:hAnsi="Calibri" w:cs="Calibri"/>
                <w:b/>
                <w:bCs/>
                <w:color w:val="000000"/>
                <w:kern w:val="0"/>
                <w:sz w:val="22"/>
                <w:szCs w:val="22"/>
                <w:lang w:eastAsia="en-GB"/>
                <w14:ligatures w14:val="none"/>
              </w:rPr>
              <w:t>Strongly disagree</w:t>
            </w:r>
          </w:p>
        </w:tc>
      </w:tr>
      <w:tr w:rsidR="00FA1574" w:rsidRPr="00FA1574" w14:paraId="3DB3F074"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1029AC61"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Total</w:t>
            </w:r>
          </w:p>
          <w:p w14:paraId="29C6CF32"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nil"/>
              <w:left w:val="nil"/>
              <w:bottom w:val="single" w:sz="4" w:space="0" w:color="000000"/>
              <w:right w:val="single" w:sz="4" w:space="0" w:color="000000"/>
            </w:tcBorders>
            <w:shd w:val="clear" w:color="auto" w:fill="auto"/>
            <w:vAlign w:val="center"/>
            <w:hideMark/>
          </w:tcPr>
          <w:p w14:paraId="4B076F5B"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286</w:t>
            </w:r>
          </w:p>
        </w:tc>
        <w:tc>
          <w:tcPr>
            <w:tcW w:w="1200" w:type="dxa"/>
            <w:tcBorders>
              <w:top w:val="nil"/>
              <w:left w:val="nil"/>
              <w:bottom w:val="single" w:sz="4" w:space="0" w:color="000000"/>
              <w:right w:val="single" w:sz="4" w:space="0" w:color="000000"/>
            </w:tcBorders>
            <w:shd w:val="clear" w:color="auto" w:fill="auto"/>
            <w:vAlign w:val="center"/>
            <w:hideMark/>
          </w:tcPr>
          <w:p w14:paraId="7747C6C1"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303</w:t>
            </w:r>
          </w:p>
        </w:tc>
        <w:tc>
          <w:tcPr>
            <w:tcW w:w="1200" w:type="dxa"/>
            <w:tcBorders>
              <w:top w:val="nil"/>
              <w:left w:val="nil"/>
              <w:bottom w:val="single" w:sz="4" w:space="0" w:color="000000"/>
              <w:right w:val="single" w:sz="4" w:space="0" w:color="000000"/>
            </w:tcBorders>
            <w:shd w:val="clear" w:color="auto" w:fill="auto"/>
            <w:vAlign w:val="center"/>
            <w:hideMark/>
          </w:tcPr>
          <w:p w14:paraId="17A0CC02"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44</w:t>
            </w:r>
          </w:p>
        </w:tc>
        <w:tc>
          <w:tcPr>
            <w:tcW w:w="1200" w:type="dxa"/>
            <w:tcBorders>
              <w:top w:val="nil"/>
              <w:left w:val="nil"/>
              <w:bottom w:val="single" w:sz="4" w:space="0" w:color="000000"/>
              <w:right w:val="single" w:sz="4" w:space="0" w:color="000000"/>
            </w:tcBorders>
            <w:shd w:val="clear" w:color="auto" w:fill="auto"/>
            <w:vAlign w:val="center"/>
            <w:hideMark/>
          </w:tcPr>
          <w:p w14:paraId="0EBF1FCD"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7</w:t>
            </w:r>
          </w:p>
        </w:tc>
        <w:tc>
          <w:tcPr>
            <w:tcW w:w="1200" w:type="dxa"/>
            <w:tcBorders>
              <w:top w:val="nil"/>
              <w:left w:val="nil"/>
              <w:bottom w:val="single" w:sz="4" w:space="0" w:color="000000"/>
              <w:right w:val="single" w:sz="4" w:space="0" w:color="000000"/>
            </w:tcBorders>
            <w:shd w:val="clear" w:color="auto" w:fill="auto"/>
            <w:vAlign w:val="center"/>
            <w:hideMark/>
          </w:tcPr>
          <w:p w14:paraId="5533C25B"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6</w:t>
            </w:r>
          </w:p>
        </w:tc>
      </w:tr>
      <w:tr w:rsidR="00FA1574" w:rsidRPr="00FA1574" w14:paraId="04A050E4"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3B1C7259"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vAlign w:val="center"/>
            <w:hideMark/>
          </w:tcPr>
          <w:p w14:paraId="4D5BA2DD"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44%</w:t>
            </w:r>
          </w:p>
        </w:tc>
        <w:tc>
          <w:tcPr>
            <w:tcW w:w="1200" w:type="dxa"/>
            <w:tcBorders>
              <w:top w:val="nil"/>
              <w:left w:val="nil"/>
              <w:bottom w:val="single" w:sz="4" w:space="0" w:color="000000"/>
              <w:right w:val="single" w:sz="4" w:space="0" w:color="000000"/>
            </w:tcBorders>
            <w:shd w:val="clear" w:color="auto" w:fill="auto"/>
            <w:vAlign w:val="center"/>
            <w:hideMark/>
          </w:tcPr>
          <w:p w14:paraId="4F83CCA7"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47%</w:t>
            </w:r>
          </w:p>
        </w:tc>
        <w:tc>
          <w:tcPr>
            <w:tcW w:w="1200" w:type="dxa"/>
            <w:tcBorders>
              <w:top w:val="nil"/>
              <w:left w:val="nil"/>
              <w:bottom w:val="single" w:sz="4" w:space="0" w:color="000000"/>
              <w:right w:val="single" w:sz="4" w:space="0" w:color="000000"/>
            </w:tcBorders>
            <w:shd w:val="clear" w:color="auto" w:fill="auto"/>
            <w:vAlign w:val="center"/>
            <w:hideMark/>
          </w:tcPr>
          <w:p w14:paraId="0E4F10BE"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7%</w:t>
            </w:r>
          </w:p>
        </w:tc>
        <w:tc>
          <w:tcPr>
            <w:tcW w:w="1200" w:type="dxa"/>
            <w:tcBorders>
              <w:top w:val="nil"/>
              <w:left w:val="nil"/>
              <w:bottom w:val="single" w:sz="4" w:space="0" w:color="000000"/>
              <w:right w:val="single" w:sz="4" w:space="0" w:color="000000"/>
            </w:tcBorders>
            <w:shd w:val="clear" w:color="auto" w:fill="auto"/>
            <w:vAlign w:val="center"/>
            <w:hideMark/>
          </w:tcPr>
          <w:p w14:paraId="0A41F5FC"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w:t>
            </w:r>
          </w:p>
        </w:tc>
        <w:tc>
          <w:tcPr>
            <w:tcW w:w="1200" w:type="dxa"/>
            <w:tcBorders>
              <w:top w:val="nil"/>
              <w:left w:val="nil"/>
              <w:bottom w:val="single" w:sz="4" w:space="0" w:color="000000"/>
              <w:right w:val="single" w:sz="4" w:space="0" w:color="000000"/>
            </w:tcBorders>
            <w:shd w:val="clear" w:color="auto" w:fill="auto"/>
            <w:vAlign w:val="center"/>
            <w:hideMark/>
          </w:tcPr>
          <w:p w14:paraId="1F86776D"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w:t>
            </w:r>
          </w:p>
        </w:tc>
      </w:tr>
      <w:tr w:rsidR="00FA1574" w:rsidRPr="00FA1574" w14:paraId="681021D0" w14:textId="77777777" w:rsidTr="00F5532B">
        <w:trPr>
          <w:trHeight w:val="113"/>
          <w:jc w:val="center"/>
        </w:trPr>
        <w:tc>
          <w:tcPr>
            <w:tcW w:w="1020" w:type="dxa"/>
            <w:tcBorders>
              <w:top w:val="nil"/>
              <w:left w:val="single" w:sz="4" w:space="0" w:color="000000"/>
              <w:bottom w:val="nil"/>
              <w:right w:val="nil"/>
            </w:tcBorders>
            <w:shd w:val="clear" w:color="auto" w:fill="D9D9D9" w:themeFill="background1" w:themeFillShade="D9"/>
            <w:noWrap/>
            <w:vAlign w:val="bottom"/>
            <w:hideMark/>
          </w:tcPr>
          <w:p w14:paraId="154BE876"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nil"/>
              <w:left w:val="nil"/>
              <w:bottom w:val="nil"/>
              <w:right w:val="nil"/>
            </w:tcBorders>
            <w:shd w:val="clear" w:color="auto" w:fill="D9D9D9" w:themeFill="background1" w:themeFillShade="D9"/>
            <w:noWrap/>
            <w:vAlign w:val="bottom"/>
            <w:hideMark/>
          </w:tcPr>
          <w:p w14:paraId="1C21C219"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561FFAA5"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23DF634F"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4BF19F98"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single" w:sz="4" w:space="0" w:color="000000"/>
            </w:tcBorders>
            <w:shd w:val="clear" w:color="auto" w:fill="D9D9D9" w:themeFill="background1" w:themeFillShade="D9"/>
            <w:noWrap/>
            <w:vAlign w:val="bottom"/>
            <w:hideMark/>
          </w:tcPr>
          <w:p w14:paraId="0F847884"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 </w:t>
            </w:r>
          </w:p>
        </w:tc>
      </w:tr>
      <w:tr w:rsidR="00FA1574" w:rsidRPr="00FA1574" w14:paraId="2605D984"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4DEE1BCD"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Public</w:t>
            </w:r>
          </w:p>
          <w:p w14:paraId="42AD6F40"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1291B3AF"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185</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7AA6F459"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188</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71F8E7E0"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29</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74E46BCA"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7A08287A"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3</w:t>
            </w:r>
          </w:p>
        </w:tc>
      </w:tr>
      <w:tr w:rsidR="00FA1574" w:rsidRPr="00FA1574" w14:paraId="27317154"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497666E8"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noWrap/>
            <w:vAlign w:val="bottom"/>
            <w:hideMark/>
          </w:tcPr>
          <w:p w14:paraId="5E56B6D5"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45%</w:t>
            </w:r>
          </w:p>
        </w:tc>
        <w:tc>
          <w:tcPr>
            <w:tcW w:w="1200" w:type="dxa"/>
            <w:tcBorders>
              <w:top w:val="nil"/>
              <w:left w:val="nil"/>
              <w:bottom w:val="single" w:sz="4" w:space="0" w:color="000000"/>
              <w:right w:val="single" w:sz="4" w:space="0" w:color="000000"/>
            </w:tcBorders>
            <w:shd w:val="clear" w:color="auto" w:fill="auto"/>
            <w:noWrap/>
            <w:vAlign w:val="bottom"/>
            <w:hideMark/>
          </w:tcPr>
          <w:p w14:paraId="3FB10071"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46%</w:t>
            </w:r>
          </w:p>
        </w:tc>
        <w:tc>
          <w:tcPr>
            <w:tcW w:w="1200" w:type="dxa"/>
            <w:tcBorders>
              <w:top w:val="nil"/>
              <w:left w:val="nil"/>
              <w:bottom w:val="single" w:sz="4" w:space="0" w:color="000000"/>
              <w:right w:val="single" w:sz="4" w:space="0" w:color="000000"/>
            </w:tcBorders>
            <w:shd w:val="clear" w:color="auto" w:fill="auto"/>
            <w:noWrap/>
            <w:vAlign w:val="bottom"/>
            <w:hideMark/>
          </w:tcPr>
          <w:p w14:paraId="046ABA95"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7%</w:t>
            </w:r>
          </w:p>
        </w:tc>
        <w:tc>
          <w:tcPr>
            <w:tcW w:w="1200" w:type="dxa"/>
            <w:tcBorders>
              <w:top w:val="nil"/>
              <w:left w:val="nil"/>
              <w:bottom w:val="single" w:sz="4" w:space="0" w:color="000000"/>
              <w:right w:val="single" w:sz="4" w:space="0" w:color="000000"/>
            </w:tcBorders>
            <w:shd w:val="clear" w:color="auto" w:fill="auto"/>
            <w:noWrap/>
            <w:vAlign w:val="bottom"/>
            <w:hideMark/>
          </w:tcPr>
          <w:p w14:paraId="0D849D34"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w:t>
            </w:r>
          </w:p>
        </w:tc>
        <w:tc>
          <w:tcPr>
            <w:tcW w:w="1200" w:type="dxa"/>
            <w:tcBorders>
              <w:top w:val="nil"/>
              <w:left w:val="nil"/>
              <w:bottom w:val="single" w:sz="4" w:space="0" w:color="000000"/>
              <w:right w:val="single" w:sz="4" w:space="0" w:color="000000"/>
            </w:tcBorders>
            <w:shd w:val="clear" w:color="auto" w:fill="auto"/>
            <w:noWrap/>
            <w:vAlign w:val="bottom"/>
            <w:hideMark/>
          </w:tcPr>
          <w:p w14:paraId="338F9AC6"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w:t>
            </w:r>
          </w:p>
        </w:tc>
      </w:tr>
      <w:tr w:rsidR="00FA1574" w:rsidRPr="00FA1574" w14:paraId="0D30B42F" w14:textId="77777777" w:rsidTr="00F5532B">
        <w:trPr>
          <w:trHeight w:val="105"/>
          <w:jc w:val="center"/>
        </w:trPr>
        <w:tc>
          <w:tcPr>
            <w:tcW w:w="1020" w:type="dxa"/>
            <w:tcBorders>
              <w:top w:val="nil"/>
              <w:left w:val="single" w:sz="4" w:space="0" w:color="000000"/>
              <w:bottom w:val="nil"/>
              <w:right w:val="nil"/>
            </w:tcBorders>
            <w:shd w:val="clear" w:color="auto" w:fill="D9D9D9" w:themeFill="background1" w:themeFillShade="D9"/>
            <w:noWrap/>
            <w:vAlign w:val="bottom"/>
            <w:hideMark/>
          </w:tcPr>
          <w:p w14:paraId="2ED55D5D"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nil"/>
              <w:left w:val="nil"/>
              <w:bottom w:val="nil"/>
              <w:right w:val="nil"/>
            </w:tcBorders>
            <w:shd w:val="clear" w:color="auto" w:fill="D9D9D9" w:themeFill="background1" w:themeFillShade="D9"/>
            <w:noWrap/>
            <w:vAlign w:val="bottom"/>
            <w:hideMark/>
          </w:tcPr>
          <w:p w14:paraId="4A6B74F4"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17728903"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1FFEFFCC"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14A8086F"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single" w:sz="4" w:space="0" w:color="000000"/>
            </w:tcBorders>
            <w:shd w:val="clear" w:color="auto" w:fill="D9D9D9" w:themeFill="background1" w:themeFillShade="D9"/>
            <w:noWrap/>
            <w:vAlign w:val="bottom"/>
            <w:hideMark/>
          </w:tcPr>
          <w:p w14:paraId="0D583D34"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 </w:t>
            </w:r>
          </w:p>
        </w:tc>
      </w:tr>
      <w:tr w:rsidR="00FA1574" w:rsidRPr="00FA1574" w14:paraId="2537AD57"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207D1CB5"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Partners</w:t>
            </w:r>
          </w:p>
          <w:p w14:paraId="7AC316FB"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2955831C"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12</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5093A09D"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18</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4A857FE6"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7E8884B9"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0</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5658BC2B"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0</w:t>
            </w:r>
          </w:p>
        </w:tc>
      </w:tr>
      <w:tr w:rsidR="00FA1574" w:rsidRPr="00FA1574" w14:paraId="4E1E41A2"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6401B5C6"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noWrap/>
            <w:vAlign w:val="bottom"/>
            <w:hideMark/>
          </w:tcPr>
          <w:p w14:paraId="30A75E99"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38%</w:t>
            </w:r>
          </w:p>
        </w:tc>
        <w:tc>
          <w:tcPr>
            <w:tcW w:w="1200" w:type="dxa"/>
            <w:tcBorders>
              <w:top w:val="nil"/>
              <w:left w:val="nil"/>
              <w:bottom w:val="single" w:sz="4" w:space="0" w:color="000000"/>
              <w:right w:val="single" w:sz="4" w:space="0" w:color="000000"/>
            </w:tcBorders>
            <w:shd w:val="clear" w:color="auto" w:fill="auto"/>
            <w:noWrap/>
            <w:vAlign w:val="bottom"/>
            <w:hideMark/>
          </w:tcPr>
          <w:p w14:paraId="1FE4DC1D"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56%</w:t>
            </w:r>
          </w:p>
        </w:tc>
        <w:tc>
          <w:tcPr>
            <w:tcW w:w="1200" w:type="dxa"/>
            <w:tcBorders>
              <w:top w:val="nil"/>
              <w:left w:val="nil"/>
              <w:bottom w:val="single" w:sz="4" w:space="0" w:color="000000"/>
              <w:right w:val="single" w:sz="4" w:space="0" w:color="000000"/>
            </w:tcBorders>
            <w:shd w:val="clear" w:color="auto" w:fill="auto"/>
            <w:noWrap/>
            <w:vAlign w:val="bottom"/>
            <w:hideMark/>
          </w:tcPr>
          <w:p w14:paraId="29DD17C8"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6%</w:t>
            </w:r>
          </w:p>
        </w:tc>
        <w:tc>
          <w:tcPr>
            <w:tcW w:w="1200" w:type="dxa"/>
            <w:tcBorders>
              <w:top w:val="nil"/>
              <w:left w:val="nil"/>
              <w:bottom w:val="single" w:sz="4" w:space="0" w:color="000000"/>
              <w:right w:val="single" w:sz="4" w:space="0" w:color="000000"/>
            </w:tcBorders>
            <w:shd w:val="clear" w:color="auto" w:fill="auto"/>
            <w:noWrap/>
            <w:vAlign w:val="bottom"/>
            <w:hideMark/>
          </w:tcPr>
          <w:p w14:paraId="21E625EE"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0%</w:t>
            </w:r>
          </w:p>
        </w:tc>
        <w:tc>
          <w:tcPr>
            <w:tcW w:w="1200" w:type="dxa"/>
            <w:tcBorders>
              <w:top w:val="nil"/>
              <w:left w:val="nil"/>
              <w:bottom w:val="single" w:sz="4" w:space="0" w:color="000000"/>
              <w:right w:val="single" w:sz="4" w:space="0" w:color="000000"/>
            </w:tcBorders>
            <w:shd w:val="clear" w:color="auto" w:fill="auto"/>
            <w:noWrap/>
            <w:vAlign w:val="bottom"/>
            <w:hideMark/>
          </w:tcPr>
          <w:p w14:paraId="1549DFE0"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0%</w:t>
            </w:r>
          </w:p>
        </w:tc>
      </w:tr>
      <w:tr w:rsidR="00FA1574" w:rsidRPr="00FA1574" w14:paraId="28C4F669" w14:textId="77777777" w:rsidTr="00F5532B">
        <w:trPr>
          <w:trHeight w:val="113"/>
          <w:jc w:val="center"/>
        </w:trPr>
        <w:tc>
          <w:tcPr>
            <w:tcW w:w="1020" w:type="dxa"/>
            <w:tcBorders>
              <w:top w:val="nil"/>
              <w:left w:val="single" w:sz="4" w:space="0" w:color="000000"/>
              <w:bottom w:val="nil"/>
              <w:right w:val="nil"/>
            </w:tcBorders>
            <w:shd w:val="clear" w:color="auto" w:fill="D9D9D9" w:themeFill="background1" w:themeFillShade="D9"/>
            <w:noWrap/>
            <w:vAlign w:val="bottom"/>
            <w:hideMark/>
          </w:tcPr>
          <w:p w14:paraId="79C8B299"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nil"/>
              <w:left w:val="nil"/>
              <w:bottom w:val="nil"/>
              <w:right w:val="nil"/>
            </w:tcBorders>
            <w:shd w:val="clear" w:color="auto" w:fill="D9D9D9" w:themeFill="background1" w:themeFillShade="D9"/>
            <w:noWrap/>
            <w:vAlign w:val="bottom"/>
            <w:hideMark/>
          </w:tcPr>
          <w:p w14:paraId="2378941D"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63D6F22D"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481599CA"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7FB9B45E"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single" w:sz="4" w:space="0" w:color="000000"/>
            </w:tcBorders>
            <w:shd w:val="clear" w:color="auto" w:fill="D9D9D9" w:themeFill="background1" w:themeFillShade="D9"/>
            <w:noWrap/>
            <w:vAlign w:val="bottom"/>
            <w:hideMark/>
          </w:tcPr>
          <w:p w14:paraId="12498020"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 </w:t>
            </w:r>
          </w:p>
        </w:tc>
      </w:tr>
      <w:tr w:rsidR="00FA1574" w:rsidRPr="00FA1574" w14:paraId="1521E31A"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272DE91F"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Staff</w:t>
            </w:r>
          </w:p>
          <w:p w14:paraId="27550EF9"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052C2F97"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69</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0B2A7220"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76</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7668E6ED"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8</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316FFFDE"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30B7C589"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w:t>
            </w:r>
          </w:p>
        </w:tc>
      </w:tr>
      <w:tr w:rsidR="00FA1574" w:rsidRPr="00FA1574" w14:paraId="27ED44FE"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5012171D"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noWrap/>
            <w:vAlign w:val="bottom"/>
            <w:hideMark/>
          </w:tcPr>
          <w:p w14:paraId="610D95FD"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44%</w:t>
            </w:r>
          </w:p>
        </w:tc>
        <w:tc>
          <w:tcPr>
            <w:tcW w:w="1200" w:type="dxa"/>
            <w:tcBorders>
              <w:top w:val="nil"/>
              <w:left w:val="nil"/>
              <w:bottom w:val="single" w:sz="4" w:space="0" w:color="000000"/>
              <w:right w:val="single" w:sz="4" w:space="0" w:color="000000"/>
            </w:tcBorders>
            <w:shd w:val="clear" w:color="auto" w:fill="auto"/>
            <w:noWrap/>
            <w:vAlign w:val="bottom"/>
            <w:hideMark/>
          </w:tcPr>
          <w:p w14:paraId="613FFEAC"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48%</w:t>
            </w:r>
          </w:p>
        </w:tc>
        <w:tc>
          <w:tcPr>
            <w:tcW w:w="1200" w:type="dxa"/>
            <w:tcBorders>
              <w:top w:val="nil"/>
              <w:left w:val="nil"/>
              <w:bottom w:val="single" w:sz="4" w:space="0" w:color="000000"/>
              <w:right w:val="single" w:sz="4" w:space="0" w:color="000000"/>
            </w:tcBorders>
            <w:shd w:val="clear" w:color="auto" w:fill="auto"/>
            <w:noWrap/>
            <w:vAlign w:val="bottom"/>
            <w:hideMark/>
          </w:tcPr>
          <w:p w14:paraId="6F19FEAC"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5%</w:t>
            </w:r>
          </w:p>
        </w:tc>
        <w:tc>
          <w:tcPr>
            <w:tcW w:w="1200" w:type="dxa"/>
            <w:tcBorders>
              <w:top w:val="nil"/>
              <w:left w:val="nil"/>
              <w:bottom w:val="single" w:sz="4" w:space="0" w:color="000000"/>
              <w:right w:val="single" w:sz="4" w:space="0" w:color="000000"/>
            </w:tcBorders>
            <w:shd w:val="clear" w:color="auto" w:fill="auto"/>
            <w:noWrap/>
            <w:vAlign w:val="bottom"/>
            <w:hideMark/>
          </w:tcPr>
          <w:p w14:paraId="534C05CB"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w:t>
            </w:r>
          </w:p>
        </w:tc>
        <w:tc>
          <w:tcPr>
            <w:tcW w:w="1200" w:type="dxa"/>
            <w:tcBorders>
              <w:top w:val="nil"/>
              <w:left w:val="nil"/>
              <w:bottom w:val="single" w:sz="4" w:space="0" w:color="000000"/>
              <w:right w:val="single" w:sz="4" w:space="0" w:color="000000"/>
            </w:tcBorders>
            <w:shd w:val="clear" w:color="auto" w:fill="auto"/>
            <w:noWrap/>
            <w:vAlign w:val="bottom"/>
            <w:hideMark/>
          </w:tcPr>
          <w:p w14:paraId="26871996"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w:t>
            </w:r>
          </w:p>
        </w:tc>
      </w:tr>
    </w:tbl>
    <w:p w14:paraId="547C9246" w14:textId="77777777" w:rsidR="00FA1574" w:rsidRPr="00FA1574" w:rsidRDefault="00FA1574" w:rsidP="00FA1574">
      <w:pPr>
        <w:spacing w:after="160" w:line="259" w:lineRule="auto"/>
        <w:rPr>
          <w:rFonts w:ascii="Arial" w:hAnsi="Arial" w:cs="Arial"/>
          <w:b/>
          <w:bCs/>
          <w:color w:val="auto"/>
          <w:kern w:val="0"/>
          <w:sz w:val="22"/>
          <w:szCs w:val="22"/>
          <w14:ligatures w14:val="none"/>
        </w:rPr>
      </w:pPr>
    </w:p>
    <w:p w14:paraId="4A0464A4" w14:textId="77777777" w:rsidR="00FA1574" w:rsidRPr="00FA1574" w:rsidRDefault="00FA1574" w:rsidP="00FA1574">
      <w:pPr>
        <w:spacing w:after="160" w:line="259" w:lineRule="auto"/>
        <w:rPr>
          <w:rFonts w:ascii="Arial" w:hAnsi="Arial" w:cs="Arial"/>
          <w:b/>
          <w:bCs/>
          <w:color w:val="auto"/>
          <w:kern w:val="0"/>
          <w:sz w:val="20"/>
          <w:szCs w:val="20"/>
          <w14:ligatures w14:val="none"/>
        </w:rPr>
      </w:pPr>
      <w:r w:rsidRPr="00FA1574">
        <w:rPr>
          <w:rFonts w:ascii="Arial" w:hAnsi="Arial" w:cs="Arial"/>
          <w:b/>
          <w:bCs/>
          <w:color w:val="auto"/>
          <w:kern w:val="0"/>
          <w:sz w:val="20"/>
          <w:szCs w:val="20"/>
          <w14:ligatures w14:val="none"/>
        </w:rPr>
        <w:t>91% of respondents agree or strongly agree that we have accurately identified and prioritised risks.</w:t>
      </w:r>
    </w:p>
    <w:p w14:paraId="2595BFEC"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2% of respondents disagree, with 7% not sure.</w:t>
      </w:r>
    </w:p>
    <w:p w14:paraId="7CF07A20"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responses from the public, partners and staff are consistent, with no discernible difference in the level of agreement between each group.</w:t>
      </w:r>
    </w:p>
    <w:p w14:paraId="308A2313" w14:textId="77777777" w:rsidR="00FA1574" w:rsidRPr="00FA1574" w:rsidRDefault="00FA1574" w:rsidP="00FA1574">
      <w:pPr>
        <w:spacing w:after="160" w:line="259" w:lineRule="auto"/>
        <w:rPr>
          <w:rFonts w:ascii="Arial" w:hAnsi="Arial" w:cs="Arial"/>
          <w:b/>
          <w:bCs/>
          <w:color w:val="auto"/>
          <w:kern w:val="0"/>
          <w:sz w:val="22"/>
          <w:szCs w:val="22"/>
          <w14:ligatures w14:val="none"/>
        </w:rPr>
      </w:pPr>
    </w:p>
    <w:p w14:paraId="3E7056B6" w14:textId="77777777" w:rsidR="00FA1574" w:rsidRPr="00FA1574" w:rsidRDefault="00FA1574" w:rsidP="00FA1574">
      <w:pPr>
        <w:numPr>
          <w:ilvl w:val="0"/>
          <w:numId w:val="53"/>
        </w:numPr>
        <w:spacing w:after="160" w:line="278" w:lineRule="auto"/>
        <w:contextualSpacing/>
        <w:rPr>
          <w:rFonts w:ascii="Arial" w:hAnsi="Arial" w:cs="Arial"/>
          <w:b/>
          <w:bCs/>
          <w:color w:val="auto"/>
          <w:kern w:val="0"/>
          <w:sz w:val="28"/>
          <w:szCs w:val="28"/>
          <w14:ligatures w14:val="none"/>
        </w:rPr>
      </w:pPr>
      <w:r w:rsidRPr="00FA1574">
        <w:rPr>
          <w:rFonts w:ascii="Arial" w:hAnsi="Arial" w:cs="Arial"/>
          <w:b/>
          <w:bCs/>
          <w:color w:val="auto"/>
          <w:kern w:val="0"/>
          <w:sz w:val="28"/>
          <w:szCs w:val="28"/>
          <w14:ligatures w14:val="none"/>
        </w:rPr>
        <w:t>Keeping the Community Safe</w:t>
      </w:r>
    </w:p>
    <w:tbl>
      <w:tblPr>
        <w:tblW w:w="7020" w:type="dxa"/>
        <w:jc w:val="center"/>
        <w:tblLook w:val="04A0" w:firstRow="1" w:lastRow="0" w:firstColumn="1" w:lastColumn="0" w:noHBand="0" w:noVBand="1"/>
      </w:tblPr>
      <w:tblGrid>
        <w:gridCol w:w="1672"/>
        <w:gridCol w:w="1200"/>
        <w:gridCol w:w="1200"/>
        <w:gridCol w:w="1200"/>
        <w:gridCol w:w="1200"/>
        <w:gridCol w:w="1200"/>
      </w:tblGrid>
      <w:tr w:rsidR="00FA1574" w:rsidRPr="00FA1574" w14:paraId="2ADE28E3" w14:textId="77777777" w:rsidTr="00F5532B">
        <w:trPr>
          <w:trHeight w:val="533"/>
          <w:jc w:val="center"/>
        </w:trPr>
        <w:tc>
          <w:tcPr>
            <w:tcW w:w="1020" w:type="dxa"/>
            <w:tcBorders>
              <w:top w:val="nil"/>
              <w:left w:val="nil"/>
              <w:bottom w:val="nil"/>
              <w:right w:val="nil"/>
            </w:tcBorders>
            <w:shd w:val="clear" w:color="auto" w:fill="auto"/>
            <w:noWrap/>
            <w:vAlign w:val="bottom"/>
            <w:hideMark/>
          </w:tcPr>
          <w:p w14:paraId="76BB508B" w14:textId="77777777" w:rsidR="00FA1574" w:rsidRPr="00FA1574" w:rsidRDefault="00FA1574" w:rsidP="00FA1574">
            <w:pPr>
              <w:rPr>
                <w:rFonts w:ascii="Times New Roman" w:eastAsia="Times New Roman" w:hAnsi="Times New Roman" w:cs="Times New Roman"/>
                <w:color w:val="auto"/>
                <w:kern w:val="0"/>
                <w:sz w:val="22"/>
                <w:szCs w:val="22"/>
                <w:lang w:eastAsia="en-GB"/>
                <w14:ligatures w14:val="none"/>
              </w:rPr>
            </w:pPr>
            <w:r w:rsidRPr="00FA1574">
              <w:rPr>
                <w:rFonts w:ascii="Arial" w:hAnsi="Arial" w:cs="Arial"/>
                <w:color w:val="000000" w:themeColor="text1"/>
                <w:kern w:val="0"/>
                <w:sz w:val="22"/>
                <w:szCs w:val="22"/>
                <w14:ligatures w14:val="none"/>
              </w:rPr>
              <w:t xml:space="preserve">Participants were asked: </w:t>
            </w:r>
            <w:r w:rsidRPr="00FA1574">
              <w:rPr>
                <w:rFonts w:ascii="Arial" w:hAnsi="Arial" w:cs="Arial"/>
                <w:color w:val="000000" w:themeColor="text1"/>
                <w:kern w:val="0"/>
                <w:sz w:val="22"/>
                <w:szCs w:val="22"/>
                <w:shd w:val="clear" w:color="auto" w:fill="FFFFFF"/>
                <w14:ligatures w14:val="none"/>
              </w:rPr>
              <w:t>“To what extent do you agree that our plans under this goal will help you and others in your community stay safe from fires or other emergencies?”</w:t>
            </w:r>
          </w:p>
        </w:tc>
        <w:tc>
          <w:tcPr>
            <w:tcW w:w="6000" w:type="dxa"/>
            <w:gridSpan w:val="5"/>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B0DC8D4"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To what extent do you agree that our plans under this goal will help you and others in your community stay safe from fires or other emergencies</w:t>
            </w:r>
          </w:p>
        </w:tc>
      </w:tr>
      <w:tr w:rsidR="00FA1574" w:rsidRPr="00FA1574" w14:paraId="2E0B6135" w14:textId="77777777" w:rsidTr="00F5532B">
        <w:trPr>
          <w:trHeight w:val="945"/>
          <w:jc w:val="center"/>
        </w:trPr>
        <w:tc>
          <w:tcPr>
            <w:tcW w:w="1020" w:type="dxa"/>
            <w:tcBorders>
              <w:top w:val="nil"/>
              <w:left w:val="nil"/>
              <w:bottom w:val="nil"/>
              <w:right w:val="nil"/>
            </w:tcBorders>
            <w:shd w:val="clear" w:color="auto" w:fill="auto"/>
            <w:noWrap/>
            <w:vAlign w:val="bottom"/>
            <w:hideMark/>
          </w:tcPr>
          <w:p w14:paraId="27D344F6"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6F09698E" w14:textId="77777777" w:rsidR="00FA1574" w:rsidRPr="00FA1574" w:rsidRDefault="00FA1574" w:rsidP="00FA1574">
            <w:pPr>
              <w:rPr>
                <w:rFonts w:ascii="Calibri" w:eastAsia="Times New Roman" w:hAnsi="Calibri" w:cs="Calibri"/>
                <w:b/>
                <w:bCs/>
                <w:color w:val="000000"/>
                <w:kern w:val="0"/>
                <w:sz w:val="22"/>
                <w:szCs w:val="22"/>
                <w:lang w:eastAsia="en-GB"/>
                <w14:ligatures w14:val="none"/>
              </w:rPr>
            </w:pPr>
            <w:r w:rsidRPr="00FA1574">
              <w:rPr>
                <w:rFonts w:ascii="Calibri" w:eastAsia="Times New Roman" w:hAnsi="Calibri" w:cs="Calibri"/>
                <w:b/>
                <w:bCs/>
                <w:color w:val="000000"/>
                <w:kern w:val="0"/>
                <w:sz w:val="22"/>
                <w:szCs w:val="22"/>
                <w:lang w:eastAsia="en-GB"/>
                <w14:ligatures w14:val="none"/>
              </w:rPr>
              <w:t>Strongly agree</w:t>
            </w:r>
          </w:p>
        </w:tc>
        <w:tc>
          <w:tcPr>
            <w:tcW w:w="1200" w:type="dxa"/>
            <w:tcBorders>
              <w:top w:val="nil"/>
              <w:left w:val="nil"/>
              <w:bottom w:val="single" w:sz="4" w:space="0" w:color="000000"/>
              <w:right w:val="single" w:sz="4" w:space="0" w:color="000000"/>
            </w:tcBorders>
            <w:shd w:val="clear" w:color="auto" w:fill="auto"/>
            <w:vAlign w:val="center"/>
            <w:hideMark/>
          </w:tcPr>
          <w:p w14:paraId="572364C5" w14:textId="77777777" w:rsidR="00FA1574" w:rsidRPr="00FA1574" w:rsidRDefault="00FA1574" w:rsidP="00FA1574">
            <w:pPr>
              <w:rPr>
                <w:rFonts w:ascii="Calibri" w:eastAsia="Times New Roman" w:hAnsi="Calibri" w:cs="Calibri"/>
                <w:b/>
                <w:bCs/>
                <w:color w:val="000000"/>
                <w:kern w:val="0"/>
                <w:sz w:val="22"/>
                <w:szCs w:val="22"/>
                <w:lang w:eastAsia="en-GB"/>
                <w14:ligatures w14:val="none"/>
              </w:rPr>
            </w:pPr>
            <w:r w:rsidRPr="00FA1574">
              <w:rPr>
                <w:rFonts w:ascii="Calibri" w:eastAsia="Times New Roman" w:hAnsi="Calibri" w:cs="Calibri"/>
                <w:b/>
                <w:bCs/>
                <w:color w:val="000000"/>
                <w:kern w:val="0"/>
                <w:sz w:val="22"/>
                <w:szCs w:val="22"/>
                <w:lang w:eastAsia="en-GB"/>
                <w14:ligatures w14:val="none"/>
              </w:rPr>
              <w:t>Agree</w:t>
            </w:r>
          </w:p>
        </w:tc>
        <w:tc>
          <w:tcPr>
            <w:tcW w:w="1200" w:type="dxa"/>
            <w:tcBorders>
              <w:top w:val="nil"/>
              <w:left w:val="nil"/>
              <w:bottom w:val="single" w:sz="4" w:space="0" w:color="000000"/>
              <w:right w:val="single" w:sz="4" w:space="0" w:color="000000"/>
            </w:tcBorders>
            <w:shd w:val="clear" w:color="auto" w:fill="auto"/>
            <w:vAlign w:val="center"/>
            <w:hideMark/>
          </w:tcPr>
          <w:p w14:paraId="03DDC0E6" w14:textId="77777777" w:rsidR="00FA1574" w:rsidRPr="00FA1574" w:rsidRDefault="00FA1574" w:rsidP="00FA1574">
            <w:pPr>
              <w:rPr>
                <w:rFonts w:ascii="Calibri" w:eastAsia="Times New Roman" w:hAnsi="Calibri" w:cs="Calibri"/>
                <w:b/>
                <w:bCs/>
                <w:color w:val="000000"/>
                <w:kern w:val="0"/>
                <w:sz w:val="22"/>
                <w:szCs w:val="22"/>
                <w:lang w:eastAsia="en-GB"/>
                <w14:ligatures w14:val="none"/>
              </w:rPr>
            </w:pPr>
            <w:r w:rsidRPr="00FA1574">
              <w:rPr>
                <w:rFonts w:ascii="Calibri" w:eastAsia="Times New Roman" w:hAnsi="Calibri" w:cs="Calibri"/>
                <w:b/>
                <w:bCs/>
                <w:color w:val="000000"/>
                <w:kern w:val="0"/>
                <w:sz w:val="22"/>
                <w:szCs w:val="22"/>
                <w:lang w:eastAsia="en-GB"/>
                <w14:ligatures w14:val="none"/>
              </w:rPr>
              <w:t>Neither agree nor disagree</w:t>
            </w:r>
          </w:p>
        </w:tc>
        <w:tc>
          <w:tcPr>
            <w:tcW w:w="1200" w:type="dxa"/>
            <w:tcBorders>
              <w:top w:val="nil"/>
              <w:left w:val="nil"/>
              <w:bottom w:val="single" w:sz="4" w:space="0" w:color="000000"/>
              <w:right w:val="single" w:sz="4" w:space="0" w:color="000000"/>
            </w:tcBorders>
            <w:shd w:val="clear" w:color="auto" w:fill="auto"/>
            <w:vAlign w:val="center"/>
            <w:hideMark/>
          </w:tcPr>
          <w:p w14:paraId="6D3DD72C" w14:textId="77777777" w:rsidR="00FA1574" w:rsidRPr="00FA1574" w:rsidRDefault="00FA1574" w:rsidP="00FA1574">
            <w:pPr>
              <w:rPr>
                <w:rFonts w:ascii="Calibri" w:eastAsia="Times New Roman" w:hAnsi="Calibri" w:cs="Calibri"/>
                <w:b/>
                <w:bCs/>
                <w:color w:val="000000"/>
                <w:kern w:val="0"/>
                <w:sz w:val="22"/>
                <w:szCs w:val="22"/>
                <w:lang w:eastAsia="en-GB"/>
                <w14:ligatures w14:val="none"/>
              </w:rPr>
            </w:pPr>
            <w:r w:rsidRPr="00FA1574">
              <w:rPr>
                <w:rFonts w:ascii="Calibri" w:eastAsia="Times New Roman" w:hAnsi="Calibri" w:cs="Calibri"/>
                <w:b/>
                <w:bCs/>
                <w:color w:val="000000"/>
                <w:kern w:val="0"/>
                <w:sz w:val="22"/>
                <w:szCs w:val="22"/>
                <w:lang w:eastAsia="en-GB"/>
                <w14:ligatures w14:val="none"/>
              </w:rPr>
              <w:t>Disagree</w:t>
            </w:r>
          </w:p>
        </w:tc>
        <w:tc>
          <w:tcPr>
            <w:tcW w:w="1200" w:type="dxa"/>
            <w:tcBorders>
              <w:top w:val="nil"/>
              <w:left w:val="nil"/>
              <w:bottom w:val="single" w:sz="4" w:space="0" w:color="000000"/>
              <w:right w:val="single" w:sz="4" w:space="0" w:color="000000"/>
            </w:tcBorders>
            <w:shd w:val="clear" w:color="auto" w:fill="auto"/>
            <w:vAlign w:val="center"/>
            <w:hideMark/>
          </w:tcPr>
          <w:p w14:paraId="7874A5D9" w14:textId="77777777" w:rsidR="00FA1574" w:rsidRPr="00FA1574" w:rsidRDefault="00FA1574" w:rsidP="00FA1574">
            <w:pPr>
              <w:rPr>
                <w:rFonts w:ascii="Calibri" w:eastAsia="Times New Roman" w:hAnsi="Calibri" w:cs="Calibri"/>
                <w:b/>
                <w:bCs/>
                <w:color w:val="000000"/>
                <w:kern w:val="0"/>
                <w:sz w:val="22"/>
                <w:szCs w:val="22"/>
                <w:lang w:eastAsia="en-GB"/>
                <w14:ligatures w14:val="none"/>
              </w:rPr>
            </w:pPr>
            <w:r w:rsidRPr="00FA1574">
              <w:rPr>
                <w:rFonts w:ascii="Calibri" w:eastAsia="Times New Roman" w:hAnsi="Calibri" w:cs="Calibri"/>
                <w:b/>
                <w:bCs/>
                <w:color w:val="000000"/>
                <w:kern w:val="0"/>
                <w:sz w:val="22"/>
                <w:szCs w:val="22"/>
                <w:lang w:eastAsia="en-GB"/>
                <w14:ligatures w14:val="none"/>
              </w:rPr>
              <w:t>Strongly disagree</w:t>
            </w:r>
          </w:p>
        </w:tc>
      </w:tr>
      <w:tr w:rsidR="00FA1574" w:rsidRPr="00FA1574" w14:paraId="0BC79095"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059CECF9"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Total</w:t>
            </w:r>
          </w:p>
          <w:p w14:paraId="703BC134"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nil"/>
              <w:left w:val="nil"/>
              <w:bottom w:val="single" w:sz="4" w:space="0" w:color="000000"/>
              <w:right w:val="single" w:sz="4" w:space="0" w:color="000000"/>
            </w:tcBorders>
            <w:shd w:val="clear" w:color="auto" w:fill="auto"/>
            <w:vAlign w:val="center"/>
            <w:hideMark/>
          </w:tcPr>
          <w:p w14:paraId="3F6FE34C"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286</w:t>
            </w:r>
          </w:p>
        </w:tc>
        <w:tc>
          <w:tcPr>
            <w:tcW w:w="1200" w:type="dxa"/>
            <w:tcBorders>
              <w:top w:val="nil"/>
              <w:left w:val="nil"/>
              <w:bottom w:val="single" w:sz="4" w:space="0" w:color="000000"/>
              <w:right w:val="single" w:sz="4" w:space="0" w:color="000000"/>
            </w:tcBorders>
            <w:shd w:val="clear" w:color="auto" w:fill="auto"/>
            <w:vAlign w:val="center"/>
            <w:hideMark/>
          </w:tcPr>
          <w:p w14:paraId="426FBABE"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304</w:t>
            </w:r>
          </w:p>
        </w:tc>
        <w:tc>
          <w:tcPr>
            <w:tcW w:w="1200" w:type="dxa"/>
            <w:tcBorders>
              <w:top w:val="nil"/>
              <w:left w:val="nil"/>
              <w:bottom w:val="single" w:sz="4" w:space="0" w:color="000000"/>
              <w:right w:val="single" w:sz="4" w:space="0" w:color="000000"/>
            </w:tcBorders>
            <w:shd w:val="clear" w:color="auto" w:fill="auto"/>
            <w:vAlign w:val="center"/>
            <w:hideMark/>
          </w:tcPr>
          <w:p w14:paraId="535BE696"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43</w:t>
            </w:r>
          </w:p>
        </w:tc>
        <w:tc>
          <w:tcPr>
            <w:tcW w:w="1200" w:type="dxa"/>
            <w:tcBorders>
              <w:top w:val="nil"/>
              <w:left w:val="nil"/>
              <w:bottom w:val="single" w:sz="4" w:space="0" w:color="000000"/>
              <w:right w:val="single" w:sz="4" w:space="0" w:color="000000"/>
            </w:tcBorders>
            <w:shd w:val="clear" w:color="auto" w:fill="auto"/>
            <w:vAlign w:val="center"/>
            <w:hideMark/>
          </w:tcPr>
          <w:p w14:paraId="07A9E0FC"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7</w:t>
            </w:r>
          </w:p>
        </w:tc>
        <w:tc>
          <w:tcPr>
            <w:tcW w:w="1200" w:type="dxa"/>
            <w:tcBorders>
              <w:top w:val="nil"/>
              <w:left w:val="nil"/>
              <w:bottom w:val="single" w:sz="4" w:space="0" w:color="000000"/>
              <w:right w:val="single" w:sz="4" w:space="0" w:color="000000"/>
            </w:tcBorders>
            <w:shd w:val="clear" w:color="auto" w:fill="auto"/>
            <w:vAlign w:val="center"/>
            <w:hideMark/>
          </w:tcPr>
          <w:p w14:paraId="1B28EAE2"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6</w:t>
            </w:r>
          </w:p>
        </w:tc>
      </w:tr>
      <w:tr w:rsidR="00FA1574" w:rsidRPr="00FA1574" w14:paraId="1FEB1DE0"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02026B9D"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vAlign w:val="center"/>
            <w:hideMark/>
          </w:tcPr>
          <w:p w14:paraId="31E72474"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44%</w:t>
            </w:r>
          </w:p>
        </w:tc>
        <w:tc>
          <w:tcPr>
            <w:tcW w:w="1200" w:type="dxa"/>
            <w:tcBorders>
              <w:top w:val="nil"/>
              <w:left w:val="nil"/>
              <w:bottom w:val="single" w:sz="4" w:space="0" w:color="000000"/>
              <w:right w:val="single" w:sz="4" w:space="0" w:color="000000"/>
            </w:tcBorders>
            <w:shd w:val="clear" w:color="auto" w:fill="auto"/>
            <w:vAlign w:val="center"/>
            <w:hideMark/>
          </w:tcPr>
          <w:p w14:paraId="0B6E3563"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47%</w:t>
            </w:r>
          </w:p>
        </w:tc>
        <w:tc>
          <w:tcPr>
            <w:tcW w:w="1200" w:type="dxa"/>
            <w:tcBorders>
              <w:top w:val="nil"/>
              <w:left w:val="nil"/>
              <w:bottom w:val="single" w:sz="4" w:space="0" w:color="000000"/>
              <w:right w:val="single" w:sz="4" w:space="0" w:color="000000"/>
            </w:tcBorders>
            <w:shd w:val="clear" w:color="auto" w:fill="auto"/>
            <w:vAlign w:val="center"/>
            <w:hideMark/>
          </w:tcPr>
          <w:p w14:paraId="1E02C6C6"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7%</w:t>
            </w:r>
          </w:p>
        </w:tc>
        <w:tc>
          <w:tcPr>
            <w:tcW w:w="1200" w:type="dxa"/>
            <w:tcBorders>
              <w:top w:val="nil"/>
              <w:left w:val="nil"/>
              <w:bottom w:val="single" w:sz="4" w:space="0" w:color="000000"/>
              <w:right w:val="single" w:sz="4" w:space="0" w:color="000000"/>
            </w:tcBorders>
            <w:shd w:val="clear" w:color="auto" w:fill="auto"/>
            <w:vAlign w:val="center"/>
            <w:hideMark/>
          </w:tcPr>
          <w:p w14:paraId="6B90490F"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w:t>
            </w:r>
          </w:p>
        </w:tc>
        <w:tc>
          <w:tcPr>
            <w:tcW w:w="1200" w:type="dxa"/>
            <w:tcBorders>
              <w:top w:val="nil"/>
              <w:left w:val="nil"/>
              <w:bottom w:val="single" w:sz="4" w:space="0" w:color="000000"/>
              <w:right w:val="single" w:sz="4" w:space="0" w:color="000000"/>
            </w:tcBorders>
            <w:shd w:val="clear" w:color="auto" w:fill="auto"/>
            <w:vAlign w:val="center"/>
            <w:hideMark/>
          </w:tcPr>
          <w:p w14:paraId="194FA7F5"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w:t>
            </w:r>
          </w:p>
        </w:tc>
      </w:tr>
      <w:tr w:rsidR="00FA1574" w:rsidRPr="00FA1574" w14:paraId="20D78D34" w14:textId="77777777" w:rsidTr="00F5532B">
        <w:trPr>
          <w:trHeight w:val="263"/>
          <w:jc w:val="center"/>
        </w:trPr>
        <w:tc>
          <w:tcPr>
            <w:tcW w:w="7020" w:type="dxa"/>
            <w:gridSpan w:val="6"/>
            <w:tcBorders>
              <w:top w:val="nil"/>
              <w:left w:val="single" w:sz="4" w:space="0" w:color="000000"/>
              <w:bottom w:val="nil"/>
              <w:right w:val="single" w:sz="4" w:space="0" w:color="000000"/>
            </w:tcBorders>
            <w:shd w:val="clear" w:color="auto" w:fill="D9D9D9" w:themeFill="background1" w:themeFillShade="D9"/>
            <w:noWrap/>
            <w:vAlign w:val="bottom"/>
            <w:hideMark/>
          </w:tcPr>
          <w:p w14:paraId="19E5D2E0"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r>
      <w:tr w:rsidR="00FA1574" w:rsidRPr="00FA1574" w14:paraId="6DF1CBF9"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0850D5B7"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Public</w:t>
            </w:r>
          </w:p>
          <w:p w14:paraId="20238E72"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0F1C7167"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185</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5137228E"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189</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4B358CE2"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29</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606A9823"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745B4EFA"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3</w:t>
            </w:r>
          </w:p>
        </w:tc>
      </w:tr>
      <w:tr w:rsidR="00FA1574" w:rsidRPr="00FA1574" w14:paraId="254E1E47"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702AF2BC"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noWrap/>
            <w:vAlign w:val="bottom"/>
            <w:hideMark/>
          </w:tcPr>
          <w:p w14:paraId="3AAF0A10"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45%</w:t>
            </w:r>
          </w:p>
        </w:tc>
        <w:tc>
          <w:tcPr>
            <w:tcW w:w="1200" w:type="dxa"/>
            <w:tcBorders>
              <w:top w:val="nil"/>
              <w:left w:val="nil"/>
              <w:bottom w:val="single" w:sz="4" w:space="0" w:color="000000"/>
              <w:right w:val="single" w:sz="4" w:space="0" w:color="000000"/>
            </w:tcBorders>
            <w:shd w:val="clear" w:color="auto" w:fill="auto"/>
            <w:noWrap/>
            <w:vAlign w:val="bottom"/>
            <w:hideMark/>
          </w:tcPr>
          <w:p w14:paraId="6821D3B6"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46%</w:t>
            </w:r>
          </w:p>
        </w:tc>
        <w:tc>
          <w:tcPr>
            <w:tcW w:w="1200" w:type="dxa"/>
            <w:tcBorders>
              <w:top w:val="nil"/>
              <w:left w:val="nil"/>
              <w:bottom w:val="single" w:sz="4" w:space="0" w:color="000000"/>
              <w:right w:val="single" w:sz="4" w:space="0" w:color="000000"/>
            </w:tcBorders>
            <w:shd w:val="clear" w:color="auto" w:fill="auto"/>
            <w:noWrap/>
            <w:vAlign w:val="bottom"/>
            <w:hideMark/>
          </w:tcPr>
          <w:p w14:paraId="74C3ED64"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7%</w:t>
            </w:r>
          </w:p>
        </w:tc>
        <w:tc>
          <w:tcPr>
            <w:tcW w:w="1200" w:type="dxa"/>
            <w:tcBorders>
              <w:top w:val="nil"/>
              <w:left w:val="nil"/>
              <w:bottom w:val="single" w:sz="4" w:space="0" w:color="000000"/>
              <w:right w:val="single" w:sz="4" w:space="0" w:color="000000"/>
            </w:tcBorders>
            <w:shd w:val="clear" w:color="auto" w:fill="auto"/>
            <w:noWrap/>
            <w:vAlign w:val="bottom"/>
            <w:hideMark/>
          </w:tcPr>
          <w:p w14:paraId="1B771456"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w:t>
            </w:r>
          </w:p>
        </w:tc>
        <w:tc>
          <w:tcPr>
            <w:tcW w:w="1200" w:type="dxa"/>
            <w:tcBorders>
              <w:top w:val="nil"/>
              <w:left w:val="nil"/>
              <w:bottom w:val="single" w:sz="4" w:space="0" w:color="000000"/>
              <w:right w:val="single" w:sz="4" w:space="0" w:color="000000"/>
            </w:tcBorders>
            <w:shd w:val="clear" w:color="auto" w:fill="auto"/>
            <w:noWrap/>
            <w:vAlign w:val="bottom"/>
            <w:hideMark/>
          </w:tcPr>
          <w:p w14:paraId="4253D639"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w:t>
            </w:r>
          </w:p>
        </w:tc>
      </w:tr>
      <w:tr w:rsidR="00FA1574" w:rsidRPr="00FA1574" w14:paraId="0184B647" w14:textId="77777777" w:rsidTr="00F5532B">
        <w:trPr>
          <w:trHeight w:val="263"/>
          <w:jc w:val="center"/>
        </w:trPr>
        <w:tc>
          <w:tcPr>
            <w:tcW w:w="1020" w:type="dxa"/>
            <w:tcBorders>
              <w:top w:val="nil"/>
              <w:left w:val="single" w:sz="4" w:space="0" w:color="000000"/>
              <w:bottom w:val="nil"/>
              <w:right w:val="nil"/>
            </w:tcBorders>
            <w:shd w:val="clear" w:color="auto" w:fill="D9D9D9" w:themeFill="background1" w:themeFillShade="D9"/>
            <w:noWrap/>
            <w:vAlign w:val="bottom"/>
            <w:hideMark/>
          </w:tcPr>
          <w:p w14:paraId="40EC4DE7"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nil"/>
              <w:left w:val="nil"/>
              <w:bottom w:val="nil"/>
              <w:right w:val="nil"/>
            </w:tcBorders>
            <w:shd w:val="clear" w:color="auto" w:fill="D9D9D9" w:themeFill="background1" w:themeFillShade="D9"/>
            <w:noWrap/>
            <w:vAlign w:val="bottom"/>
            <w:hideMark/>
          </w:tcPr>
          <w:p w14:paraId="44757507"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69176CC6"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42B4E2F6"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3073DAF3"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single" w:sz="4" w:space="0" w:color="000000"/>
            </w:tcBorders>
            <w:shd w:val="clear" w:color="auto" w:fill="D9D9D9" w:themeFill="background1" w:themeFillShade="D9"/>
            <w:noWrap/>
            <w:vAlign w:val="bottom"/>
            <w:hideMark/>
          </w:tcPr>
          <w:p w14:paraId="67A35F1C"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 </w:t>
            </w:r>
          </w:p>
        </w:tc>
      </w:tr>
      <w:tr w:rsidR="00FA1574" w:rsidRPr="00FA1574" w14:paraId="61A901F3"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5B5173FE"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lastRenderedPageBreak/>
              <w:t>Partners</w:t>
            </w:r>
          </w:p>
          <w:p w14:paraId="5EDBCBF0"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312B9460"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12</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6FE7E6B6"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18</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2E8ACB08"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1D9BAF93"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0</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78AB60AF"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0</w:t>
            </w:r>
          </w:p>
        </w:tc>
      </w:tr>
      <w:tr w:rsidR="00FA1574" w:rsidRPr="00FA1574" w14:paraId="0F31B649"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2BBCA22B"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noWrap/>
            <w:vAlign w:val="bottom"/>
            <w:hideMark/>
          </w:tcPr>
          <w:p w14:paraId="7EA60BC2"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38%</w:t>
            </w:r>
          </w:p>
        </w:tc>
        <w:tc>
          <w:tcPr>
            <w:tcW w:w="1200" w:type="dxa"/>
            <w:tcBorders>
              <w:top w:val="nil"/>
              <w:left w:val="nil"/>
              <w:bottom w:val="single" w:sz="4" w:space="0" w:color="000000"/>
              <w:right w:val="single" w:sz="4" w:space="0" w:color="000000"/>
            </w:tcBorders>
            <w:shd w:val="clear" w:color="auto" w:fill="auto"/>
            <w:noWrap/>
            <w:vAlign w:val="bottom"/>
            <w:hideMark/>
          </w:tcPr>
          <w:p w14:paraId="431DFDE6"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56%</w:t>
            </w:r>
          </w:p>
        </w:tc>
        <w:tc>
          <w:tcPr>
            <w:tcW w:w="1200" w:type="dxa"/>
            <w:tcBorders>
              <w:top w:val="nil"/>
              <w:left w:val="nil"/>
              <w:bottom w:val="single" w:sz="4" w:space="0" w:color="000000"/>
              <w:right w:val="single" w:sz="4" w:space="0" w:color="000000"/>
            </w:tcBorders>
            <w:shd w:val="clear" w:color="auto" w:fill="auto"/>
            <w:noWrap/>
            <w:vAlign w:val="bottom"/>
            <w:hideMark/>
          </w:tcPr>
          <w:p w14:paraId="70A23419"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6%</w:t>
            </w:r>
          </w:p>
        </w:tc>
        <w:tc>
          <w:tcPr>
            <w:tcW w:w="1200" w:type="dxa"/>
            <w:tcBorders>
              <w:top w:val="nil"/>
              <w:left w:val="nil"/>
              <w:bottom w:val="single" w:sz="4" w:space="0" w:color="000000"/>
              <w:right w:val="single" w:sz="4" w:space="0" w:color="000000"/>
            </w:tcBorders>
            <w:shd w:val="clear" w:color="auto" w:fill="auto"/>
            <w:noWrap/>
            <w:vAlign w:val="bottom"/>
            <w:hideMark/>
          </w:tcPr>
          <w:p w14:paraId="19B5913B"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0%</w:t>
            </w:r>
          </w:p>
        </w:tc>
        <w:tc>
          <w:tcPr>
            <w:tcW w:w="1200" w:type="dxa"/>
            <w:tcBorders>
              <w:top w:val="nil"/>
              <w:left w:val="nil"/>
              <w:bottom w:val="single" w:sz="4" w:space="0" w:color="000000"/>
              <w:right w:val="single" w:sz="4" w:space="0" w:color="000000"/>
            </w:tcBorders>
            <w:shd w:val="clear" w:color="auto" w:fill="auto"/>
            <w:noWrap/>
            <w:vAlign w:val="bottom"/>
            <w:hideMark/>
          </w:tcPr>
          <w:p w14:paraId="65913882"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0%</w:t>
            </w:r>
          </w:p>
        </w:tc>
      </w:tr>
      <w:tr w:rsidR="00FA1574" w:rsidRPr="00FA1574" w14:paraId="2658ED21" w14:textId="77777777" w:rsidTr="00F5532B">
        <w:trPr>
          <w:trHeight w:val="263"/>
          <w:jc w:val="center"/>
        </w:trPr>
        <w:tc>
          <w:tcPr>
            <w:tcW w:w="1020" w:type="dxa"/>
            <w:tcBorders>
              <w:top w:val="nil"/>
              <w:left w:val="single" w:sz="4" w:space="0" w:color="000000"/>
              <w:bottom w:val="nil"/>
              <w:right w:val="nil"/>
            </w:tcBorders>
            <w:shd w:val="clear" w:color="auto" w:fill="D9D9D9" w:themeFill="background1" w:themeFillShade="D9"/>
            <w:noWrap/>
            <w:vAlign w:val="bottom"/>
            <w:hideMark/>
          </w:tcPr>
          <w:p w14:paraId="012AC6F2"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nil"/>
              <w:left w:val="nil"/>
              <w:bottom w:val="nil"/>
              <w:right w:val="nil"/>
            </w:tcBorders>
            <w:shd w:val="clear" w:color="auto" w:fill="D9D9D9" w:themeFill="background1" w:themeFillShade="D9"/>
            <w:noWrap/>
            <w:vAlign w:val="bottom"/>
            <w:hideMark/>
          </w:tcPr>
          <w:p w14:paraId="611EDCC5"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78086DDF"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766BF66D"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26D99B86"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single" w:sz="4" w:space="0" w:color="000000"/>
            </w:tcBorders>
            <w:shd w:val="clear" w:color="auto" w:fill="D9D9D9" w:themeFill="background1" w:themeFillShade="D9"/>
            <w:noWrap/>
            <w:vAlign w:val="bottom"/>
            <w:hideMark/>
          </w:tcPr>
          <w:p w14:paraId="05303B20"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 </w:t>
            </w:r>
          </w:p>
        </w:tc>
      </w:tr>
      <w:tr w:rsidR="00FA1574" w:rsidRPr="00FA1574" w14:paraId="4530C767"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3C8DCECD"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Staff</w:t>
            </w:r>
          </w:p>
          <w:p w14:paraId="274350B6"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5C7C1F78"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69</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20D03821"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76</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6F06154A"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8</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576BA6C7"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57E9F38A"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w:t>
            </w:r>
          </w:p>
        </w:tc>
      </w:tr>
      <w:tr w:rsidR="00FA1574" w:rsidRPr="00FA1574" w14:paraId="5A6D15CD"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7B5EA530"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noWrap/>
            <w:vAlign w:val="bottom"/>
            <w:hideMark/>
          </w:tcPr>
          <w:p w14:paraId="78F41C6B"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44%</w:t>
            </w:r>
          </w:p>
        </w:tc>
        <w:tc>
          <w:tcPr>
            <w:tcW w:w="1200" w:type="dxa"/>
            <w:tcBorders>
              <w:top w:val="nil"/>
              <w:left w:val="nil"/>
              <w:bottom w:val="single" w:sz="4" w:space="0" w:color="000000"/>
              <w:right w:val="single" w:sz="4" w:space="0" w:color="000000"/>
            </w:tcBorders>
            <w:shd w:val="clear" w:color="auto" w:fill="auto"/>
            <w:noWrap/>
            <w:vAlign w:val="bottom"/>
            <w:hideMark/>
          </w:tcPr>
          <w:p w14:paraId="47F329FC"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48%</w:t>
            </w:r>
          </w:p>
        </w:tc>
        <w:tc>
          <w:tcPr>
            <w:tcW w:w="1200" w:type="dxa"/>
            <w:tcBorders>
              <w:top w:val="nil"/>
              <w:left w:val="nil"/>
              <w:bottom w:val="single" w:sz="4" w:space="0" w:color="000000"/>
              <w:right w:val="single" w:sz="4" w:space="0" w:color="000000"/>
            </w:tcBorders>
            <w:shd w:val="clear" w:color="auto" w:fill="auto"/>
            <w:noWrap/>
            <w:vAlign w:val="bottom"/>
            <w:hideMark/>
          </w:tcPr>
          <w:p w14:paraId="569E7ECA"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5%</w:t>
            </w:r>
          </w:p>
        </w:tc>
        <w:tc>
          <w:tcPr>
            <w:tcW w:w="1200" w:type="dxa"/>
            <w:tcBorders>
              <w:top w:val="nil"/>
              <w:left w:val="nil"/>
              <w:bottom w:val="single" w:sz="4" w:space="0" w:color="000000"/>
              <w:right w:val="single" w:sz="4" w:space="0" w:color="000000"/>
            </w:tcBorders>
            <w:shd w:val="clear" w:color="auto" w:fill="auto"/>
            <w:noWrap/>
            <w:vAlign w:val="bottom"/>
            <w:hideMark/>
          </w:tcPr>
          <w:p w14:paraId="1972E7D9"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w:t>
            </w:r>
          </w:p>
        </w:tc>
        <w:tc>
          <w:tcPr>
            <w:tcW w:w="1200" w:type="dxa"/>
            <w:tcBorders>
              <w:top w:val="nil"/>
              <w:left w:val="nil"/>
              <w:bottom w:val="single" w:sz="4" w:space="0" w:color="000000"/>
              <w:right w:val="single" w:sz="4" w:space="0" w:color="000000"/>
            </w:tcBorders>
            <w:shd w:val="clear" w:color="auto" w:fill="auto"/>
            <w:noWrap/>
            <w:vAlign w:val="bottom"/>
            <w:hideMark/>
          </w:tcPr>
          <w:p w14:paraId="683528DA"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w:t>
            </w:r>
          </w:p>
        </w:tc>
      </w:tr>
    </w:tbl>
    <w:p w14:paraId="25EA34D0" w14:textId="77777777" w:rsidR="00FA1574" w:rsidRPr="00FA1574" w:rsidRDefault="00FA1574" w:rsidP="00FA1574">
      <w:pPr>
        <w:spacing w:after="160" w:line="259" w:lineRule="auto"/>
        <w:rPr>
          <w:rFonts w:ascii="Arial" w:hAnsi="Arial" w:cs="Arial"/>
          <w:b/>
          <w:bCs/>
          <w:color w:val="auto"/>
          <w:kern w:val="0"/>
          <w:sz w:val="22"/>
          <w:szCs w:val="22"/>
          <w14:ligatures w14:val="none"/>
        </w:rPr>
      </w:pPr>
    </w:p>
    <w:p w14:paraId="24F8D326" w14:textId="77777777" w:rsidR="00FA1574" w:rsidRPr="00FA1574" w:rsidRDefault="00FA1574" w:rsidP="00FA1574">
      <w:pPr>
        <w:spacing w:after="160" w:line="259" w:lineRule="auto"/>
        <w:rPr>
          <w:rFonts w:ascii="Arial" w:hAnsi="Arial" w:cs="Arial"/>
          <w:b/>
          <w:bCs/>
          <w:color w:val="auto"/>
          <w:kern w:val="0"/>
          <w:sz w:val="20"/>
          <w:szCs w:val="20"/>
          <w14:ligatures w14:val="none"/>
        </w:rPr>
      </w:pPr>
      <w:r w:rsidRPr="00FA1574">
        <w:rPr>
          <w:rFonts w:ascii="Arial" w:hAnsi="Arial" w:cs="Arial"/>
          <w:b/>
          <w:bCs/>
          <w:color w:val="auto"/>
          <w:kern w:val="0"/>
          <w:sz w:val="20"/>
          <w:szCs w:val="20"/>
          <w14:ligatures w14:val="none"/>
        </w:rPr>
        <w:t>91% of respondents agree or strongly agree that our plans will help to keep them safe.</w:t>
      </w:r>
    </w:p>
    <w:p w14:paraId="78C92C7F"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2% of respondents disagree, with 7% not sure.</w:t>
      </w:r>
    </w:p>
    <w:p w14:paraId="58BD0037"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responses from the public, partners and staff are consistent, with no discernible difference in the level of agreement between each group.</w:t>
      </w:r>
    </w:p>
    <w:p w14:paraId="65BE3663" w14:textId="77777777" w:rsidR="00FA1574" w:rsidRPr="00FA1574" w:rsidRDefault="00FA1574" w:rsidP="00FA1574">
      <w:pPr>
        <w:spacing w:after="160" w:line="259" w:lineRule="auto"/>
        <w:rPr>
          <w:rFonts w:ascii="Arial" w:hAnsi="Arial" w:cs="Arial"/>
          <w:color w:val="auto"/>
          <w:kern w:val="0"/>
          <w:sz w:val="22"/>
          <w:szCs w:val="22"/>
          <w14:ligatures w14:val="none"/>
        </w:rPr>
      </w:pPr>
    </w:p>
    <w:p w14:paraId="4D397032" w14:textId="77777777" w:rsidR="00FA1574" w:rsidRPr="00FA1574" w:rsidRDefault="00FA1574" w:rsidP="00FA1574">
      <w:pPr>
        <w:numPr>
          <w:ilvl w:val="0"/>
          <w:numId w:val="53"/>
        </w:numPr>
        <w:spacing w:after="160" w:line="278" w:lineRule="auto"/>
        <w:contextualSpacing/>
        <w:rPr>
          <w:rFonts w:ascii="Arial" w:hAnsi="Arial" w:cs="Arial"/>
          <w:b/>
          <w:bCs/>
          <w:color w:val="auto"/>
          <w:kern w:val="0"/>
          <w:sz w:val="28"/>
          <w:szCs w:val="28"/>
          <w14:ligatures w14:val="none"/>
        </w:rPr>
      </w:pPr>
      <w:r w:rsidRPr="00FA1574">
        <w:rPr>
          <w:rFonts w:ascii="Arial" w:hAnsi="Arial" w:cs="Arial"/>
          <w:b/>
          <w:bCs/>
          <w:color w:val="auto"/>
          <w:kern w:val="0"/>
          <w:sz w:val="28"/>
          <w:szCs w:val="28"/>
          <w14:ligatures w14:val="none"/>
        </w:rPr>
        <w:t>Fire Protection &amp; Enforcement</w:t>
      </w:r>
    </w:p>
    <w:p w14:paraId="2F920E26" w14:textId="77777777" w:rsidR="00FA1574" w:rsidRPr="00FA1574" w:rsidRDefault="00FA1574" w:rsidP="00FA1574">
      <w:pPr>
        <w:spacing w:after="160" w:line="259" w:lineRule="auto"/>
        <w:rPr>
          <w:rFonts w:ascii="Arial" w:hAnsi="Arial" w:cs="Arial"/>
          <w:color w:val="000000" w:themeColor="text1"/>
          <w:kern w:val="0"/>
          <w:sz w:val="22"/>
          <w:szCs w:val="22"/>
          <w14:ligatures w14:val="none"/>
        </w:rPr>
      </w:pPr>
      <w:r w:rsidRPr="00FA1574">
        <w:rPr>
          <w:rFonts w:ascii="Arial" w:hAnsi="Arial" w:cs="Arial"/>
          <w:color w:val="000000" w:themeColor="text1"/>
          <w:kern w:val="0"/>
          <w:sz w:val="22"/>
          <w:szCs w:val="22"/>
          <w14:ligatures w14:val="none"/>
        </w:rPr>
        <w:t xml:space="preserve">Participants were asked: </w:t>
      </w:r>
      <w:r w:rsidRPr="00FA1574">
        <w:rPr>
          <w:rFonts w:ascii="Arial" w:hAnsi="Arial" w:cs="Arial"/>
          <w:color w:val="000000" w:themeColor="text1"/>
          <w:kern w:val="0"/>
          <w:sz w:val="22"/>
          <w:szCs w:val="22"/>
          <w:shd w:val="clear" w:color="auto" w:fill="FFFFFF"/>
          <w14:ligatures w14:val="none"/>
        </w:rPr>
        <w:t>“To what extent do you agree that we have an appropriate approach to enforcing fire safety and protecting the community from fires in these types of buildings?”</w:t>
      </w:r>
    </w:p>
    <w:tbl>
      <w:tblPr>
        <w:tblW w:w="7020" w:type="dxa"/>
        <w:jc w:val="center"/>
        <w:tblLook w:val="04A0" w:firstRow="1" w:lastRow="0" w:firstColumn="1" w:lastColumn="0" w:noHBand="0" w:noVBand="1"/>
      </w:tblPr>
      <w:tblGrid>
        <w:gridCol w:w="1020"/>
        <w:gridCol w:w="1200"/>
        <w:gridCol w:w="1200"/>
        <w:gridCol w:w="1200"/>
        <w:gridCol w:w="1200"/>
        <w:gridCol w:w="1200"/>
      </w:tblGrid>
      <w:tr w:rsidR="00FA1574" w:rsidRPr="00FA1574" w14:paraId="0D8CDC40" w14:textId="77777777" w:rsidTr="00F5532B">
        <w:trPr>
          <w:trHeight w:val="822"/>
          <w:jc w:val="center"/>
        </w:trPr>
        <w:tc>
          <w:tcPr>
            <w:tcW w:w="1020" w:type="dxa"/>
            <w:tcBorders>
              <w:top w:val="nil"/>
              <w:left w:val="nil"/>
              <w:bottom w:val="nil"/>
              <w:right w:val="nil"/>
            </w:tcBorders>
            <w:shd w:val="clear" w:color="auto" w:fill="auto"/>
            <w:noWrap/>
            <w:vAlign w:val="bottom"/>
            <w:hideMark/>
          </w:tcPr>
          <w:p w14:paraId="1135956F" w14:textId="77777777" w:rsidR="00FA1574" w:rsidRPr="00FA1574" w:rsidRDefault="00FA1574" w:rsidP="00FA1574">
            <w:pPr>
              <w:rPr>
                <w:rFonts w:ascii="Times New Roman" w:eastAsia="Times New Roman" w:hAnsi="Times New Roman" w:cs="Times New Roman"/>
                <w:color w:val="auto"/>
                <w:kern w:val="0"/>
                <w:sz w:val="22"/>
                <w:szCs w:val="22"/>
                <w:lang w:eastAsia="en-GB"/>
                <w14:ligatures w14:val="none"/>
              </w:rPr>
            </w:pPr>
          </w:p>
        </w:tc>
        <w:tc>
          <w:tcPr>
            <w:tcW w:w="6000" w:type="dxa"/>
            <w:gridSpan w:val="5"/>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FB27DB1" w14:textId="77777777" w:rsidR="00FA1574" w:rsidRPr="00FA1574" w:rsidRDefault="00FA1574" w:rsidP="00FA1574">
            <w:pPr>
              <w:spacing w:after="160" w:line="259" w:lineRule="auto"/>
              <w:rPr>
                <w:rFonts w:asciiTheme="minorHAnsi" w:hAnsiTheme="minorHAnsi" w:cstheme="minorHAnsi"/>
                <w:b/>
                <w:bCs/>
                <w:color w:val="000000" w:themeColor="text1"/>
                <w:kern w:val="0"/>
                <w:sz w:val="20"/>
                <w:szCs w:val="20"/>
                <w14:ligatures w14:val="none"/>
              </w:rPr>
            </w:pPr>
            <w:r w:rsidRPr="00FA1574">
              <w:rPr>
                <w:rFonts w:asciiTheme="minorHAnsi" w:hAnsiTheme="minorHAnsi" w:cstheme="minorHAnsi"/>
                <w:b/>
                <w:bCs/>
                <w:color w:val="000000" w:themeColor="text1"/>
                <w:kern w:val="0"/>
                <w:sz w:val="20"/>
                <w:szCs w:val="20"/>
                <w:shd w:val="clear" w:color="auto" w:fill="FFFFFF"/>
                <w14:ligatures w14:val="none"/>
              </w:rPr>
              <w:t>“To what extent do you agree that we have an appropriate approach to enforcing fire safety and protecting the community from fires in these types of buildings?”</w:t>
            </w:r>
          </w:p>
        </w:tc>
      </w:tr>
      <w:tr w:rsidR="00FA1574" w:rsidRPr="00FA1574" w14:paraId="032C08C1" w14:textId="77777777" w:rsidTr="00F5532B">
        <w:trPr>
          <w:trHeight w:val="945"/>
          <w:jc w:val="center"/>
        </w:trPr>
        <w:tc>
          <w:tcPr>
            <w:tcW w:w="1020" w:type="dxa"/>
            <w:tcBorders>
              <w:top w:val="nil"/>
              <w:left w:val="nil"/>
              <w:bottom w:val="nil"/>
              <w:right w:val="nil"/>
            </w:tcBorders>
            <w:shd w:val="clear" w:color="auto" w:fill="auto"/>
            <w:noWrap/>
            <w:vAlign w:val="bottom"/>
            <w:hideMark/>
          </w:tcPr>
          <w:p w14:paraId="6FEA3AC5"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07DD8843" w14:textId="77777777" w:rsidR="00FA1574" w:rsidRPr="00FA1574" w:rsidRDefault="00FA1574" w:rsidP="00FA1574">
            <w:pPr>
              <w:rPr>
                <w:rFonts w:ascii="Calibri" w:eastAsia="Times New Roman" w:hAnsi="Calibri" w:cs="Calibri"/>
                <w:b/>
                <w:bCs/>
                <w:color w:val="000000"/>
                <w:kern w:val="0"/>
                <w:sz w:val="22"/>
                <w:szCs w:val="22"/>
                <w:lang w:eastAsia="en-GB"/>
                <w14:ligatures w14:val="none"/>
              </w:rPr>
            </w:pPr>
            <w:r w:rsidRPr="00FA1574">
              <w:rPr>
                <w:rFonts w:ascii="Calibri" w:eastAsia="Times New Roman" w:hAnsi="Calibri" w:cs="Calibri"/>
                <w:b/>
                <w:bCs/>
                <w:color w:val="000000"/>
                <w:kern w:val="0"/>
                <w:sz w:val="22"/>
                <w:szCs w:val="22"/>
                <w:lang w:eastAsia="en-GB"/>
                <w14:ligatures w14:val="none"/>
              </w:rPr>
              <w:t>Strongly agree</w:t>
            </w:r>
          </w:p>
        </w:tc>
        <w:tc>
          <w:tcPr>
            <w:tcW w:w="1200" w:type="dxa"/>
            <w:tcBorders>
              <w:top w:val="nil"/>
              <w:left w:val="nil"/>
              <w:bottom w:val="single" w:sz="4" w:space="0" w:color="000000"/>
              <w:right w:val="single" w:sz="4" w:space="0" w:color="000000"/>
            </w:tcBorders>
            <w:shd w:val="clear" w:color="auto" w:fill="auto"/>
            <w:vAlign w:val="center"/>
            <w:hideMark/>
          </w:tcPr>
          <w:p w14:paraId="58C12D02" w14:textId="77777777" w:rsidR="00FA1574" w:rsidRPr="00FA1574" w:rsidRDefault="00FA1574" w:rsidP="00FA1574">
            <w:pPr>
              <w:rPr>
                <w:rFonts w:ascii="Calibri" w:eastAsia="Times New Roman" w:hAnsi="Calibri" w:cs="Calibri"/>
                <w:b/>
                <w:bCs/>
                <w:color w:val="000000"/>
                <w:kern w:val="0"/>
                <w:sz w:val="22"/>
                <w:szCs w:val="22"/>
                <w:lang w:eastAsia="en-GB"/>
                <w14:ligatures w14:val="none"/>
              </w:rPr>
            </w:pPr>
            <w:r w:rsidRPr="00FA1574">
              <w:rPr>
                <w:rFonts w:ascii="Calibri" w:eastAsia="Times New Roman" w:hAnsi="Calibri" w:cs="Calibri"/>
                <w:b/>
                <w:bCs/>
                <w:color w:val="000000"/>
                <w:kern w:val="0"/>
                <w:sz w:val="22"/>
                <w:szCs w:val="22"/>
                <w:lang w:eastAsia="en-GB"/>
                <w14:ligatures w14:val="none"/>
              </w:rPr>
              <w:t>Agree</w:t>
            </w:r>
          </w:p>
        </w:tc>
        <w:tc>
          <w:tcPr>
            <w:tcW w:w="1200" w:type="dxa"/>
            <w:tcBorders>
              <w:top w:val="nil"/>
              <w:left w:val="nil"/>
              <w:bottom w:val="single" w:sz="4" w:space="0" w:color="000000"/>
              <w:right w:val="single" w:sz="4" w:space="0" w:color="000000"/>
            </w:tcBorders>
            <w:shd w:val="clear" w:color="auto" w:fill="auto"/>
            <w:vAlign w:val="center"/>
            <w:hideMark/>
          </w:tcPr>
          <w:p w14:paraId="05E88830" w14:textId="77777777" w:rsidR="00FA1574" w:rsidRPr="00FA1574" w:rsidRDefault="00FA1574" w:rsidP="00FA1574">
            <w:pPr>
              <w:rPr>
                <w:rFonts w:ascii="Calibri" w:eastAsia="Times New Roman" w:hAnsi="Calibri" w:cs="Calibri"/>
                <w:b/>
                <w:bCs/>
                <w:color w:val="000000"/>
                <w:kern w:val="0"/>
                <w:sz w:val="22"/>
                <w:szCs w:val="22"/>
                <w:lang w:eastAsia="en-GB"/>
                <w14:ligatures w14:val="none"/>
              </w:rPr>
            </w:pPr>
            <w:r w:rsidRPr="00FA1574">
              <w:rPr>
                <w:rFonts w:ascii="Calibri" w:eastAsia="Times New Roman" w:hAnsi="Calibri" w:cs="Calibri"/>
                <w:b/>
                <w:bCs/>
                <w:color w:val="000000"/>
                <w:kern w:val="0"/>
                <w:sz w:val="22"/>
                <w:szCs w:val="22"/>
                <w:lang w:eastAsia="en-GB"/>
                <w14:ligatures w14:val="none"/>
              </w:rPr>
              <w:t>Neither agree nor disagree</w:t>
            </w:r>
          </w:p>
        </w:tc>
        <w:tc>
          <w:tcPr>
            <w:tcW w:w="1200" w:type="dxa"/>
            <w:tcBorders>
              <w:top w:val="nil"/>
              <w:left w:val="nil"/>
              <w:bottom w:val="single" w:sz="4" w:space="0" w:color="000000"/>
              <w:right w:val="single" w:sz="4" w:space="0" w:color="000000"/>
            </w:tcBorders>
            <w:shd w:val="clear" w:color="auto" w:fill="auto"/>
            <w:vAlign w:val="center"/>
            <w:hideMark/>
          </w:tcPr>
          <w:p w14:paraId="44BD407A" w14:textId="77777777" w:rsidR="00FA1574" w:rsidRPr="00FA1574" w:rsidRDefault="00FA1574" w:rsidP="00FA1574">
            <w:pPr>
              <w:rPr>
                <w:rFonts w:ascii="Calibri" w:eastAsia="Times New Roman" w:hAnsi="Calibri" w:cs="Calibri"/>
                <w:b/>
                <w:bCs/>
                <w:color w:val="000000"/>
                <w:kern w:val="0"/>
                <w:sz w:val="22"/>
                <w:szCs w:val="22"/>
                <w:lang w:eastAsia="en-GB"/>
                <w14:ligatures w14:val="none"/>
              </w:rPr>
            </w:pPr>
            <w:r w:rsidRPr="00FA1574">
              <w:rPr>
                <w:rFonts w:ascii="Calibri" w:eastAsia="Times New Roman" w:hAnsi="Calibri" w:cs="Calibri"/>
                <w:b/>
                <w:bCs/>
                <w:color w:val="000000"/>
                <w:kern w:val="0"/>
                <w:sz w:val="22"/>
                <w:szCs w:val="22"/>
                <w:lang w:eastAsia="en-GB"/>
                <w14:ligatures w14:val="none"/>
              </w:rPr>
              <w:t>Disagree</w:t>
            </w:r>
          </w:p>
        </w:tc>
        <w:tc>
          <w:tcPr>
            <w:tcW w:w="1200" w:type="dxa"/>
            <w:tcBorders>
              <w:top w:val="nil"/>
              <w:left w:val="nil"/>
              <w:bottom w:val="single" w:sz="4" w:space="0" w:color="000000"/>
              <w:right w:val="single" w:sz="4" w:space="0" w:color="000000"/>
            </w:tcBorders>
            <w:shd w:val="clear" w:color="auto" w:fill="auto"/>
            <w:vAlign w:val="center"/>
            <w:hideMark/>
          </w:tcPr>
          <w:p w14:paraId="2B5F5426" w14:textId="77777777" w:rsidR="00FA1574" w:rsidRPr="00FA1574" w:rsidRDefault="00FA1574" w:rsidP="00FA1574">
            <w:pPr>
              <w:rPr>
                <w:rFonts w:ascii="Calibri" w:eastAsia="Times New Roman" w:hAnsi="Calibri" w:cs="Calibri"/>
                <w:b/>
                <w:bCs/>
                <w:color w:val="000000"/>
                <w:kern w:val="0"/>
                <w:sz w:val="22"/>
                <w:szCs w:val="22"/>
                <w:lang w:eastAsia="en-GB"/>
                <w14:ligatures w14:val="none"/>
              </w:rPr>
            </w:pPr>
            <w:r w:rsidRPr="00FA1574">
              <w:rPr>
                <w:rFonts w:ascii="Calibri" w:eastAsia="Times New Roman" w:hAnsi="Calibri" w:cs="Calibri"/>
                <w:b/>
                <w:bCs/>
                <w:color w:val="000000"/>
                <w:kern w:val="0"/>
                <w:sz w:val="22"/>
                <w:szCs w:val="22"/>
                <w:lang w:eastAsia="en-GB"/>
                <w14:ligatures w14:val="none"/>
              </w:rPr>
              <w:t>Strongly disagree</w:t>
            </w:r>
          </w:p>
        </w:tc>
      </w:tr>
      <w:tr w:rsidR="00FA1574" w:rsidRPr="00FA1574" w14:paraId="16907A13"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4B588A83"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Total</w:t>
            </w:r>
          </w:p>
          <w:p w14:paraId="1EC6987D"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nil"/>
              <w:left w:val="nil"/>
              <w:bottom w:val="single" w:sz="4" w:space="0" w:color="000000"/>
              <w:right w:val="single" w:sz="4" w:space="0" w:color="000000"/>
            </w:tcBorders>
            <w:shd w:val="clear" w:color="auto" w:fill="auto"/>
            <w:vAlign w:val="center"/>
            <w:hideMark/>
          </w:tcPr>
          <w:p w14:paraId="43D4B62C"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315</w:t>
            </w:r>
          </w:p>
        </w:tc>
        <w:tc>
          <w:tcPr>
            <w:tcW w:w="1200" w:type="dxa"/>
            <w:tcBorders>
              <w:top w:val="nil"/>
              <w:left w:val="nil"/>
              <w:bottom w:val="single" w:sz="4" w:space="0" w:color="000000"/>
              <w:right w:val="single" w:sz="4" w:space="0" w:color="000000"/>
            </w:tcBorders>
            <w:shd w:val="clear" w:color="auto" w:fill="auto"/>
            <w:vAlign w:val="center"/>
            <w:hideMark/>
          </w:tcPr>
          <w:p w14:paraId="525D89C1"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271</w:t>
            </w:r>
          </w:p>
        </w:tc>
        <w:tc>
          <w:tcPr>
            <w:tcW w:w="1200" w:type="dxa"/>
            <w:tcBorders>
              <w:top w:val="nil"/>
              <w:left w:val="nil"/>
              <w:bottom w:val="single" w:sz="4" w:space="0" w:color="000000"/>
              <w:right w:val="single" w:sz="4" w:space="0" w:color="000000"/>
            </w:tcBorders>
            <w:shd w:val="clear" w:color="auto" w:fill="auto"/>
            <w:vAlign w:val="center"/>
            <w:hideMark/>
          </w:tcPr>
          <w:p w14:paraId="697A8DCC"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43</w:t>
            </w:r>
          </w:p>
        </w:tc>
        <w:tc>
          <w:tcPr>
            <w:tcW w:w="1200" w:type="dxa"/>
            <w:tcBorders>
              <w:top w:val="nil"/>
              <w:left w:val="nil"/>
              <w:bottom w:val="single" w:sz="4" w:space="0" w:color="000000"/>
              <w:right w:val="single" w:sz="4" w:space="0" w:color="000000"/>
            </w:tcBorders>
            <w:shd w:val="clear" w:color="auto" w:fill="auto"/>
            <w:vAlign w:val="center"/>
            <w:hideMark/>
          </w:tcPr>
          <w:p w14:paraId="1D9EBF67"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17</w:t>
            </w:r>
          </w:p>
        </w:tc>
        <w:tc>
          <w:tcPr>
            <w:tcW w:w="1200" w:type="dxa"/>
            <w:tcBorders>
              <w:top w:val="nil"/>
              <w:left w:val="nil"/>
              <w:bottom w:val="single" w:sz="4" w:space="0" w:color="000000"/>
              <w:right w:val="single" w:sz="4" w:space="0" w:color="000000"/>
            </w:tcBorders>
            <w:shd w:val="clear" w:color="auto" w:fill="auto"/>
            <w:vAlign w:val="center"/>
            <w:hideMark/>
          </w:tcPr>
          <w:p w14:paraId="6E21824B"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2</w:t>
            </w:r>
          </w:p>
        </w:tc>
      </w:tr>
      <w:tr w:rsidR="00FA1574" w:rsidRPr="00FA1574" w14:paraId="26749B75"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3FA7E413"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vAlign w:val="center"/>
            <w:hideMark/>
          </w:tcPr>
          <w:p w14:paraId="26E57715"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49%</w:t>
            </w:r>
          </w:p>
        </w:tc>
        <w:tc>
          <w:tcPr>
            <w:tcW w:w="1200" w:type="dxa"/>
            <w:tcBorders>
              <w:top w:val="nil"/>
              <w:left w:val="nil"/>
              <w:bottom w:val="single" w:sz="4" w:space="0" w:color="000000"/>
              <w:right w:val="single" w:sz="4" w:space="0" w:color="000000"/>
            </w:tcBorders>
            <w:shd w:val="clear" w:color="auto" w:fill="auto"/>
            <w:vAlign w:val="center"/>
            <w:hideMark/>
          </w:tcPr>
          <w:p w14:paraId="4C1633B9"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42%</w:t>
            </w:r>
          </w:p>
        </w:tc>
        <w:tc>
          <w:tcPr>
            <w:tcW w:w="1200" w:type="dxa"/>
            <w:tcBorders>
              <w:top w:val="nil"/>
              <w:left w:val="nil"/>
              <w:bottom w:val="single" w:sz="4" w:space="0" w:color="000000"/>
              <w:right w:val="single" w:sz="4" w:space="0" w:color="000000"/>
            </w:tcBorders>
            <w:shd w:val="clear" w:color="auto" w:fill="auto"/>
            <w:vAlign w:val="center"/>
            <w:hideMark/>
          </w:tcPr>
          <w:p w14:paraId="0ACB2AE9"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7%</w:t>
            </w:r>
          </w:p>
        </w:tc>
        <w:tc>
          <w:tcPr>
            <w:tcW w:w="1200" w:type="dxa"/>
            <w:tcBorders>
              <w:top w:val="nil"/>
              <w:left w:val="nil"/>
              <w:bottom w:val="single" w:sz="4" w:space="0" w:color="000000"/>
              <w:right w:val="single" w:sz="4" w:space="0" w:color="000000"/>
            </w:tcBorders>
            <w:shd w:val="clear" w:color="auto" w:fill="auto"/>
            <w:vAlign w:val="center"/>
            <w:hideMark/>
          </w:tcPr>
          <w:p w14:paraId="2F39D2EF"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3%</w:t>
            </w:r>
          </w:p>
        </w:tc>
        <w:tc>
          <w:tcPr>
            <w:tcW w:w="1200" w:type="dxa"/>
            <w:tcBorders>
              <w:top w:val="nil"/>
              <w:left w:val="nil"/>
              <w:bottom w:val="single" w:sz="4" w:space="0" w:color="000000"/>
              <w:right w:val="single" w:sz="4" w:space="0" w:color="000000"/>
            </w:tcBorders>
            <w:shd w:val="clear" w:color="auto" w:fill="auto"/>
            <w:vAlign w:val="center"/>
            <w:hideMark/>
          </w:tcPr>
          <w:p w14:paraId="585DEDB2"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&gt;1%</w:t>
            </w:r>
          </w:p>
        </w:tc>
      </w:tr>
      <w:tr w:rsidR="00FA1574" w:rsidRPr="00FA1574" w14:paraId="12EB9825" w14:textId="77777777" w:rsidTr="00F5532B">
        <w:trPr>
          <w:trHeight w:val="263"/>
          <w:jc w:val="center"/>
        </w:trPr>
        <w:tc>
          <w:tcPr>
            <w:tcW w:w="1020" w:type="dxa"/>
            <w:tcBorders>
              <w:top w:val="nil"/>
              <w:left w:val="single" w:sz="4" w:space="0" w:color="000000"/>
              <w:bottom w:val="nil"/>
              <w:right w:val="nil"/>
            </w:tcBorders>
            <w:shd w:val="clear" w:color="auto" w:fill="D9D9D9" w:themeFill="background1" w:themeFillShade="D9"/>
            <w:noWrap/>
            <w:vAlign w:val="bottom"/>
            <w:hideMark/>
          </w:tcPr>
          <w:p w14:paraId="627CB084"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nil"/>
              <w:left w:val="nil"/>
              <w:bottom w:val="nil"/>
              <w:right w:val="nil"/>
            </w:tcBorders>
            <w:shd w:val="clear" w:color="auto" w:fill="D9D9D9" w:themeFill="background1" w:themeFillShade="D9"/>
            <w:noWrap/>
            <w:vAlign w:val="bottom"/>
            <w:hideMark/>
          </w:tcPr>
          <w:p w14:paraId="648CB010"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044B362D"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546A0016"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01923E7D"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single" w:sz="4" w:space="0" w:color="000000"/>
            </w:tcBorders>
            <w:shd w:val="clear" w:color="auto" w:fill="D9D9D9" w:themeFill="background1" w:themeFillShade="D9"/>
            <w:noWrap/>
            <w:vAlign w:val="bottom"/>
            <w:hideMark/>
          </w:tcPr>
          <w:p w14:paraId="6273E380"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 </w:t>
            </w:r>
          </w:p>
        </w:tc>
      </w:tr>
      <w:tr w:rsidR="00FA1574" w:rsidRPr="00FA1574" w14:paraId="7ABDBD1A"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73387EEF"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Public</w:t>
            </w:r>
          </w:p>
          <w:p w14:paraId="596A7934"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64B8ACC2"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214</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1BC88BC2"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156</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77A65FEC"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29</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44BAE7C1"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10</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5159BD3D"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0</w:t>
            </w:r>
          </w:p>
        </w:tc>
      </w:tr>
      <w:tr w:rsidR="00FA1574" w:rsidRPr="00FA1574" w14:paraId="397E67A1"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5C0C7685"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noWrap/>
            <w:vAlign w:val="bottom"/>
            <w:hideMark/>
          </w:tcPr>
          <w:p w14:paraId="652BB1B1"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52%</w:t>
            </w:r>
          </w:p>
        </w:tc>
        <w:tc>
          <w:tcPr>
            <w:tcW w:w="1200" w:type="dxa"/>
            <w:tcBorders>
              <w:top w:val="nil"/>
              <w:left w:val="nil"/>
              <w:bottom w:val="single" w:sz="4" w:space="0" w:color="000000"/>
              <w:right w:val="single" w:sz="4" w:space="0" w:color="000000"/>
            </w:tcBorders>
            <w:shd w:val="clear" w:color="auto" w:fill="auto"/>
            <w:noWrap/>
            <w:vAlign w:val="bottom"/>
            <w:hideMark/>
          </w:tcPr>
          <w:p w14:paraId="584CCA49"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38%</w:t>
            </w:r>
          </w:p>
        </w:tc>
        <w:tc>
          <w:tcPr>
            <w:tcW w:w="1200" w:type="dxa"/>
            <w:tcBorders>
              <w:top w:val="nil"/>
              <w:left w:val="nil"/>
              <w:bottom w:val="single" w:sz="4" w:space="0" w:color="000000"/>
              <w:right w:val="single" w:sz="4" w:space="0" w:color="000000"/>
            </w:tcBorders>
            <w:shd w:val="clear" w:color="auto" w:fill="auto"/>
            <w:noWrap/>
            <w:vAlign w:val="bottom"/>
            <w:hideMark/>
          </w:tcPr>
          <w:p w14:paraId="14F93D72"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7%</w:t>
            </w:r>
          </w:p>
        </w:tc>
        <w:tc>
          <w:tcPr>
            <w:tcW w:w="1200" w:type="dxa"/>
            <w:tcBorders>
              <w:top w:val="nil"/>
              <w:left w:val="nil"/>
              <w:bottom w:val="single" w:sz="4" w:space="0" w:color="000000"/>
              <w:right w:val="single" w:sz="4" w:space="0" w:color="000000"/>
            </w:tcBorders>
            <w:shd w:val="clear" w:color="auto" w:fill="auto"/>
            <w:noWrap/>
            <w:vAlign w:val="bottom"/>
            <w:hideMark/>
          </w:tcPr>
          <w:p w14:paraId="38B6F99C"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2%</w:t>
            </w:r>
          </w:p>
        </w:tc>
        <w:tc>
          <w:tcPr>
            <w:tcW w:w="1200" w:type="dxa"/>
            <w:tcBorders>
              <w:top w:val="nil"/>
              <w:left w:val="nil"/>
              <w:bottom w:val="single" w:sz="4" w:space="0" w:color="000000"/>
              <w:right w:val="single" w:sz="4" w:space="0" w:color="000000"/>
            </w:tcBorders>
            <w:shd w:val="clear" w:color="auto" w:fill="auto"/>
            <w:noWrap/>
            <w:vAlign w:val="bottom"/>
            <w:hideMark/>
          </w:tcPr>
          <w:p w14:paraId="5E929C2E"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0%</w:t>
            </w:r>
          </w:p>
        </w:tc>
      </w:tr>
      <w:tr w:rsidR="00FA1574" w:rsidRPr="00FA1574" w14:paraId="004D15FA" w14:textId="77777777" w:rsidTr="00F5532B">
        <w:trPr>
          <w:trHeight w:val="263"/>
          <w:jc w:val="center"/>
        </w:trPr>
        <w:tc>
          <w:tcPr>
            <w:tcW w:w="1020" w:type="dxa"/>
            <w:tcBorders>
              <w:top w:val="nil"/>
              <w:left w:val="single" w:sz="4" w:space="0" w:color="000000"/>
              <w:bottom w:val="nil"/>
              <w:right w:val="nil"/>
            </w:tcBorders>
            <w:shd w:val="clear" w:color="auto" w:fill="D9D9D9" w:themeFill="background1" w:themeFillShade="D9"/>
            <w:noWrap/>
            <w:vAlign w:val="bottom"/>
            <w:hideMark/>
          </w:tcPr>
          <w:p w14:paraId="415A59F0"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nil"/>
              <w:left w:val="nil"/>
              <w:bottom w:val="nil"/>
              <w:right w:val="nil"/>
            </w:tcBorders>
            <w:shd w:val="clear" w:color="auto" w:fill="D9D9D9" w:themeFill="background1" w:themeFillShade="D9"/>
            <w:noWrap/>
            <w:vAlign w:val="bottom"/>
            <w:hideMark/>
          </w:tcPr>
          <w:p w14:paraId="42392CD8"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267A4073"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3B07376C"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1EE5F431"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single" w:sz="4" w:space="0" w:color="000000"/>
            </w:tcBorders>
            <w:shd w:val="clear" w:color="auto" w:fill="D9D9D9" w:themeFill="background1" w:themeFillShade="D9"/>
            <w:noWrap/>
            <w:vAlign w:val="bottom"/>
            <w:hideMark/>
          </w:tcPr>
          <w:p w14:paraId="76D5B9FD"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 </w:t>
            </w:r>
          </w:p>
        </w:tc>
      </w:tr>
      <w:tr w:rsidR="00FA1574" w:rsidRPr="00FA1574" w14:paraId="753C2F95"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2850BD10"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Partners</w:t>
            </w:r>
          </w:p>
          <w:p w14:paraId="3C71CCDB"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74CCBEB4"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10</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6DBCF4BA"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19</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05056ECC"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1</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3C7838E3"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1</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6B2B3FD1"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0</w:t>
            </w:r>
          </w:p>
        </w:tc>
      </w:tr>
      <w:tr w:rsidR="00FA1574" w:rsidRPr="00FA1574" w14:paraId="64FF28C1"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20FA4E4F"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noWrap/>
            <w:vAlign w:val="bottom"/>
            <w:hideMark/>
          </w:tcPr>
          <w:p w14:paraId="3D9AE4D2"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32%</w:t>
            </w:r>
          </w:p>
        </w:tc>
        <w:tc>
          <w:tcPr>
            <w:tcW w:w="1200" w:type="dxa"/>
            <w:tcBorders>
              <w:top w:val="nil"/>
              <w:left w:val="nil"/>
              <w:bottom w:val="single" w:sz="4" w:space="0" w:color="000000"/>
              <w:right w:val="single" w:sz="4" w:space="0" w:color="000000"/>
            </w:tcBorders>
            <w:shd w:val="clear" w:color="auto" w:fill="auto"/>
            <w:noWrap/>
            <w:vAlign w:val="bottom"/>
            <w:hideMark/>
          </w:tcPr>
          <w:p w14:paraId="7A492800"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61%</w:t>
            </w:r>
          </w:p>
        </w:tc>
        <w:tc>
          <w:tcPr>
            <w:tcW w:w="1200" w:type="dxa"/>
            <w:tcBorders>
              <w:top w:val="nil"/>
              <w:left w:val="nil"/>
              <w:bottom w:val="single" w:sz="4" w:space="0" w:color="000000"/>
              <w:right w:val="single" w:sz="4" w:space="0" w:color="000000"/>
            </w:tcBorders>
            <w:shd w:val="clear" w:color="auto" w:fill="auto"/>
            <w:noWrap/>
            <w:vAlign w:val="bottom"/>
            <w:hideMark/>
          </w:tcPr>
          <w:p w14:paraId="63906E6D"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3%</w:t>
            </w:r>
          </w:p>
        </w:tc>
        <w:tc>
          <w:tcPr>
            <w:tcW w:w="1200" w:type="dxa"/>
            <w:tcBorders>
              <w:top w:val="nil"/>
              <w:left w:val="nil"/>
              <w:bottom w:val="single" w:sz="4" w:space="0" w:color="000000"/>
              <w:right w:val="single" w:sz="4" w:space="0" w:color="000000"/>
            </w:tcBorders>
            <w:shd w:val="clear" w:color="auto" w:fill="auto"/>
            <w:noWrap/>
            <w:vAlign w:val="bottom"/>
            <w:hideMark/>
          </w:tcPr>
          <w:p w14:paraId="36E93120"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&gt;1%</w:t>
            </w:r>
          </w:p>
        </w:tc>
        <w:tc>
          <w:tcPr>
            <w:tcW w:w="1200" w:type="dxa"/>
            <w:tcBorders>
              <w:top w:val="nil"/>
              <w:left w:val="nil"/>
              <w:bottom w:val="single" w:sz="4" w:space="0" w:color="000000"/>
              <w:right w:val="single" w:sz="4" w:space="0" w:color="000000"/>
            </w:tcBorders>
            <w:shd w:val="clear" w:color="auto" w:fill="auto"/>
            <w:noWrap/>
            <w:vAlign w:val="bottom"/>
            <w:hideMark/>
          </w:tcPr>
          <w:p w14:paraId="2B0E7730"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0%</w:t>
            </w:r>
          </w:p>
        </w:tc>
      </w:tr>
      <w:tr w:rsidR="00FA1574" w:rsidRPr="00FA1574" w14:paraId="5437206B" w14:textId="77777777" w:rsidTr="00F5532B">
        <w:trPr>
          <w:trHeight w:val="263"/>
          <w:jc w:val="center"/>
        </w:trPr>
        <w:tc>
          <w:tcPr>
            <w:tcW w:w="1020" w:type="dxa"/>
            <w:tcBorders>
              <w:top w:val="nil"/>
              <w:left w:val="single" w:sz="4" w:space="0" w:color="000000"/>
              <w:bottom w:val="nil"/>
              <w:right w:val="nil"/>
            </w:tcBorders>
            <w:shd w:val="clear" w:color="auto" w:fill="D9D9D9" w:themeFill="background1" w:themeFillShade="D9"/>
            <w:noWrap/>
            <w:vAlign w:val="bottom"/>
            <w:hideMark/>
          </w:tcPr>
          <w:p w14:paraId="2BCB566C"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nil"/>
              <w:left w:val="nil"/>
              <w:bottom w:val="nil"/>
              <w:right w:val="nil"/>
            </w:tcBorders>
            <w:shd w:val="clear" w:color="auto" w:fill="D9D9D9" w:themeFill="background1" w:themeFillShade="D9"/>
            <w:noWrap/>
            <w:vAlign w:val="bottom"/>
            <w:hideMark/>
          </w:tcPr>
          <w:p w14:paraId="32BF2CB3"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6B22A318"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2AD7C848"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332B2FAC"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single" w:sz="4" w:space="0" w:color="000000"/>
            </w:tcBorders>
            <w:shd w:val="clear" w:color="auto" w:fill="D9D9D9" w:themeFill="background1" w:themeFillShade="D9"/>
            <w:noWrap/>
            <w:vAlign w:val="bottom"/>
            <w:hideMark/>
          </w:tcPr>
          <w:p w14:paraId="1AD0B832"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 </w:t>
            </w:r>
          </w:p>
        </w:tc>
      </w:tr>
      <w:tr w:rsidR="00FA1574" w:rsidRPr="00FA1574" w14:paraId="791F171A"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61E382EF"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Staff</w:t>
            </w:r>
          </w:p>
          <w:p w14:paraId="7022F166"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0793C973"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68</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4BA3E9C3"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76</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6A4BC563"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9</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77E06837"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4</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770AEC7B"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1</w:t>
            </w:r>
          </w:p>
        </w:tc>
      </w:tr>
      <w:tr w:rsidR="00FA1574" w:rsidRPr="00FA1574" w14:paraId="0F8B6E64"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38C63A5B"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noWrap/>
            <w:vAlign w:val="bottom"/>
            <w:hideMark/>
          </w:tcPr>
          <w:p w14:paraId="27B97CEB"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43%</w:t>
            </w:r>
          </w:p>
        </w:tc>
        <w:tc>
          <w:tcPr>
            <w:tcW w:w="1200" w:type="dxa"/>
            <w:tcBorders>
              <w:top w:val="nil"/>
              <w:left w:val="nil"/>
              <w:bottom w:val="single" w:sz="4" w:space="0" w:color="000000"/>
              <w:right w:val="single" w:sz="4" w:space="0" w:color="000000"/>
            </w:tcBorders>
            <w:shd w:val="clear" w:color="auto" w:fill="auto"/>
            <w:noWrap/>
            <w:vAlign w:val="bottom"/>
            <w:hideMark/>
          </w:tcPr>
          <w:p w14:paraId="11F9FE45"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48%</w:t>
            </w:r>
          </w:p>
        </w:tc>
        <w:tc>
          <w:tcPr>
            <w:tcW w:w="1200" w:type="dxa"/>
            <w:tcBorders>
              <w:top w:val="nil"/>
              <w:left w:val="nil"/>
              <w:bottom w:val="single" w:sz="4" w:space="0" w:color="000000"/>
              <w:right w:val="single" w:sz="4" w:space="0" w:color="000000"/>
            </w:tcBorders>
            <w:shd w:val="clear" w:color="auto" w:fill="auto"/>
            <w:noWrap/>
            <w:vAlign w:val="bottom"/>
            <w:hideMark/>
          </w:tcPr>
          <w:p w14:paraId="3E9C47B3"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6%</w:t>
            </w:r>
          </w:p>
        </w:tc>
        <w:tc>
          <w:tcPr>
            <w:tcW w:w="1200" w:type="dxa"/>
            <w:tcBorders>
              <w:top w:val="nil"/>
              <w:left w:val="nil"/>
              <w:bottom w:val="single" w:sz="4" w:space="0" w:color="000000"/>
              <w:right w:val="single" w:sz="4" w:space="0" w:color="000000"/>
            </w:tcBorders>
            <w:shd w:val="clear" w:color="auto" w:fill="auto"/>
            <w:noWrap/>
            <w:vAlign w:val="bottom"/>
            <w:hideMark/>
          </w:tcPr>
          <w:p w14:paraId="0C77856F"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3%</w:t>
            </w:r>
          </w:p>
        </w:tc>
        <w:tc>
          <w:tcPr>
            <w:tcW w:w="1200" w:type="dxa"/>
            <w:tcBorders>
              <w:top w:val="nil"/>
              <w:left w:val="nil"/>
              <w:bottom w:val="single" w:sz="4" w:space="0" w:color="000000"/>
              <w:right w:val="single" w:sz="4" w:space="0" w:color="000000"/>
            </w:tcBorders>
            <w:shd w:val="clear" w:color="auto" w:fill="auto"/>
            <w:noWrap/>
            <w:vAlign w:val="bottom"/>
            <w:hideMark/>
          </w:tcPr>
          <w:p w14:paraId="604699E9"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&gt;1%</w:t>
            </w:r>
          </w:p>
        </w:tc>
      </w:tr>
    </w:tbl>
    <w:p w14:paraId="7316B7A2" w14:textId="77777777" w:rsidR="00FA1574" w:rsidRPr="00FA1574" w:rsidRDefault="00FA1574" w:rsidP="00FA1574">
      <w:pPr>
        <w:spacing w:after="160" w:line="259" w:lineRule="auto"/>
        <w:rPr>
          <w:rFonts w:ascii="Arial" w:hAnsi="Arial" w:cs="Arial"/>
          <w:b/>
          <w:bCs/>
          <w:color w:val="000000" w:themeColor="text1"/>
          <w:kern w:val="0"/>
          <w:sz w:val="22"/>
          <w:szCs w:val="22"/>
          <w14:ligatures w14:val="none"/>
        </w:rPr>
      </w:pPr>
    </w:p>
    <w:p w14:paraId="498FC2BA" w14:textId="77777777" w:rsidR="00FA1574" w:rsidRPr="00FA1574" w:rsidRDefault="00FA1574" w:rsidP="00FA1574">
      <w:pPr>
        <w:spacing w:after="160" w:line="259" w:lineRule="auto"/>
        <w:rPr>
          <w:rFonts w:ascii="Arial" w:hAnsi="Arial" w:cs="Arial"/>
          <w:b/>
          <w:bCs/>
          <w:color w:val="000000" w:themeColor="text1"/>
          <w:kern w:val="0"/>
          <w:sz w:val="20"/>
          <w:szCs w:val="20"/>
          <w14:ligatures w14:val="none"/>
        </w:rPr>
      </w:pPr>
      <w:r w:rsidRPr="00FA1574">
        <w:rPr>
          <w:rFonts w:ascii="Arial" w:hAnsi="Arial" w:cs="Arial"/>
          <w:b/>
          <w:bCs/>
          <w:color w:val="000000" w:themeColor="text1"/>
          <w:kern w:val="0"/>
          <w:sz w:val="20"/>
          <w:szCs w:val="20"/>
          <w14:ligatures w14:val="none"/>
        </w:rPr>
        <w:t>91% of respondents agree or strongly agree that our plans will enable us to enforce Fire Safety and protect buildings.</w:t>
      </w:r>
    </w:p>
    <w:p w14:paraId="2B2E4398"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3% of respondents disagree, with 7% not sure.</w:t>
      </w:r>
    </w:p>
    <w:p w14:paraId="28E3F8E2" w14:textId="77777777" w:rsid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Although the overall agreement from the public, partners and staff is consistent, there is a variance between the strength of feeling in relation to the ratio between ‘strongly agree’ and ‘agree’.</w:t>
      </w:r>
    </w:p>
    <w:p w14:paraId="7D85F0F8" w14:textId="77777777" w:rsidR="00A30C20" w:rsidRPr="00FA1574" w:rsidRDefault="00A30C20" w:rsidP="00FA1574">
      <w:pPr>
        <w:spacing w:after="160" w:line="259" w:lineRule="auto"/>
        <w:rPr>
          <w:rFonts w:ascii="Arial" w:hAnsi="Arial" w:cs="Arial"/>
          <w:color w:val="auto"/>
          <w:kern w:val="0"/>
          <w:sz w:val="20"/>
          <w:szCs w:val="20"/>
          <w14:ligatures w14:val="none"/>
        </w:rPr>
      </w:pPr>
    </w:p>
    <w:p w14:paraId="4CCFC7B3" w14:textId="77777777" w:rsidR="00FA1574" w:rsidRPr="00FA1574" w:rsidRDefault="00FA1574" w:rsidP="00FA1574">
      <w:pPr>
        <w:spacing w:after="160" w:line="259" w:lineRule="auto"/>
        <w:rPr>
          <w:rFonts w:ascii="Arial" w:hAnsi="Arial" w:cs="Arial"/>
          <w:color w:val="000000" w:themeColor="text1"/>
          <w:kern w:val="0"/>
          <w:sz w:val="22"/>
          <w:szCs w:val="22"/>
          <w14:ligatures w14:val="none"/>
        </w:rPr>
      </w:pPr>
    </w:p>
    <w:p w14:paraId="5A2CF072" w14:textId="77777777" w:rsidR="00FA1574" w:rsidRPr="00FA1574" w:rsidRDefault="00FA1574" w:rsidP="00FA1574">
      <w:pPr>
        <w:numPr>
          <w:ilvl w:val="0"/>
          <w:numId w:val="53"/>
        </w:numPr>
        <w:spacing w:after="160" w:line="278" w:lineRule="auto"/>
        <w:contextualSpacing/>
        <w:rPr>
          <w:rFonts w:ascii="Arial" w:hAnsi="Arial" w:cs="Arial"/>
          <w:b/>
          <w:bCs/>
          <w:color w:val="000000" w:themeColor="text1"/>
          <w:kern w:val="0"/>
          <w:sz w:val="28"/>
          <w:szCs w:val="28"/>
          <w14:ligatures w14:val="none"/>
        </w:rPr>
      </w:pPr>
      <w:r w:rsidRPr="00FA1574">
        <w:rPr>
          <w:rFonts w:ascii="Arial" w:hAnsi="Arial" w:cs="Arial"/>
          <w:b/>
          <w:bCs/>
          <w:color w:val="000000" w:themeColor="text1"/>
          <w:kern w:val="0"/>
          <w:sz w:val="28"/>
          <w:szCs w:val="28"/>
          <w14:ligatures w14:val="none"/>
        </w:rPr>
        <w:lastRenderedPageBreak/>
        <w:t>Emergency Response</w:t>
      </w:r>
    </w:p>
    <w:p w14:paraId="09113E21" w14:textId="77777777" w:rsidR="00FA1574" w:rsidRPr="00FA1574" w:rsidRDefault="00FA1574" w:rsidP="00FA1574">
      <w:pPr>
        <w:spacing w:after="160" w:line="259" w:lineRule="auto"/>
        <w:rPr>
          <w:rFonts w:ascii="Arial" w:hAnsi="Arial" w:cs="Arial"/>
          <w:color w:val="000000" w:themeColor="text1"/>
          <w:kern w:val="0"/>
          <w:sz w:val="22"/>
          <w:szCs w:val="22"/>
          <w:shd w:val="clear" w:color="auto" w:fill="FFFFFF"/>
          <w14:ligatures w14:val="none"/>
        </w:rPr>
      </w:pPr>
      <w:r w:rsidRPr="00FA1574">
        <w:rPr>
          <w:rFonts w:ascii="Arial" w:hAnsi="Arial" w:cs="Arial"/>
          <w:color w:val="auto"/>
          <w:kern w:val="0"/>
          <w:sz w:val="22"/>
          <w:szCs w:val="22"/>
          <w14:ligatures w14:val="none"/>
        </w:rPr>
        <w:t>Participants were asked: “</w:t>
      </w:r>
      <w:r w:rsidRPr="00FA1574">
        <w:rPr>
          <w:rFonts w:ascii="Arial" w:hAnsi="Arial" w:cs="Arial"/>
          <w:color w:val="000000" w:themeColor="text1"/>
          <w:kern w:val="0"/>
          <w:sz w:val="22"/>
          <w:szCs w:val="22"/>
          <w:shd w:val="clear" w:color="auto" w:fill="FFFFFF"/>
          <w14:ligatures w14:val="none"/>
        </w:rPr>
        <w:t>To what extent are you confident in our emergency response to incidents?”</w:t>
      </w:r>
    </w:p>
    <w:tbl>
      <w:tblPr>
        <w:tblW w:w="7120" w:type="dxa"/>
        <w:jc w:val="center"/>
        <w:tblLook w:val="04A0" w:firstRow="1" w:lastRow="0" w:firstColumn="1" w:lastColumn="0" w:noHBand="0" w:noVBand="1"/>
      </w:tblPr>
      <w:tblGrid>
        <w:gridCol w:w="1020"/>
        <w:gridCol w:w="1200"/>
        <w:gridCol w:w="1200"/>
        <w:gridCol w:w="1200"/>
        <w:gridCol w:w="1250"/>
        <w:gridCol w:w="1250"/>
      </w:tblGrid>
      <w:tr w:rsidR="00FA1574" w:rsidRPr="00FA1574" w14:paraId="0151B37D" w14:textId="77777777" w:rsidTr="00F5532B">
        <w:trPr>
          <w:trHeight w:val="518"/>
          <w:jc w:val="center"/>
        </w:trPr>
        <w:tc>
          <w:tcPr>
            <w:tcW w:w="1020" w:type="dxa"/>
            <w:tcBorders>
              <w:top w:val="nil"/>
              <w:left w:val="nil"/>
              <w:bottom w:val="nil"/>
              <w:right w:val="nil"/>
            </w:tcBorders>
            <w:shd w:val="clear" w:color="auto" w:fill="auto"/>
            <w:noWrap/>
            <w:vAlign w:val="bottom"/>
            <w:hideMark/>
          </w:tcPr>
          <w:p w14:paraId="75891D00" w14:textId="77777777" w:rsidR="00FA1574" w:rsidRPr="00FA1574" w:rsidRDefault="00FA1574" w:rsidP="00FA1574">
            <w:pPr>
              <w:rPr>
                <w:rFonts w:ascii="Times New Roman" w:eastAsia="Times New Roman" w:hAnsi="Times New Roman" w:cs="Times New Roman"/>
                <w:color w:val="auto"/>
                <w:kern w:val="0"/>
                <w:sz w:val="22"/>
                <w:szCs w:val="22"/>
                <w:lang w:eastAsia="en-GB"/>
                <w14:ligatures w14:val="none"/>
              </w:rPr>
            </w:pPr>
          </w:p>
        </w:tc>
        <w:tc>
          <w:tcPr>
            <w:tcW w:w="6100" w:type="dxa"/>
            <w:gridSpan w:val="5"/>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82A7EDD"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To what extent are you confident in our emergency response to incidents?</w:t>
            </w:r>
          </w:p>
        </w:tc>
      </w:tr>
      <w:tr w:rsidR="00FA1574" w:rsidRPr="00FA1574" w14:paraId="32BF7268" w14:textId="77777777" w:rsidTr="00F5532B">
        <w:trPr>
          <w:trHeight w:val="945"/>
          <w:jc w:val="center"/>
        </w:trPr>
        <w:tc>
          <w:tcPr>
            <w:tcW w:w="1020" w:type="dxa"/>
            <w:tcBorders>
              <w:top w:val="nil"/>
              <w:left w:val="nil"/>
              <w:bottom w:val="nil"/>
              <w:right w:val="nil"/>
            </w:tcBorders>
            <w:shd w:val="clear" w:color="auto" w:fill="auto"/>
            <w:noWrap/>
            <w:vAlign w:val="bottom"/>
            <w:hideMark/>
          </w:tcPr>
          <w:p w14:paraId="365F75A9"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0731B788" w14:textId="77777777" w:rsidR="00FA1574" w:rsidRPr="00FA1574" w:rsidRDefault="00FA1574" w:rsidP="00FA1574">
            <w:pPr>
              <w:rPr>
                <w:rFonts w:ascii="Calibri" w:eastAsia="Times New Roman" w:hAnsi="Calibri" w:cs="Calibri"/>
                <w:b/>
                <w:bCs/>
                <w:color w:val="000000"/>
                <w:kern w:val="0"/>
                <w:sz w:val="22"/>
                <w:szCs w:val="22"/>
                <w:lang w:eastAsia="en-GB"/>
                <w14:ligatures w14:val="none"/>
              </w:rPr>
            </w:pPr>
            <w:r w:rsidRPr="00FA1574">
              <w:rPr>
                <w:rFonts w:ascii="Calibri" w:hAnsi="Calibri" w:cs="Calibri"/>
                <w:b/>
                <w:bCs/>
                <w:color w:val="000000"/>
                <w:kern w:val="0"/>
                <w:sz w:val="20"/>
                <w:szCs w:val="20"/>
                <w14:ligatures w14:val="none"/>
              </w:rPr>
              <w:t>Very Confident</w:t>
            </w:r>
          </w:p>
        </w:tc>
        <w:tc>
          <w:tcPr>
            <w:tcW w:w="1200" w:type="dxa"/>
            <w:tcBorders>
              <w:top w:val="nil"/>
              <w:left w:val="nil"/>
              <w:bottom w:val="single" w:sz="4" w:space="0" w:color="000000"/>
              <w:right w:val="single" w:sz="4" w:space="0" w:color="000000"/>
            </w:tcBorders>
            <w:shd w:val="clear" w:color="auto" w:fill="auto"/>
            <w:vAlign w:val="center"/>
            <w:hideMark/>
          </w:tcPr>
          <w:p w14:paraId="195A80E6" w14:textId="77777777" w:rsidR="00FA1574" w:rsidRPr="00FA1574" w:rsidRDefault="00FA1574" w:rsidP="00FA1574">
            <w:pPr>
              <w:rPr>
                <w:rFonts w:ascii="Calibri" w:eastAsia="Times New Roman" w:hAnsi="Calibri" w:cs="Calibri"/>
                <w:b/>
                <w:bCs/>
                <w:color w:val="000000"/>
                <w:kern w:val="0"/>
                <w:sz w:val="22"/>
                <w:szCs w:val="22"/>
                <w:lang w:eastAsia="en-GB"/>
                <w14:ligatures w14:val="none"/>
              </w:rPr>
            </w:pPr>
            <w:r w:rsidRPr="00FA1574">
              <w:rPr>
                <w:rFonts w:ascii="Calibri" w:hAnsi="Calibri" w:cs="Calibri"/>
                <w:b/>
                <w:bCs/>
                <w:color w:val="000000"/>
                <w:kern w:val="0"/>
                <w:sz w:val="20"/>
                <w:szCs w:val="20"/>
                <w14:ligatures w14:val="none"/>
              </w:rPr>
              <w:t>Confident</w:t>
            </w:r>
          </w:p>
        </w:tc>
        <w:tc>
          <w:tcPr>
            <w:tcW w:w="1200" w:type="dxa"/>
            <w:tcBorders>
              <w:top w:val="nil"/>
              <w:left w:val="nil"/>
              <w:bottom w:val="single" w:sz="4" w:space="0" w:color="000000"/>
              <w:right w:val="single" w:sz="4" w:space="0" w:color="000000"/>
            </w:tcBorders>
            <w:shd w:val="clear" w:color="auto" w:fill="auto"/>
            <w:vAlign w:val="center"/>
            <w:hideMark/>
          </w:tcPr>
          <w:p w14:paraId="400FBCA4" w14:textId="77777777" w:rsidR="00FA1574" w:rsidRPr="00FA1574" w:rsidRDefault="00FA1574" w:rsidP="00FA1574">
            <w:pPr>
              <w:rPr>
                <w:rFonts w:ascii="Calibri" w:eastAsia="Times New Roman" w:hAnsi="Calibri" w:cs="Calibri"/>
                <w:b/>
                <w:bCs/>
                <w:color w:val="000000"/>
                <w:kern w:val="0"/>
                <w:sz w:val="22"/>
                <w:szCs w:val="22"/>
                <w:lang w:eastAsia="en-GB"/>
                <w14:ligatures w14:val="none"/>
              </w:rPr>
            </w:pPr>
            <w:r w:rsidRPr="00FA1574">
              <w:rPr>
                <w:rFonts w:ascii="Calibri" w:hAnsi="Calibri" w:cs="Calibri"/>
                <w:b/>
                <w:bCs/>
                <w:color w:val="000000"/>
                <w:kern w:val="0"/>
                <w:sz w:val="20"/>
                <w:szCs w:val="20"/>
                <w14:ligatures w14:val="none"/>
              </w:rPr>
              <w:t>Don’t Know</w:t>
            </w:r>
          </w:p>
        </w:tc>
        <w:tc>
          <w:tcPr>
            <w:tcW w:w="1250" w:type="dxa"/>
            <w:tcBorders>
              <w:top w:val="nil"/>
              <w:left w:val="nil"/>
              <w:bottom w:val="single" w:sz="4" w:space="0" w:color="000000"/>
              <w:right w:val="single" w:sz="4" w:space="0" w:color="000000"/>
            </w:tcBorders>
            <w:shd w:val="clear" w:color="auto" w:fill="auto"/>
            <w:vAlign w:val="center"/>
            <w:hideMark/>
          </w:tcPr>
          <w:p w14:paraId="36C4A530" w14:textId="77777777" w:rsidR="00FA1574" w:rsidRPr="00FA1574" w:rsidRDefault="00FA1574" w:rsidP="00FA1574">
            <w:pPr>
              <w:rPr>
                <w:rFonts w:ascii="Calibri" w:eastAsia="Times New Roman" w:hAnsi="Calibri" w:cs="Calibri"/>
                <w:b/>
                <w:bCs/>
                <w:color w:val="000000"/>
                <w:kern w:val="0"/>
                <w:sz w:val="22"/>
                <w:szCs w:val="22"/>
                <w:lang w:eastAsia="en-GB"/>
                <w14:ligatures w14:val="none"/>
              </w:rPr>
            </w:pPr>
            <w:r w:rsidRPr="00FA1574">
              <w:rPr>
                <w:rFonts w:ascii="Calibri" w:hAnsi="Calibri" w:cs="Calibri"/>
                <w:b/>
                <w:bCs/>
                <w:color w:val="000000"/>
                <w:kern w:val="0"/>
                <w:sz w:val="20"/>
                <w:szCs w:val="20"/>
                <w14:ligatures w14:val="none"/>
              </w:rPr>
              <w:t>Unconfident</w:t>
            </w:r>
          </w:p>
        </w:tc>
        <w:tc>
          <w:tcPr>
            <w:tcW w:w="1250" w:type="dxa"/>
            <w:tcBorders>
              <w:top w:val="nil"/>
              <w:left w:val="nil"/>
              <w:bottom w:val="single" w:sz="4" w:space="0" w:color="000000"/>
              <w:right w:val="single" w:sz="4" w:space="0" w:color="000000"/>
            </w:tcBorders>
            <w:shd w:val="clear" w:color="auto" w:fill="auto"/>
            <w:vAlign w:val="center"/>
            <w:hideMark/>
          </w:tcPr>
          <w:p w14:paraId="3101F276" w14:textId="77777777" w:rsidR="00FA1574" w:rsidRPr="00FA1574" w:rsidRDefault="00FA1574" w:rsidP="00FA1574">
            <w:pPr>
              <w:rPr>
                <w:rFonts w:ascii="Calibri" w:eastAsia="Times New Roman" w:hAnsi="Calibri" w:cs="Calibri"/>
                <w:b/>
                <w:bCs/>
                <w:color w:val="000000"/>
                <w:kern w:val="0"/>
                <w:sz w:val="22"/>
                <w:szCs w:val="22"/>
                <w:lang w:eastAsia="en-GB"/>
                <w14:ligatures w14:val="none"/>
              </w:rPr>
            </w:pPr>
            <w:r w:rsidRPr="00FA1574">
              <w:rPr>
                <w:rFonts w:ascii="Calibri" w:hAnsi="Calibri" w:cs="Calibri"/>
                <w:b/>
                <w:bCs/>
                <w:color w:val="000000"/>
                <w:kern w:val="0"/>
                <w:sz w:val="20"/>
                <w:szCs w:val="20"/>
                <w14:ligatures w14:val="none"/>
              </w:rPr>
              <w:t>Very Unconfident</w:t>
            </w:r>
          </w:p>
        </w:tc>
      </w:tr>
      <w:tr w:rsidR="00FA1574" w:rsidRPr="00FA1574" w14:paraId="1ABB2358"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7594DBF1"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Total</w:t>
            </w:r>
          </w:p>
          <w:p w14:paraId="6AC6966C"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nil"/>
              <w:left w:val="nil"/>
              <w:bottom w:val="single" w:sz="4" w:space="0" w:color="000000"/>
              <w:right w:val="single" w:sz="4" w:space="0" w:color="000000"/>
            </w:tcBorders>
            <w:shd w:val="clear" w:color="auto" w:fill="auto"/>
            <w:vAlign w:val="center"/>
            <w:hideMark/>
          </w:tcPr>
          <w:p w14:paraId="5F85A066"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381</w:t>
            </w:r>
          </w:p>
        </w:tc>
        <w:tc>
          <w:tcPr>
            <w:tcW w:w="1200" w:type="dxa"/>
            <w:tcBorders>
              <w:top w:val="nil"/>
              <w:left w:val="nil"/>
              <w:bottom w:val="single" w:sz="4" w:space="0" w:color="000000"/>
              <w:right w:val="single" w:sz="4" w:space="0" w:color="000000"/>
            </w:tcBorders>
            <w:shd w:val="clear" w:color="auto" w:fill="auto"/>
            <w:vAlign w:val="center"/>
            <w:hideMark/>
          </w:tcPr>
          <w:p w14:paraId="246749F0"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229</w:t>
            </w:r>
          </w:p>
        </w:tc>
        <w:tc>
          <w:tcPr>
            <w:tcW w:w="1200" w:type="dxa"/>
            <w:tcBorders>
              <w:top w:val="nil"/>
              <w:left w:val="nil"/>
              <w:bottom w:val="single" w:sz="4" w:space="0" w:color="000000"/>
              <w:right w:val="single" w:sz="4" w:space="0" w:color="000000"/>
            </w:tcBorders>
            <w:shd w:val="clear" w:color="auto" w:fill="auto"/>
            <w:vAlign w:val="center"/>
            <w:hideMark/>
          </w:tcPr>
          <w:p w14:paraId="298C50B5"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19</w:t>
            </w:r>
          </w:p>
        </w:tc>
        <w:tc>
          <w:tcPr>
            <w:tcW w:w="1250" w:type="dxa"/>
            <w:tcBorders>
              <w:top w:val="nil"/>
              <w:left w:val="nil"/>
              <w:bottom w:val="single" w:sz="4" w:space="0" w:color="000000"/>
              <w:right w:val="single" w:sz="4" w:space="0" w:color="000000"/>
            </w:tcBorders>
            <w:shd w:val="clear" w:color="auto" w:fill="auto"/>
            <w:vAlign w:val="center"/>
            <w:hideMark/>
          </w:tcPr>
          <w:p w14:paraId="07010567"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14</w:t>
            </w:r>
          </w:p>
        </w:tc>
        <w:tc>
          <w:tcPr>
            <w:tcW w:w="1250" w:type="dxa"/>
            <w:tcBorders>
              <w:top w:val="nil"/>
              <w:left w:val="nil"/>
              <w:bottom w:val="single" w:sz="4" w:space="0" w:color="000000"/>
              <w:right w:val="single" w:sz="4" w:space="0" w:color="000000"/>
            </w:tcBorders>
            <w:shd w:val="clear" w:color="auto" w:fill="auto"/>
            <w:vAlign w:val="center"/>
            <w:hideMark/>
          </w:tcPr>
          <w:p w14:paraId="4D38E522"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3</w:t>
            </w:r>
          </w:p>
        </w:tc>
      </w:tr>
      <w:tr w:rsidR="00FA1574" w:rsidRPr="00FA1574" w14:paraId="52C58958"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1847A037"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vAlign w:val="center"/>
            <w:hideMark/>
          </w:tcPr>
          <w:p w14:paraId="0EDA2F22"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59%</w:t>
            </w:r>
          </w:p>
        </w:tc>
        <w:tc>
          <w:tcPr>
            <w:tcW w:w="1200" w:type="dxa"/>
            <w:tcBorders>
              <w:top w:val="nil"/>
              <w:left w:val="nil"/>
              <w:bottom w:val="single" w:sz="4" w:space="0" w:color="000000"/>
              <w:right w:val="single" w:sz="4" w:space="0" w:color="000000"/>
            </w:tcBorders>
            <w:shd w:val="clear" w:color="auto" w:fill="auto"/>
            <w:vAlign w:val="center"/>
            <w:hideMark/>
          </w:tcPr>
          <w:p w14:paraId="634ED3F6"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35%</w:t>
            </w:r>
          </w:p>
        </w:tc>
        <w:tc>
          <w:tcPr>
            <w:tcW w:w="1200" w:type="dxa"/>
            <w:tcBorders>
              <w:top w:val="nil"/>
              <w:left w:val="nil"/>
              <w:bottom w:val="single" w:sz="4" w:space="0" w:color="000000"/>
              <w:right w:val="single" w:sz="4" w:space="0" w:color="000000"/>
            </w:tcBorders>
            <w:shd w:val="clear" w:color="auto" w:fill="auto"/>
            <w:vAlign w:val="center"/>
            <w:hideMark/>
          </w:tcPr>
          <w:p w14:paraId="62266F70"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3%</w:t>
            </w:r>
          </w:p>
        </w:tc>
        <w:tc>
          <w:tcPr>
            <w:tcW w:w="1250" w:type="dxa"/>
            <w:tcBorders>
              <w:top w:val="nil"/>
              <w:left w:val="nil"/>
              <w:bottom w:val="single" w:sz="4" w:space="0" w:color="000000"/>
              <w:right w:val="single" w:sz="4" w:space="0" w:color="000000"/>
            </w:tcBorders>
            <w:shd w:val="clear" w:color="auto" w:fill="auto"/>
            <w:vAlign w:val="center"/>
            <w:hideMark/>
          </w:tcPr>
          <w:p w14:paraId="778E0B2D"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2%</w:t>
            </w:r>
          </w:p>
        </w:tc>
        <w:tc>
          <w:tcPr>
            <w:tcW w:w="1250" w:type="dxa"/>
            <w:tcBorders>
              <w:top w:val="nil"/>
              <w:left w:val="nil"/>
              <w:bottom w:val="single" w:sz="4" w:space="0" w:color="000000"/>
              <w:right w:val="single" w:sz="4" w:space="0" w:color="000000"/>
            </w:tcBorders>
            <w:shd w:val="clear" w:color="auto" w:fill="auto"/>
            <w:vAlign w:val="center"/>
            <w:hideMark/>
          </w:tcPr>
          <w:p w14:paraId="1F4FC858"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0%</w:t>
            </w:r>
          </w:p>
        </w:tc>
      </w:tr>
      <w:tr w:rsidR="00FA1574" w:rsidRPr="00FA1574" w14:paraId="6616B947" w14:textId="77777777" w:rsidTr="00F5532B">
        <w:trPr>
          <w:trHeight w:val="263"/>
          <w:jc w:val="center"/>
        </w:trPr>
        <w:tc>
          <w:tcPr>
            <w:tcW w:w="1020" w:type="dxa"/>
            <w:tcBorders>
              <w:top w:val="nil"/>
              <w:left w:val="single" w:sz="4" w:space="0" w:color="000000"/>
              <w:bottom w:val="nil"/>
              <w:right w:val="nil"/>
            </w:tcBorders>
            <w:shd w:val="clear" w:color="auto" w:fill="D9D9D9" w:themeFill="background1" w:themeFillShade="D9"/>
            <w:noWrap/>
            <w:vAlign w:val="bottom"/>
            <w:hideMark/>
          </w:tcPr>
          <w:p w14:paraId="7F32E9B4"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nil"/>
              <w:left w:val="nil"/>
              <w:bottom w:val="nil"/>
              <w:right w:val="nil"/>
            </w:tcBorders>
            <w:shd w:val="clear" w:color="auto" w:fill="D9D9D9" w:themeFill="background1" w:themeFillShade="D9"/>
            <w:noWrap/>
            <w:vAlign w:val="bottom"/>
            <w:hideMark/>
          </w:tcPr>
          <w:p w14:paraId="5F3C9E71"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33973F3A"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4C61564E"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50" w:type="dxa"/>
            <w:tcBorders>
              <w:top w:val="nil"/>
              <w:left w:val="nil"/>
              <w:bottom w:val="nil"/>
              <w:right w:val="nil"/>
            </w:tcBorders>
            <w:shd w:val="clear" w:color="auto" w:fill="D9D9D9" w:themeFill="background1" w:themeFillShade="D9"/>
            <w:noWrap/>
            <w:vAlign w:val="bottom"/>
            <w:hideMark/>
          </w:tcPr>
          <w:p w14:paraId="4D38DE0E"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50" w:type="dxa"/>
            <w:tcBorders>
              <w:top w:val="nil"/>
              <w:left w:val="nil"/>
              <w:bottom w:val="nil"/>
              <w:right w:val="single" w:sz="4" w:space="0" w:color="000000"/>
            </w:tcBorders>
            <w:shd w:val="clear" w:color="auto" w:fill="D9D9D9" w:themeFill="background1" w:themeFillShade="D9"/>
            <w:noWrap/>
            <w:vAlign w:val="bottom"/>
            <w:hideMark/>
          </w:tcPr>
          <w:p w14:paraId="19AB9242"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 </w:t>
            </w:r>
          </w:p>
        </w:tc>
      </w:tr>
      <w:tr w:rsidR="00FA1574" w:rsidRPr="00FA1574" w14:paraId="2B39A217"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10CEC7B1"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Public</w:t>
            </w:r>
          </w:p>
          <w:p w14:paraId="67CF7E2E"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1E28A359"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234</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180F51BF"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153</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1EBFB9A5"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16</w:t>
            </w:r>
          </w:p>
        </w:tc>
        <w:tc>
          <w:tcPr>
            <w:tcW w:w="1250" w:type="dxa"/>
            <w:tcBorders>
              <w:top w:val="single" w:sz="4" w:space="0" w:color="000000"/>
              <w:left w:val="nil"/>
              <w:bottom w:val="single" w:sz="4" w:space="0" w:color="000000"/>
              <w:right w:val="single" w:sz="4" w:space="0" w:color="000000"/>
            </w:tcBorders>
            <w:shd w:val="clear" w:color="auto" w:fill="auto"/>
            <w:noWrap/>
            <w:vAlign w:val="bottom"/>
            <w:hideMark/>
          </w:tcPr>
          <w:p w14:paraId="3C41BDB1"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7</w:t>
            </w:r>
          </w:p>
        </w:tc>
        <w:tc>
          <w:tcPr>
            <w:tcW w:w="1250" w:type="dxa"/>
            <w:tcBorders>
              <w:top w:val="single" w:sz="4" w:space="0" w:color="000000"/>
              <w:left w:val="nil"/>
              <w:bottom w:val="single" w:sz="4" w:space="0" w:color="000000"/>
              <w:right w:val="single" w:sz="4" w:space="0" w:color="000000"/>
            </w:tcBorders>
            <w:shd w:val="clear" w:color="auto" w:fill="auto"/>
            <w:noWrap/>
            <w:vAlign w:val="bottom"/>
            <w:hideMark/>
          </w:tcPr>
          <w:p w14:paraId="41170578"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0</w:t>
            </w:r>
          </w:p>
        </w:tc>
      </w:tr>
      <w:tr w:rsidR="00FA1574" w:rsidRPr="00FA1574" w14:paraId="2CF9E7F9"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5D0C097F"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noWrap/>
            <w:vAlign w:val="bottom"/>
            <w:hideMark/>
          </w:tcPr>
          <w:p w14:paraId="31D52F5E"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57%</w:t>
            </w:r>
          </w:p>
        </w:tc>
        <w:tc>
          <w:tcPr>
            <w:tcW w:w="1200" w:type="dxa"/>
            <w:tcBorders>
              <w:top w:val="nil"/>
              <w:left w:val="nil"/>
              <w:bottom w:val="single" w:sz="4" w:space="0" w:color="000000"/>
              <w:right w:val="single" w:sz="4" w:space="0" w:color="000000"/>
            </w:tcBorders>
            <w:shd w:val="clear" w:color="auto" w:fill="auto"/>
            <w:noWrap/>
            <w:vAlign w:val="bottom"/>
            <w:hideMark/>
          </w:tcPr>
          <w:p w14:paraId="5A870802"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37%</w:t>
            </w:r>
          </w:p>
        </w:tc>
        <w:tc>
          <w:tcPr>
            <w:tcW w:w="1200" w:type="dxa"/>
            <w:tcBorders>
              <w:top w:val="nil"/>
              <w:left w:val="nil"/>
              <w:bottom w:val="single" w:sz="4" w:space="0" w:color="000000"/>
              <w:right w:val="single" w:sz="4" w:space="0" w:color="000000"/>
            </w:tcBorders>
            <w:shd w:val="clear" w:color="auto" w:fill="auto"/>
            <w:noWrap/>
            <w:vAlign w:val="bottom"/>
            <w:hideMark/>
          </w:tcPr>
          <w:p w14:paraId="094B0CEC"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4%</w:t>
            </w:r>
          </w:p>
        </w:tc>
        <w:tc>
          <w:tcPr>
            <w:tcW w:w="1250" w:type="dxa"/>
            <w:tcBorders>
              <w:top w:val="nil"/>
              <w:left w:val="nil"/>
              <w:bottom w:val="single" w:sz="4" w:space="0" w:color="000000"/>
              <w:right w:val="single" w:sz="4" w:space="0" w:color="000000"/>
            </w:tcBorders>
            <w:shd w:val="clear" w:color="auto" w:fill="auto"/>
            <w:noWrap/>
            <w:vAlign w:val="bottom"/>
            <w:hideMark/>
          </w:tcPr>
          <w:p w14:paraId="1F3B6532"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2%</w:t>
            </w:r>
          </w:p>
        </w:tc>
        <w:tc>
          <w:tcPr>
            <w:tcW w:w="1250" w:type="dxa"/>
            <w:tcBorders>
              <w:top w:val="nil"/>
              <w:left w:val="nil"/>
              <w:bottom w:val="single" w:sz="4" w:space="0" w:color="000000"/>
              <w:right w:val="single" w:sz="4" w:space="0" w:color="000000"/>
            </w:tcBorders>
            <w:shd w:val="clear" w:color="auto" w:fill="auto"/>
            <w:noWrap/>
            <w:vAlign w:val="bottom"/>
            <w:hideMark/>
          </w:tcPr>
          <w:p w14:paraId="44A5F020"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0%</w:t>
            </w:r>
          </w:p>
        </w:tc>
      </w:tr>
      <w:tr w:rsidR="00FA1574" w:rsidRPr="00FA1574" w14:paraId="59EE412C" w14:textId="77777777" w:rsidTr="00F5532B">
        <w:trPr>
          <w:trHeight w:val="263"/>
          <w:jc w:val="center"/>
        </w:trPr>
        <w:tc>
          <w:tcPr>
            <w:tcW w:w="1020" w:type="dxa"/>
            <w:tcBorders>
              <w:top w:val="nil"/>
              <w:left w:val="single" w:sz="4" w:space="0" w:color="000000"/>
              <w:bottom w:val="nil"/>
              <w:right w:val="nil"/>
            </w:tcBorders>
            <w:shd w:val="clear" w:color="auto" w:fill="D9D9D9" w:themeFill="background1" w:themeFillShade="D9"/>
            <w:noWrap/>
            <w:vAlign w:val="bottom"/>
            <w:hideMark/>
          </w:tcPr>
          <w:p w14:paraId="0A4507F6"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nil"/>
              <w:left w:val="nil"/>
              <w:bottom w:val="nil"/>
              <w:right w:val="nil"/>
            </w:tcBorders>
            <w:shd w:val="clear" w:color="auto" w:fill="D9D9D9" w:themeFill="background1" w:themeFillShade="D9"/>
            <w:noWrap/>
            <w:vAlign w:val="bottom"/>
            <w:hideMark/>
          </w:tcPr>
          <w:p w14:paraId="154F2D4E"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1989C103"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54BE41FE"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50" w:type="dxa"/>
            <w:tcBorders>
              <w:top w:val="nil"/>
              <w:left w:val="nil"/>
              <w:bottom w:val="nil"/>
              <w:right w:val="nil"/>
            </w:tcBorders>
            <w:shd w:val="clear" w:color="auto" w:fill="D9D9D9" w:themeFill="background1" w:themeFillShade="D9"/>
            <w:noWrap/>
            <w:vAlign w:val="bottom"/>
            <w:hideMark/>
          </w:tcPr>
          <w:p w14:paraId="21F68611"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50" w:type="dxa"/>
            <w:tcBorders>
              <w:top w:val="nil"/>
              <w:left w:val="nil"/>
              <w:bottom w:val="nil"/>
              <w:right w:val="single" w:sz="4" w:space="0" w:color="000000"/>
            </w:tcBorders>
            <w:shd w:val="clear" w:color="auto" w:fill="D9D9D9" w:themeFill="background1" w:themeFillShade="D9"/>
            <w:noWrap/>
            <w:vAlign w:val="bottom"/>
            <w:hideMark/>
          </w:tcPr>
          <w:p w14:paraId="0981F705"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 </w:t>
            </w:r>
          </w:p>
        </w:tc>
      </w:tr>
      <w:tr w:rsidR="00FA1574" w:rsidRPr="00FA1574" w14:paraId="1C6A5EA6"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24472454"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Partners</w:t>
            </w:r>
          </w:p>
          <w:p w14:paraId="58498135"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16EEAE2A"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15</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5D9C47EA"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15</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4F7FC0DC"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0</w:t>
            </w:r>
          </w:p>
        </w:tc>
        <w:tc>
          <w:tcPr>
            <w:tcW w:w="1250" w:type="dxa"/>
            <w:tcBorders>
              <w:top w:val="single" w:sz="4" w:space="0" w:color="000000"/>
              <w:left w:val="nil"/>
              <w:bottom w:val="single" w:sz="4" w:space="0" w:color="000000"/>
              <w:right w:val="single" w:sz="4" w:space="0" w:color="000000"/>
            </w:tcBorders>
            <w:shd w:val="clear" w:color="auto" w:fill="auto"/>
            <w:noWrap/>
            <w:vAlign w:val="bottom"/>
            <w:hideMark/>
          </w:tcPr>
          <w:p w14:paraId="7316A47D"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0</w:t>
            </w:r>
          </w:p>
        </w:tc>
        <w:tc>
          <w:tcPr>
            <w:tcW w:w="1250" w:type="dxa"/>
            <w:tcBorders>
              <w:top w:val="single" w:sz="4" w:space="0" w:color="000000"/>
              <w:left w:val="nil"/>
              <w:bottom w:val="single" w:sz="4" w:space="0" w:color="000000"/>
              <w:right w:val="single" w:sz="4" w:space="0" w:color="000000"/>
            </w:tcBorders>
            <w:shd w:val="clear" w:color="auto" w:fill="auto"/>
            <w:noWrap/>
            <w:vAlign w:val="bottom"/>
            <w:hideMark/>
          </w:tcPr>
          <w:p w14:paraId="46B1572E"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0</w:t>
            </w:r>
          </w:p>
        </w:tc>
      </w:tr>
      <w:tr w:rsidR="00FA1574" w:rsidRPr="00FA1574" w14:paraId="4BF5F7BE"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37BDBF1A"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noWrap/>
            <w:vAlign w:val="bottom"/>
            <w:hideMark/>
          </w:tcPr>
          <w:p w14:paraId="05591626"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50%</w:t>
            </w:r>
          </w:p>
        </w:tc>
        <w:tc>
          <w:tcPr>
            <w:tcW w:w="1200" w:type="dxa"/>
            <w:tcBorders>
              <w:top w:val="nil"/>
              <w:left w:val="nil"/>
              <w:bottom w:val="single" w:sz="4" w:space="0" w:color="000000"/>
              <w:right w:val="single" w:sz="4" w:space="0" w:color="000000"/>
            </w:tcBorders>
            <w:shd w:val="clear" w:color="auto" w:fill="auto"/>
            <w:noWrap/>
            <w:vAlign w:val="bottom"/>
            <w:hideMark/>
          </w:tcPr>
          <w:p w14:paraId="45B37124"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50%</w:t>
            </w:r>
          </w:p>
        </w:tc>
        <w:tc>
          <w:tcPr>
            <w:tcW w:w="1200" w:type="dxa"/>
            <w:tcBorders>
              <w:top w:val="nil"/>
              <w:left w:val="nil"/>
              <w:bottom w:val="single" w:sz="4" w:space="0" w:color="000000"/>
              <w:right w:val="single" w:sz="4" w:space="0" w:color="000000"/>
            </w:tcBorders>
            <w:shd w:val="clear" w:color="auto" w:fill="auto"/>
            <w:noWrap/>
            <w:vAlign w:val="bottom"/>
            <w:hideMark/>
          </w:tcPr>
          <w:p w14:paraId="10085AE8"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0%</w:t>
            </w:r>
          </w:p>
        </w:tc>
        <w:tc>
          <w:tcPr>
            <w:tcW w:w="1250" w:type="dxa"/>
            <w:tcBorders>
              <w:top w:val="nil"/>
              <w:left w:val="nil"/>
              <w:bottom w:val="single" w:sz="4" w:space="0" w:color="000000"/>
              <w:right w:val="single" w:sz="4" w:space="0" w:color="000000"/>
            </w:tcBorders>
            <w:shd w:val="clear" w:color="auto" w:fill="auto"/>
            <w:noWrap/>
            <w:vAlign w:val="bottom"/>
            <w:hideMark/>
          </w:tcPr>
          <w:p w14:paraId="2B942E2E"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0%</w:t>
            </w:r>
          </w:p>
        </w:tc>
        <w:tc>
          <w:tcPr>
            <w:tcW w:w="1250" w:type="dxa"/>
            <w:tcBorders>
              <w:top w:val="nil"/>
              <w:left w:val="nil"/>
              <w:bottom w:val="single" w:sz="4" w:space="0" w:color="000000"/>
              <w:right w:val="single" w:sz="4" w:space="0" w:color="000000"/>
            </w:tcBorders>
            <w:shd w:val="clear" w:color="auto" w:fill="auto"/>
            <w:noWrap/>
            <w:vAlign w:val="bottom"/>
            <w:hideMark/>
          </w:tcPr>
          <w:p w14:paraId="6EBC6184"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0%</w:t>
            </w:r>
          </w:p>
        </w:tc>
      </w:tr>
      <w:tr w:rsidR="00FA1574" w:rsidRPr="00FA1574" w14:paraId="00C2E854" w14:textId="77777777" w:rsidTr="00F5532B">
        <w:trPr>
          <w:trHeight w:val="263"/>
          <w:jc w:val="center"/>
        </w:trPr>
        <w:tc>
          <w:tcPr>
            <w:tcW w:w="1020" w:type="dxa"/>
            <w:tcBorders>
              <w:top w:val="nil"/>
              <w:left w:val="single" w:sz="4" w:space="0" w:color="000000"/>
              <w:bottom w:val="nil"/>
              <w:right w:val="nil"/>
            </w:tcBorders>
            <w:shd w:val="clear" w:color="auto" w:fill="D9D9D9" w:themeFill="background1" w:themeFillShade="D9"/>
            <w:noWrap/>
            <w:vAlign w:val="bottom"/>
            <w:hideMark/>
          </w:tcPr>
          <w:p w14:paraId="362E185A"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nil"/>
              <w:left w:val="nil"/>
              <w:bottom w:val="nil"/>
              <w:right w:val="nil"/>
            </w:tcBorders>
            <w:shd w:val="clear" w:color="auto" w:fill="D9D9D9" w:themeFill="background1" w:themeFillShade="D9"/>
            <w:noWrap/>
            <w:vAlign w:val="bottom"/>
            <w:hideMark/>
          </w:tcPr>
          <w:p w14:paraId="216916DB"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579E8116"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76CB054D"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50" w:type="dxa"/>
            <w:tcBorders>
              <w:top w:val="nil"/>
              <w:left w:val="nil"/>
              <w:bottom w:val="nil"/>
              <w:right w:val="nil"/>
            </w:tcBorders>
            <w:shd w:val="clear" w:color="auto" w:fill="D9D9D9" w:themeFill="background1" w:themeFillShade="D9"/>
            <w:noWrap/>
            <w:vAlign w:val="bottom"/>
            <w:hideMark/>
          </w:tcPr>
          <w:p w14:paraId="659752C8"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50" w:type="dxa"/>
            <w:tcBorders>
              <w:top w:val="nil"/>
              <w:left w:val="nil"/>
              <w:bottom w:val="nil"/>
              <w:right w:val="single" w:sz="4" w:space="0" w:color="000000"/>
            </w:tcBorders>
            <w:shd w:val="clear" w:color="auto" w:fill="D9D9D9" w:themeFill="background1" w:themeFillShade="D9"/>
            <w:noWrap/>
            <w:vAlign w:val="bottom"/>
            <w:hideMark/>
          </w:tcPr>
          <w:p w14:paraId="794FAD93"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 </w:t>
            </w:r>
          </w:p>
        </w:tc>
      </w:tr>
      <w:tr w:rsidR="00FA1574" w:rsidRPr="00FA1574" w14:paraId="599D999D"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50577ECF"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Staff</w:t>
            </w:r>
          </w:p>
          <w:p w14:paraId="47A8B00E"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2D76DAC2"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101</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43B31DDE"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51</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498D9BE0"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0</w:t>
            </w:r>
          </w:p>
        </w:tc>
        <w:tc>
          <w:tcPr>
            <w:tcW w:w="1250" w:type="dxa"/>
            <w:tcBorders>
              <w:top w:val="single" w:sz="4" w:space="0" w:color="000000"/>
              <w:left w:val="nil"/>
              <w:bottom w:val="single" w:sz="4" w:space="0" w:color="000000"/>
              <w:right w:val="single" w:sz="4" w:space="0" w:color="000000"/>
            </w:tcBorders>
            <w:shd w:val="clear" w:color="auto" w:fill="auto"/>
            <w:noWrap/>
            <w:vAlign w:val="bottom"/>
            <w:hideMark/>
          </w:tcPr>
          <w:p w14:paraId="58A1AC20"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3</w:t>
            </w:r>
          </w:p>
        </w:tc>
        <w:tc>
          <w:tcPr>
            <w:tcW w:w="1250" w:type="dxa"/>
            <w:tcBorders>
              <w:top w:val="single" w:sz="4" w:space="0" w:color="000000"/>
              <w:left w:val="nil"/>
              <w:bottom w:val="single" w:sz="4" w:space="0" w:color="000000"/>
              <w:right w:val="single" w:sz="4" w:space="0" w:color="000000"/>
            </w:tcBorders>
            <w:shd w:val="clear" w:color="auto" w:fill="auto"/>
            <w:noWrap/>
            <w:vAlign w:val="bottom"/>
            <w:hideMark/>
          </w:tcPr>
          <w:p w14:paraId="4D5539F7"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3</w:t>
            </w:r>
          </w:p>
        </w:tc>
      </w:tr>
      <w:tr w:rsidR="00FA1574" w:rsidRPr="00FA1574" w14:paraId="0ED9C028"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0E1AF08F"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noWrap/>
            <w:vAlign w:val="bottom"/>
            <w:hideMark/>
          </w:tcPr>
          <w:p w14:paraId="3A8B4D3B"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64%</w:t>
            </w:r>
          </w:p>
        </w:tc>
        <w:tc>
          <w:tcPr>
            <w:tcW w:w="1200" w:type="dxa"/>
            <w:tcBorders>
              <w:top w:val="nil"/>
              <w:left w:val="nil"/>
              <w:bottom w:val="single" w:sz="4" w:space="0" w:color="000000"/>
              <w:right w:val="single" w:sz="4" w:space="0" w:color="000000"/>
            </w:tcBorders>
            <w:shd w:val="clear" w:color="auto" w:fill="auto"/>
            <w:noWrap/>
            <w:vAlign w:val="bottom"/>
            <w:hideMark/>
          </w:tcPr>
          <w:p w14:paraId="0D1E9B84"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32%</w:t>
            </w:r>
          </w:p>
        </w:tc>
        <w:tc>
          <w:tcPr>
            <w:tcW w:w="1200" w:type="dxa"/>
            <w:tcBorders>
              <w:top w:val="nil"/>
              <w:left w:val="nil"/>
              <w:bottom w:val="single" w:sz="4" w:space="0" w:color="000000"/>
              <w:right w:val="single" w:sz="4" w:space="0" w:color="000000"/>
            </w:tcBorders>
            <w:shd w:val="clear" w:color="auto" w:fill="auto"/>
            <w:noWrap/>
            <w:vAlign w:val="bottom"/>
            <w:hideMark/>
          </w:tcPr>
          <w:p w14:paraId="6A40CA94"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0%</w:t>
            </w:r>
          </w:p>
        </w:tc>
        <w:tc>
          <w:tcPr>
            <w:tcW w:w="1250" w:type="dxa"/>
            <w:tcBorders>
              <w:top w:val="nil"/>
              <w:left w:val="nil"/>
              <w:bottom w:val="single" w:sz="4" w:space="0" w:color="000000"/>
              <w:right w:val="single" w:sz="4" w:space="0" w:color="000000"/>
            </w:tcBorders>
            <w:shd w:val="clear" w:color="auto" w:fill="auto"/>
            <w:noWrap/>
            <w:vAlign w:val="bottom"/>
            <w:hideMark/>
          </w:tcPr>
          <w:p w14:paraId="52A86F60"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2%</w:t>
            </w:r>
          </w:p>
        </w:tc>
        <w:tc>
          <w:tcPr>
            <w:tcW w:w="1250" w:type="dxa"/>
            <w:tcBorders>
              <w:top w:val="nil"/>
              <w:left w:val="nil"/>
              <w:bottom w:val="single" w:sz="4" w:space="0" w:color="000000"/>
              <w:right w:val="single" w:sz="4" w:space="0" w:color="000000"/>
            </w:tcBorders>
            <w:shd w:val="clear" w:color="auto" w:fill="auto"/>
            <w:noWrap/>
            <w:vAlign w:val="bottom"/>
            <w:hideMark/>
          </w:tcPr>
          <w:p w14:paraId="22C58706"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2%</w:t>
            </w:r>
          </w:p>
        </w:tc>
      </w:tr>
    </w:tbl>
    <w:p w14:paraId="52AD833D" w14:textId="77777777" w:rsidR="00FA1574" w:rsidRPr="00FA1574" w:rsidRDefault="00FA1574" w:rsidP="00FA1574">
      <w:pPr>
        <w:spacing w:after="160" w:line="259" w:lineRule="auto"/>
        <w:rPr>
          <w:rFonts w:ascii="Arial" w:hAnsi="Arial" w:cs="Arial"/>
          <w:b/>
          <w:bCs/>
          <w:color w:val="000000" w:themeColor="text1"/>
          <w:kern w:val="0"/>
          <w:sz w:val="22"/>
          <w:szCs w:val="22"/>
          <w14:ligatures w14:val="none"/>
        </w:rPr>
      </w:pPr>
    </w:p>
    <w:p w14:paraId="6590AAA7" w14:textId="77777777" w:rsidR="00FA1574" w:rsidRPr="00FA1574" w:rsidRDefault="00FA1574" w:rsidP="00FA1574">
      <w:pPr>
        <w:spacing w:after="160" w:line="259" w:lineRule="auto"/>
        <w:rPr>
          <w:rFonts w:ascii="Arial" w:hAnsi="Arial" w:cs="Arial"/>
          <w:b/>
          <w:bCs/>
          <w:color w:val="000000" w:themeColor="text1"/>
          <w:kern w:val="0"/>
          <w:sz w:val="20"/>
          <w:szCs w:val="20"/>
          <w14:ligatures w14:val="none"/>
        </w:rPr>
      </w:pPr>
      <w:r w:rsidRPr="00FA1574">
        <w:rPr>
          <w:rFonts w:ascii="Arial" w:hAnsi="Arial" w:cs="Arial"/>
          <w:b/>
          <w:bCs/>
          <w:color w:val="000000" w:themeColor="text1"/>
          <w:kern w:val="0"/>
          <w:sz w:val="20"/>
          <w:szCs w:val="20"/>
          <w14:ligatures w14:val="none"/>
        </w:rPr>
        <w:t>94% of respondents stated that they are confident or very confident in our response plans for emergencies.</w:t>
      </w:r>
    </w:p>
    <w:p w14:paraId="79EFAD4B"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2% of respondents are not confident, with 3% not sure.</w:t>
      </w:r>
    </w:p>
    <w:p w14:paraId="7AD81446"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Notably, 100% of partner responses stated that they are confident in our response plans. The public &amp; staff were 94% and 96% confident respectively.</w:t>
      </w:r>
    </w:p>
    <w:p w14:paraId="4E8EAF59" w14:textId="77777777" w:rsidR="00FA1574" w:rsidRPr="00FA1574" w:rsidRDefault="00FA1574" w:rsidP="00FA1574">
      <w:pPr>
        <w:spacing w:after="160" w:line="259" w:lineRule="auto"/>
        <w:rPr>
          <w:rFonts w:ascii="Arial" w:hAnsi="Arial" w:cs="Arial"/>
          <w:color w:val="000000" w:themeColor="text1"/>
          <w:kern w:val="0"/>
          <w:sz w:val="22"/>
          <w:szCs w:val="22"/>
          <w14:ligatures w14:val="none"/>
        </w:rPr>
      </w:pPr>
    </w:p>
    <w:p w14:paraId="52E9D527" w14:textId="77777777" w:rsidR="00FA1574" w:rsidRPr="00FA1574" w:rsidRDefault="00FA1574" w:rsidP="00FA1574">
      <w:pPr>
        <w:numPr>
          <w:ilvl w:val="0"/>
          <w:numId w:val="53"/>
        </w:numPr>
        <w:spacing w:after="160" w:line="278" w:lineRule="auto"/>
        <w:contextualSpacing/>
        <w:rPr>
          <w:rFonts w:ascii="Arial" w:hAnsi="Arial" w:cs="Arial"/>
          <w:b/>
          <w:bCs/>
          <w:color w:val="000000" w:themeColor="text1"/>
          <w:kern w:val="0"/>
          <w:sz w:val="28"/>
          <w:szCs w:val="28"/>
          <w14:ligatures w14:val="none"/>
        </w:rPr>
      </w:pPr>
      <w:r w:rsidRPr="00FA1574">
        <w:rPr>
          <w:rFonts w:ascii="Arial" w:hAnsi="Arial" w:cs="Arial"/>
          <w:b/>
          <w:bCs/>
          <w:color w:val="000000" w:themeColor="text1"/>
          <w:kern w:val="0"/>
          <w:sz w:val="28"/>
          <w:szCs w:val="28"/>
          <w14:ligatures w14:val="none"/>
        </w:rPr>
        <w:t>Resource Allocation</w:t>
      </w:r>
    </w:p>
    <w:p w14:paraId="6FA3219E" w14:textId="77777777" w:rsidR="00FA1574" w:rsidRPr="00FA1574" w:rsidRDefault="00FA1574" w:rsidP="00FA1574">
      <w:pPr>
        <w:spacing w:after="160" w:line="259" w:lineRule="auto"/>
        <w:rPr>
          <w:rFonts w:ascii="Arial" w:hAnsi="Arial" w:cs="Arial"/>
          <w:color w:val="000000" w:themeColor="text1"/>
          <w:kern w:val="0"/>
          <w:sz w:val="22"/>
          <w:szCs w:val="22"/>
          <w:shd w:val="clear" w:color="auto" w:fill="FFFFFF"/>
          <w14:ligatures w14:val="none"/>
        </w:rPr>
      </w:pPr>
      <w:r w:rsidRPr="00FA1574">
        <w:rPr>
          <w:rFonts w:ascii="Arial" w:hAnsi="Arial" w:cs="Arial"/>
          <w:color w:val="auto"/>
          <w:kern w:val="0"/>
          <w:sz w:val="22"/>
          <w:szCs w:val="22"/>
          <w14:ligatures w14:val="none"/>
        </w:rPr>
        <w:t>Participants were asked</w:t>
      </w:r>
      <w:r w:rsidRPr="00FA1574">
        <w:rPr>
          <w:rFonts w:ascii="Arial" w:hAnsi="Arial" w:cs="Arial"/>
          <w:color w:val="000000" w:themeColor="text1"/>
          <w:kern w:val="0"/>
          <w:sz w:val="22"/>
          <w:szCs w:val="22"/>
          <w14:ligatures w14:val="none"/>
        </w:rPr>
        <w:t>: “</w:t>
      </w:r>
      <w:r w:rsidRPr="00FA1574">
        <w:rPr>
          <w:rFonts w:ascii="Arial" w:hAnsi="Arial" w:cs="Arial"/>
          <w:color w:val="000000" w:themeColor="text1"/>
          <w:kern w:val="0"/>
          <w:sz w:val="22"/>
          <w:szCs w:val="22"/>
          <w:shd w:val="clear" w:color="auto" w:fill="FFFFFF"/>
          <w14:ligatures w14:val="none"/>
        </w:rPr>
        <w:t>To what extent do you agree that our CRMP clearly explains how our resources are allocated to address the most significant risks in your community?”</w:t>
      </w:r>
    </w:p>
    <w:tbl>
      <w:tblPr>
        <w:tblW w:w="7020" w:type="dxa"/>
        <w:jc w:val="center"/>
        <w:tblLook w:val="04A0" w:firstRow="1" w:lastRow="0" w:firstColumn="1" w:lastColumn="0" w:noHBand="0" w:noVBand="1"/>
      </w:tblPr>
      <w:tblGrid>
        <w:gridCol w:w="1020"/>
        <w:gridCol w:w="1200"/>
        <w:gridCol w:w="1200"/>
        <w:gridCol w:w="1200"/>
        <w:gridCol w:w="1200"/>
        <w:gridCol w:w="1200"/>
      </w:tblGrid>
      <w:tr w:rsidR="00FA1574" w:rsidRPr="00FA1574" w14:paraId="3100220D" w14:textId="77777777" w:rsidTr="00F5532B">
        <w:trPr>
          <w:trHeight w:val="773"/>
          <w:jc w:val="center"/>
        </w:trPr>
        <w:tc>
          <w:tcPr>
            <w:tcW w:w="1020" w:type="dxa"/>
            <w:tcBorders>
              <w:top w:val="nil"/>
              <w:left w:val="nil"/>
              <w:bottom w:val="nil"/>
              <w:right w:val="nil"/>
            </w:tcBorders>
            <w:shd w:val="clear" w:color="auto" w:fill="auto"/>
            <w:noWrap/>
            <w:vAlign w:val="bottom"/>
            <w:hideMark/>
          </w:tcPr>
          <w:p w14:paraId="604D8C2E" w14:textId="77777777" w:rsidR="00FA1574" w:rsidRPr="00FA1574" w:rsidRDefault="00FA1574" w:rsidP="00FA1574">
            <w:pPr>
              <w:rPr>
                <w:rFonts w:ascii="Times New Roman" w:eastAsia="Times New Roman" w:hAnsi="Times New Roman" w:cs="Times New Roman"/>
                <w:color w:val="auto"/>
                <w:kern w:val="0"/>
                <w:sz w:val="22"/>
                <w:szCs w:val="22"/>
                <w:lang w:eastAsia="en-GB"/>
                <w14:ligatures w14:val="none"/>
              </w:rPr>
            </w:pPr>
          </w:p>
        </w:tc>
        <w:tc>
          <w:tcPr>
            <w:tcW w:w="6000" w:type="dxa"/>
            <w:gridSpan w:val="5"/>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A079C33" w14:textId="77777777" w:rsidR="00FA1574" w:rsidRPr="00FA1574" w:rsidRDefault="00FA1574" w:rsidP="00FA1574">
            <w:pPr>
              <w:rPr>
                <w:rFonts w:asciiTheme="minorHAnsi" w:eastAsia="Times New Roman" w:hAnsiTheme="minorHAnsi" w:cstheme="minorHAnsi"/>
                <w:b/>
                <w:bCs/>
                <w:color w:val="000000"/>
                <w:kern w:val="0"/>
                <w:sz w:val="20"/>
                <w:szCs w:val="20"/>
                <w:lang w:eastAsia="en-GB"/>
                <w14:ligatures w14:val="none"/>
              </w:rPr>
            </w:pPr>
            <w:r w:rsidRPr="00FA1574">
              <w:rPr>
                <w:rFonts w:asciiTheme="minorHAnsi" w:hAnsiTheme="minorHAnsi" w:cstheme="minorHAnsi"/>
                <w:b/>
                <w:bCs/>
                <w:color w:val="000000" w:themeColor="text1"/>
                <w:kern w:val="0"/>
                <w:sz w:val="20"/>
                <w:szCs w:val="20"/>
                <w:shd w:val="clear" w:color="auto" w:fill="FFFFFF"/>
                <w14:ligatures w14:val="none"/>
              </w:rPr>
              <w:t>To what extent do you agree that our CRMP clearly explains how our resources are allocated to address the most significant risks in your community?</w:t>
            </w:r>
          </w:p>
        </w:tc>
      </w:tr>
      <w:tr w:rsidR="00FA1574" w:rsidRPr="00FA1574" w14:paraId="2A7C5D64" w14:textId="77777777" w:rsidTr="00F5532B">
        <w:trPr>
          <w:trHeight w:val="945"/>
          <w:jc w:val="center"/>
        </w:trPr>
        <w:tc>
          <w:tcPr>
            <w:tcW w:w="1020" w:type="dxa"/>
            <w:tcBorders>
              <w:top w:val="nil"/>
              <w:left w:val="nil"/>
              <w:bottom w:val="nil"/>
              <w:right w:val="nil"/>
            </w:tcBorders>
            <w:shd w:val="clear" w:color="auto" w:fill="auto"/>
            <w:noWrap/>
            <w:vAlign w:val="bottom"/>
            <w:hideMark/>
          </w:tcPr>
          <w:p w14:paraId="6D27182C"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0FD74CD1" w14:textId="77777777" w:rsidR="00FA1574" w:rsidRPr="00FA1574" w:rsidRDefault="00FA1574" w:rsidP="00FA1574">
            <w:pPr>
              <w:rPr>
                <w:rFonts w:ascii="Calibri" w:eastAsia="Times New Roman" w:hAnsi="Calibri" w:cs="Calibri"/>
                <w:b/>
                <w:bCs/>
                <w:color w:val="000000"/>
                <w:kern w:val="0"/>
                <w:sz w:val="22"/>
                <w:szCs w:val="22"/>
                <w:lang w:eastAsia="en-GB"/>
                <w14:ligatures w14:val="none"/>
              </w:rPr>
            </w:pPr>
            <w:r w:rsidRPr="00FA1574">
              <w:rPr>
                <w:rFonts w:ascii="Calibri" w:hAnsi="Calibri" w:cs="Calibri"/>
                <w:b/>
                <w:bCs/>
                <w:color w:val="000000"/>
                <w:kern w:val="0"/>
                <w:sz w:val="22"/>
                <w:szCs w:val="22"/>
                <w14:ligatures w14:val="none"/>
              </w:rPr>
              <w:t>Strongly agree</w:t>
            </w:r>
          </w:p>
        </w:tc>
        <w:tc>
          <w:tcPr>
            <w:tcW w:w="1200" w:type="dxa"/>
            <w:tcBorders>
              <w:top w:val="nil"/>
              <w:left w:val="nil"/>
              <w:bottom w:val="single" w:sz="4" w:space="0" w:color="000000"/>
              <w:right w:val="single" w:sz="4" w:space="0" w:color="000000"/>
            </w:tcBorders>
            <w:shd w:val="clear" w:color="auto" w:fill="auto"/>
            <w:vAlign w:val="center"/>
            <w:hideMark/>
          </w:tcPr>
          <w:p w14:paraId="51AAB914" w14:textId="77777777" w:rsidR="00FA1574" w:rsidRPr="00FA1574" w:rsidRDefault="00FA1574" w:rsidP="00FA1574">
            <w:pPr>
              <w:rPr>
                <w:rFonts w:ascii="Calibri" w:eastAsia="Times New Roman" w:hAnsi="Calibri" w:cs="Calibri"/>
                <w:b/>
                <w:bCs/>
                <w:color w:val="000000"/>
                <w:kern w:val="0"/>
                <w:sz w:val="22"/>
                <w:szCs w:val="22"/>
                <w:lang w:eastAsia="en-GB"/>
                <w14:ligatures w14:val="none"/>
              </w:rPr>
            </w:pPr>
            <w:r w:rsidRPr="00FA1574">
              <w:rPr>
                <w:rFonts w:ascii="Calibri" w:hAnsi="Calibri" w:cs="Calibri"/>
                <w:b/>
                <w:bCs/>
                <w:color w:val="000000"/>
                <w:kern w:val="0"/>
                <w:sz w:val="22"/>
                <w:szCs w:val="22"/>
                <w14:ligatures w14:val="none"/>
              </w:rPr>
              <w:t>Agree</w:t>
            </w:r>
          </w:p>
        </w:tc>
        <w:tc>
          <w:tcPr>
            <w:tcW w:w="1200" w:type="dxa"/>
            <w:tcBorders>
              <w:top w:val="nil"/>
              <w:left w:val="nil"/>
              <w:bottom w:val="single" w:sz="4" w:space="0" w:color="000000"/>
              <w:right w:val="single" w:sz="4" w:space="0" w:color="000000"/>
            </w:tcBorders>
            <w:shd w:val="clear" w:color="auto" w:fill="auto"/>
            <w:vAlign w:val="center"/>
            <w:hideMark/>
          </w:tcPr>
          <w:p w14:paraId="1D8B153A" w14:textId="77777777" w:rsidR="00FA1574" w:rsidRPr="00FA1574" w:rsidRDefault="00FA1574" w:rsidP="00FA1574">
            <w:pPr>
              <w:rPr>
                <w:rFonts w:ascii="Calibri" w:eastAsia="Times New Roman" w:hAnsi="Calibri" w:cs="Calibri"/>
                <w:b/>
                <w:bCs/>
                <w:color w:val="000000"/>
                <w:kern w:val="0"/>
                <w:sz w:val="22"/>
                <w:szCs w:val="22"/>
                <w:lang w:eastAsia="en-GB"/>
                <w14:ligatures w14:val="none"/>
              </w:rPr>
            </w:pPr>
            <w:r w:rsidRPr="00FA1574">
              <w:rPr>
                <w:rFonts w:ascii="Calibri" w:hAnsi="Calibri" w:cs="Calibri"/>
                <w:b/>
                <w:bCs/>
                <w:color w:val="000000"/>
                <w:kern w:val="0"/>
                <w:sz w:val="22"/>
                <w:szCs w:val="22"/>
                <w14:ligatures w14:val="none"/>
              </w:rPr>
              <w:t>Neither agree nor disagree</w:t>
            </w:r>
          </w:p>
        </w:tc>
        <w:tc>
          <w:tcPr>
            <w:tcW w:w="1200" w:type="dxa"/>
            <w:tcBorders>
              <w:top w:val="nil"/>
              <w:left w:val="nil"/>
              <w:bottom w:val="single" w:sz="4" w:space="0" w:color="000000"/>
              <w:right w:val="single" w:sz="4" w:space="0" w:color="000000"/>
            </w:tcBorders>
            <w:shd w:val="clear" w:color="auto" w:fill="auto"/>
            <w:vAlign w:val="center"/>
            <w:hideMark/>
          </w:tcPr>
          <w:p w14:paraId="7BBA0731" w14:textId="77777777" w:rsidR="00FA1574" w:rsidRPr="00FA1574" w:rsidRDefault="00FA1574" w:rsidP="00FA1574">
            <w:pPr>
              <w:rPr>
                <w:rFonts w:ascii="Calibri" w:eastAsia="Times New Roman" w:hAnsi="Calibri" w:cs="Calibri"/>
                <w:b/>
                <w:bCs/>
                <w:color w:val="000000"/>
                <w:kern w:val="0"/>
                <w:sz w:val="22"/>
                <w:szCs w:val="22"/>
                <w:lang w:eastAsia="en-GB"/>
                <w14:ligatures w14:val="none"/>
              </w:rPr>
            </w:pPr>
            <w:r w:rsidRPr="00FA1574">
              <w:rPr>
                <w:rFonts w:ascii="Calibri" w:hAnsi="Calibri" w:cs="Calibri"/>
                <w:b/>
                <w:bCs/>
                <w:color w:val="000000"/>
                <w:kern w:val="0"/>
                <w:sz w:val="22"/>
                <w:szCs w:val="22"/>
                <w14:ligatures w14:val="none"/>
              </w:rPr>
              <w:t>Disagree</w:t>
            </w:r>
          </w:p>
        </w:tc>
        <w:tc>
          <w:tcPr>
            <w:tcW w:w="1200" w:type="dxa"/>
            <w:tcBorders>
              <w:top w:val="nil"/>
              <w:left w:val="nil"/>
              <w:bottom w:val="single" w:sz="4" w:space="0" w:color="000000"/>
              <w:right w:val="single" w:sz="4" w:space="0" w:color="000000"/>
            </w:tcBorders>
            <w:shd w:val="clear" w:color="auto" w:fill="auto"/>
            <w:vAlign w:val="center"/>
            <w:hideMark/>
          </w:tcPr>
          <w:p w14:paraId="2AB2DAB0" w14:textId="77777777" w:rsidR="00FA1574" w:rsidRPr="00FA1574" w:rsidRDefault="00FA1574" w:rsidP="00FA1574">
            <w:pPr>
              <w:rPr>
                <w:rFonts w:ascii="Calibri" w:eastAsia="Times New Roman" w:hAnsi="Calibri" w:cs="Calibri"/>
                <w:b/>
                <w:bCs/>
                <w:color w:val="000000"/>
                <w:kern w:val="0"/>
                <w:sz w:val="22"/>
                <w:szCs w:val="22"/>
                <w:lang w:eastAsia="en-GB"/>
                <w14:ligatures w14:val="none"/>
              </w:rPr>
            </w:pPr>
            <w:r w:rsidRPr="00FA1574">
              <w:rPr>
                <w:rFonts w:ascii="Calibri" w:hAnsi="Calibri" w:cs="Calibri"/>
                <w:b/>
                <w:bCs/>
                <w:color w:val="000000"/>
                <w:kern w:val="0"/>
                <w:sz w:val="22"/>
                <w:szCs w:val="22"/>
                <w14:ligatures w14:val="none"/>
              </w:rPr>
              <w:t>Strongly disagree</w:t>
            </w:r>
          </w:p>
        </w:tc>
      </w:tr>
      <w:tr w:rsidR="00FA1574" w:rsidRPr="00FA1574" w14:paraId="2316388E"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00179BCD"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Total</w:t>
            </w:r>
          </w:p>
          <w:p w14:paraId="24C0AC1D"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nil"/>
              <w:left w:val="nil"/>
              <w:bottom w:val="single" w:sz="4" w:space="0" w:color="000000"/>
              <w:right w:val="single" w:sz="4" w:space="0" w:color="000000"/>
            </w:tcBorders>
            <w:shd w:val="clear" w:color="auto" w:fill="auto"/>
            <w:vAlign w:val="center"/>
            <w:hideMark/>
          </w:tcPr>
          <w:p w14:paraId="0E97A78F"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271</w:t>
            </w:r>
          </w:p>
        </w:tc>
        <w:tc>
          <w:tcPr>
            <w:tcW w:w="1200" w:type="dxa"/>
            <w:tcBorders>
              <w:top w:val="nil"/>
              <w:left w:val="nil"/>
              <w:bottom w:val="single" w:sz="4" w:space="0" w:color="000000"/>
              <w:right w:val="single" w:sz="4" w:space="0" w:color="000000"/>
            </w:tcBorders>
            <w:shd w:val="clear" w:color="auto" w:fill="auto"/>
            <w:vAlign w:val="center"/>
            <w:hideMark/>
          </w:tcPr>
          <w:p w14:paraId="6B03E3F3"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283</w:t>
            </w:r>
          </w:p>
        </w:tc>
        <w:tc>
          <w:tcPr>
            <w:tcW w:w="1200" w:type="dxa"/>
            <w:tcBorders>
              <w:top w:val="nil"/>
              <w:left w:val="nil"/>
              <w:bottom w:val="single" w:sz="4" w:space="0" w:color="000000"/>
              <w:right w:val="single" w:sz="4" w:space="0" w:color="000000"/>
            </w:tcBorders>
            <w:shd w:val="clear" w:color="auto" w:fill="auto"/>
            <w:vAlign w:val="center"/>
            <w:hideMark/>
          </w:tcPr>
          <w:p w14:paraId="0F4CDAAA"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69</w:t>
            </w:r>
          </w:p>
        </w:tc>
        <w:tc>
          <w:tcPr>
            <w:tcW w:w="1200" w:type="dxa"/>
            <w:tcBorders>
              <w:top w:val="nil"/>
              <w:left w:val="nil"/>
              <w:bottom w:val="single" w:sz="4" w:space="0" w:color="000000"/>
              <w:right w:val="single" w:sz="4" w:space="0" w:color="000000"/>
            </w:tcBorders>
            <w:shd w:val="clear" w:color="auto" w:fill="auto"/>
            <w:vAlign w:val="center"/>
            <w:hideMark/>
          </w:tcPr>
          <w:p w14:paraId="126D6921"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19</w:t>
            </w:r>
          </w:p>
        </w:tc>
        <w:tc>
          <w:tcPr>
            <w:tcW w:w="1200" w:type="dxa"/>
            <w:tcBorders>
              <w:top w:val="nil"/>
              <w:left w:val="nil"/>
              <w:bottom w:val="single" w:sz="4" w:space="0" w:color="000000"/>
              <w:right w:val="single" w:sz="4" w:space="0" w:color="000000"/>
            </w:tcBorders>
            <w:shd w:val="clear" w:color="auto" w:fill="auto"/>
            <w:vAlign w:val="center"/>
            <w:hideMark/>
          </w:tcPr>
          <w:p w14:paraId="0A66C167"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3</w:t>
            </w:r>
          </w:p>
        </w:tc>
      </w:tr>
      <w:tr w:rsidR="00FA1574" w:rsidRPr="00FA1574" w14:paraId="7BFAE3B9"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2684528A"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vAlign w:val="center"/>
            <w:hideMark/>
          </w:tcPr>
          <w:p w14:paraId="3D5F3F64"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42%</w:t>
            </w:r>
          </w:p>
        </w:tc>
        <w:tc>
          <w:tcPr>
            <w:tcW w:w="1200" w:type="dxa"/>
            <w:tcBorders>
              <w:top w:val="nil"/>
              <w:left w:val="nil"/>
              <w:bottom w:val="single" w:sz="4" w:space="0" w:color="000000"/>
              <w:right w:val="single" w:sz="4" w:space="0" w:color="000000"/>
            </w:tcBorders>
            <w:shd w:val="clear" w:color="auto" w:fill="auto"/>
            <w:vAlign w:val="center"/>
            <w:hideMark/>
          </w:tcPr>
          <w:p w14:paraId="0A0FAF35"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44%</w:t>
            </w:r>
          </w:p>
        </w:tc>
        <w:tc>
          <w:tcPr>
            <w:tcW w:w="1200" w:type="dxa"/>
            <w:tcBorders>
              <w:top w:val="nil"/>
              <w:left w:val="nil"/>
              <w:bottom w:val="single" w:sz="4" w:space="0" w:color="000000"/>
              <w:right w:val="single" w:sz="4" w:space="0" w:color="000000"/>
            </w:tcBorders>
            <w:shd w:val="clear" w:color="auto" w:fill="auto"/>
            <w:vAlign w:val="center"/>
            <w:hideMark/>
          </w:tcPr>
          <w:p w14:paraId="16C1297F"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11%</w:t>
            </w:r>
          </w:p>
        </w:tc>
        <w:tc>
          <w:tcPr>
            <w:tcW w:w="1200" w:type="dxa"/>
            <w:tcBorders>
              <w:top w:val="nil"/>
              <w:left w:val="nil"/>
              <w:bottom w:val="single" w:sz="4" w:space="0" w:color="000000"/>
              <w:right w:val="single" w:sz="4" w:space="0" w:color="000000"/>
            </w:tcBorders>
            <w:shd w:val="clear" w:color="auto" w:fill="auto"/>
            <w:vAlign w:val="center"/>
            <w:hideMark/>
          </w:tcPr>
          <w:p w14:paraId="0B61AB2E"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3%</w:t>
            </w:r>
          </w:p>
        </w:tc>
        <w:tc>
          <w:tcPr>
            <w:tcW w:w="1200" w:type="dxa"/>
            <w:tcBorders>
              <w:top w:val="nil"/>
              <w:left w:val="nil"/>
              <w:bottom w:val="single" w:sz="4" w:space="0" w:color="000000"/>
              <w:right w:val="single" w:sz="4" w:space="0" w:color="000000"/>
            </w:tcBorders>
            <w:shd w:val="clear" w:color="auto" w:fill="auto"/>
            <w:vAlign w:val="center"/>
            <w:hideMark/>
          </w:tcPr>
          <w:p w14:paraId="3CF0C679"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0%</w:t>
            </w:r>
          </w:p>
        </w:tc>
      </w:tr>
      <w:tr w:rsidR="00FA1574" w:rsidRPr="00FA1574" w14:paraId="0FD3A77E" w14:textId="77777777" w:rsidTr="00F5532B">
        <w:trPr>
          <w:trHeight w:val="263"/>
          <w:jc w:val="center"/>
        </w:trPr>
        <w:tc>
          <w:tcPr>
            <w:tcW w:w="1020" w:type="dxa"/>
            <w:tcBorders>
              <w:top w:val="nil"/>
              <w:left w:val="single" w:sz="4" w:space="0" w:color="000000"/>
              <w:bottom w:val="nil"/>
              <w:right w:val="nil"/>
            </w:tcBorders>
            <w:shd w:val="clear" w:color="auto" w:fill="D9D9D9" w:themeFill="background1" w:themeFillShade="D9"/>
            <w:noWrap/>
            <w:vAlign w:val="bottom"/>
            <w:hideMark/>
          </w:tcPr>
          <w:p w14:paraId="62FF3341"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nil"/>
              <w:left w:val="nil"/>
              <w:bottom w:val="nil"/>
              <w:right w:val="nil"/>
            </w:tcBorders>
            <w:shd w:val="clear" w:color="auto" w:fill="D9D9D9" w:themeFill="background1" w:themeFillShade="D9"/>
            <w:noWrap/>
            <w:vAlign w:val="bottom"/>
            <w:hideMark/>
          </w:tcPr>
          <w:p w14:paraId="735E38F9"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00BCAC09"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6120873F"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37F15BA6"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single" w:sz="4" w:space="0" w:color="000000"/>
            </w:tcBorders>
            <w:shd w:val="clear" w:color="auto" w:fill="D9D9D9" w:themeFill="background1" w:themeFillShade="D9"/>
            <w:noWrap/>
            <w:vAlign w:val="bottom"/>
            <w:hideMark/>
          </w:tcPr>
          <w:p w14:paraId="4155B37D"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 </w:t>
            </w:r>
          </w:p>
        </w:tc>
      </w:tr>
      <w:tr w:rsidR="00FA1574" w:rsidRPr="00FA1574" w14:paraId="53E65D16"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45CD4186"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Public</w:t>
            </w:r>
          </w:p>
          <w:p w14:paraId="6E5786B9"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2ED84744"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177</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3A32D073"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179</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4A738FF6"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44</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4E66B572"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10</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554BB187"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0</w:t>
            </w:r>
          </w:p>
        </w:tc>
      </w:tr>
      <w:tr w:rsidR="00FA1574" w:rsidRPr="00FA1574" w14:paraId="331FB7DE"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478DF50D"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noWrap/>
            <w:vAlign w:val="bottom"/>
            <w:hideMark/>
          </w:tcPr>
          <w:p w14:paraId="2BFEC851"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43%</w:t>
            </w:r>
          </w:p>
        </w:tc>
        <w:tc>
          <w:tcPr>
            <w:tcW w:w="1200" w:type="dxa"/>
            <w:tcBorders>
              <w:top w:val="nil"/>
              <w:left w:val="nil"/>
              <w:bottom w:val="single" w:sz="4" w:space="0" w:color="000000"/>
              <w:right w:val="single" w:sz="4" w:space="0" w:color="000000"/>
            </w:tcBorders>
            <w:shd w:val="clear" w:color="auto" w:fill="auto"/>
            <w:noWrap/>
            <w:vAlign w:val="bottom"/>
            <w:hideMark/>
          </w:tcPr>
          <w:p w14:paraId="6857A809"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44%</w:t>
            </w:r>
          </w:p>
        </w:tc>
        <w:tc>
          <w:tcPr>
            <w:tcW w:w="1200" w:type="dxa"/>
            <w:tcBorders>
              <w:top w:val="nil"/>
              <w:left w:val="nil"/>
              <w:bottom w:val="single" w:sz="4" w:space="0" w:color="000000"/>
              <w:right w:val="single" w:sz="4" w:space="0" w:color="000000"/>
            </w:tcBorders>
            <w:shd w:val="clear" w:color="auto" w:fill="auto"/>
            <w:noWrap/>
            <w:vAlign w:val="bottom"/>
            <w:hideMark/>
          </w:tcPr>
          <w:p w14:paraId="05D64E98"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11%</w:t>
            </w:r>
          </w:p>
        </w:tc>
        <w:tc>
          <w:tcPr>
            <w:tcW w:w="1200" w:type="dxa"/>
            <w:tcBorders>
              <w:top w:val="nil"/>
              <w:left w:val="nil"/>
              <w:bottom w:val="single" w:sz="4" w:space="0" w:color="000000"/>
              <w:right w:val="single" w:sz="4" w:space="0" w:color="000000"/>
            </w:tcBorders>
            <w:shd w:val="clear" w:color="auto" w:fill="auto"/>
            <w:noWrap/>
            <w:vAlign w:val="bottom"/>
            <w:hideMark/>
          </w:tcPr>
          <w:p w14:paraId="0991D139"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2%</w:t>
            </w:r>
          </w:p>
        </w:tc>
        <w:tc>
          <w:tcPr>
            <w:tcW w:w="1200" w:type="dxa"/>
            <w:tcBorders>
              <w:top w:val="nil"/>
              <w:left w:val="nil"/>
              <w:bottom w:val="single" w:sz="4" w:space="0" w:color="000000"/>
              <w:right w:val="single" w:sz="4" w:space="0" w:color="000000"/>
            </w:tcBorders>
            <w:shd w:val="clear" w:color="auto" w:fill="auto"/>
            <w:noWrap/>
            <w:vAlign w:val="bottom"/>
            <w:hideMark/>
          </w:tcPr>
          <w:p w14:paraId="3A142D6E"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0%</w:t>
            </w:r>
          </w:p>
        </w:tc>
      </w:tr>
      <w:tr w:rsidR="00FA1574" w:rsidRPr="00FA1574" w14:paraId="086382EC" w14:textId="77777777" w:rsidTr="00F5532B">
        <w:trPr>
          <w:trHeight w:val="263"/>
          <w:jc w:val="center"/>
        </w:trPr>
        <w:tc>
          <w:tcPr>
            <w:tcW w:w="1020" w:type="dxa"/>
            <w:tcBorders>
              <w:top w:val="nil"/>
              <w:left w:val="single" w:sz="4" w:space="0" w:color="000000"/>
              <w:bottom w:val="nil"/>
              <w:right w:val="nil"/>
            </w:tcBorders>
            <w:shd w:val="clear" w:color="auto" w:fill="D9D9D9" w:themeFill="background1" w:themeFillShade="D9"/>
            <w:noWrap/>
            <w:vAlign w:val="bottom"/>
            <w:hideMark/>
          </w:tcPr>
          <w:p w14:paraId="62DD907F"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nil"/>
              <w:left w:val="nil"/>
              <w:bottom w:val="nil"/>
              <w:right w:val="nil"/>
            </w:tcBorders>
            <w:shd w:val="clear" w:color="auto" w:fill="D9D9D9" w:themeFill="background1" w:themeFillShade="D9"/>
            <w:noWrap/>
            <w:vAlign w:val="bottom"/>
            <w:hideMark/>
          </w:tcPr>
          <w:p w14:paraId="68FD3199"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5464B623"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36AC4AB6"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0ABAF479"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single" w:sz="4" w:space="0" w:color="000000"/>
            </w:tcBorders>
            <w:shd w:val="clear" w:color="auto" w:fill="D9D9D9" w:themeFill="background1" w:themeFillShade="D9"/>
            <w:noWrap/>
            <w:vAlign w:val="bottom"/>
            <w:hideMark/>
          </w:tcPr>
          <w:p w14:paraId="41417CF4"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 </w:t>
            </w:r>
          </w:p>
        </w:tc>
      </w:tr>
      <w:tr w:rsidR="00FA1574" w:rsidRPr="00FA1574" w14:paraId="4AF65520"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6CA248E3"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Partners</w:t>
            </w:r>
          </w:p>
          <w:p w14:paraId="28D30C4D"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lastRenderedPageBreak/>
              <w:t> </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438BA5BD"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lastRenderedPageBreak/>
              <w:t>10</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5F620D3D"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16</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4FA2C53C"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6</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3275741A"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0</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5EF3D319"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0</w:t>
            </w:r>
          </w:p>
        </w:tc>
      </w:tr>
      <w:tr w:rsidR="00FA1574" w:rsidRPr="00FA1574" w14:paraId="3A316902"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672C8DCE"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noWrap/>
            <w:vAlign w:val="bottom"/>
            <w:hideMark/>
          </w:tcPr>
          <w:p w14:paraId="3349083B"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31%</w:t>
            </w:r>
          </w:p>
        </w:tc>
        <w:tc>
          <w:tcPr>
            <w:tcW w:w="1200" w:type="dxa"/>
            <w:tcBorders>
              <w:top w:val="nil"/>
              <w:left w:val="nil"/>
              <w:bottom w:val="single" w:sz="4" w:space="0" w:color="000000"/>
              <w:right w:val="single" w:sz="4" w:space="0" w:color="000000"/>
            </w:tcBorders>
            <w:shd w:val="clear" w:color="auto" w:fill="auto"/>
            <w:noWrap/>
            <w:vAlign w:val="bottom"/>
            <w:hideMark/>
          </w:tcPr>
          <w:p w14:paraId="13CD8498"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50%</w:t>
            </w:r>
          </w:p>
        </w:tc>
        <w:tc>
          <w:tcPr>
            <w:tcW w:w="1200" w:type="dxa"/>
            <w:tcBorders>
              <w:top w:val="nil"/>
              <w:left w:val="nil"/>
              <w:bottom w:val="single" w:sz="4" w:space="0" w:color="000000"/>
              <w:right w:val="single" w:sz="4" w:space="0" w:color="000000"/>
            </w:tcBorders>
            <w:shd w:val="clear" w:color="auto" w:fill="auto"/>
            <w:noWrap/>
            <w:vAlign w:val="bottom"/>
            <w:hideMark/>
          </w:tcPr>
          <w:p w14:paraId="4E6487CB"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19%</w:t>
            </w:r>
          </w:p>
        </w:tc>
        <w:tc>
          <w:tcPr>
            <w:tcW w:w="1200" w:type="dxa"/>
            <w:tcBorders>
              <w:top w:val="nil"/>
              <w:left w:val="nil"/>
              <w:bottom w:val="single" w:sz="4" w:space="0" w:color="000000"/>
              <w:right w:val="single" w:sz="4" w:space="0" w:color="000000"/>
            </w:tcBorders>
            <w:shd w:val="clear" w:color="auto" w:fill="auto"/>
            <w:noWrap/>
            <w:vAlign w:val="bottom"/>
            <w:hideMark/>
          </w:tcPr>
          <w:p w14:paraId="01BA6904"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0%</w:t>
            </w:r>
          </w:p>
        </w:tc>
        <w:tc>
          <w:tcPr>
            <w:tcW w:w="1200" w:type="dxa"/>
            <w:tcBorders>
              <w:top w:val="nil"/>
              <w:left w:val="nil"/>
              <w:bottom w:val="single" w:sz="4" w:space="0" w:color="000000"/>
              <w:right w:val="single" w:sz="4" w:space="0" w:color="000000"/>
            </w:tcBorders>
            <w:shd w:val="clear" w:color="auto" w:fill="auto"/>
            <w:noWrap/>
            <w:vAlign w:val="bottom"/>
            <w:hideMark/>
          </w:tcPr>
          <w:p w14:paraId="675B7200"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0%</w:t>
            </w:r>
          </w:p>
        </w:tc>
      </w:tr>
      <w:tr w:rsidR="00FA1574" w:rsidRPr="00FA1574" w14:paraId="36AB9052" w14:textId="77777777" w:rsidTr="00F5532B">
        <w:trPr>
          <w:trHeight w:val="263"/>
          <w:jc w:val="center"/>
        </w:trPr>
        <w:tc>
          <w:tcPr>
            <w:tcW w:w="1020" w:type="dxa"/>
            <w:tcBorders>
              <w:top w:val="nil"/>
              <w:left w:val="single" w:sz="4" w:space="0" w:color="000000"/>
              <w:bottom w:val="nil"/>
              <w:right w:val="nil"/>
            </w:tcBorders>
            <w:shd w:val="clear" w:color="auto" w:fill="D9D9D9" w:themeFill="background1" w:themeFillShade="D9"/>
            <w:noWrap/>
            <w:vAlign w:val="bottom"/>
            <w:hideMark/>
          </w:tcPr>
          <w:p w14:paraId="149637A3"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nil"/>
              <w:left w:val="nil"/>
              <w:bottom w:val="nil"/>
              <w:right w:val="nil"/>
            </w:tcBorders>
            <w:shd w:val="clear" w:color="auto" w:fill="D9D9D9" w:themeFill="background1" w:themeFillShade="D9"/>
            <w:noWrap/>
            <w:vAlign w:val="bottom"/>
            <w:hideMark/>
          </w:tcPr>
          <w:p w14:paraId="61E12DBF"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16A4E7CF"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4F5DA77F"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56EF8EEC"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single" w:sz="4" w:space="0" w:color="000000"/>
            </w:tcBorders>
            <w:shd w:val="clear" w:color="auto" w:fill="D9D9D9" w:themeFill="background1" w:themeFillShade="D9"/>
            <w:noWrap/>
            <w:vAlign w:val="bottom"/>
            <w:hideMark/>
          </w:tcPr>
          <w:p w14:paraId="3F4AE121"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 </w:t>
            </w:r>
          </w:p>
        </w:tc>
      </w:tr>
      <w:tr w:rsidR="00FA1574" w:rsidRPr="00FA1574" w14:paraId="15C87843"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6ECC71C1"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Staff</w:t>
            </w:r>
          </w:p>
          <w:p w14:paraId="3434DC65"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6AF7DC17"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66</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41C3508C"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69</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7CF5DDCD"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8</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7F4B0498"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8</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7BFC369F"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2</w:t>
            </w:r>
          </w:p>
        </w:tc>
      </w:tr>
      <w:tr w:rsidR="00FA1574" w:rsidRPr="00FA1574" w14:paraId="28928D91"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46BA579D"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noWrap/>
            <w:vAlign w:val="bottom"/>
            <w:hideMark/>
          </w:tcPr>
          <w:p w14:paraId="75C0017E"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43%</w:t>
            </w:r>
          </w:p>
        </w:tc>
        <w:tc>
          <w:tcPr>
            <w:tcW w:w="1200" w:type="dxa"/>
            <w:tcBorders>
              <w:top w:val="nil"/>
              <w:left w:val="nil"/>
              <w:bottom w:val="single" w:sz="4" w:space="0" w:color="000000"/>
              <w:right w:val="single" w:sz="4" w:space="0" w:color="000000"/>
            </w:tcBorders>
            <w:shd w:val="clear" w:color="auto" w:fill="auto"/>
            <w:noWrap/>
            <w:vAlign w:val="bottom"/>
            <w:hideMark/>
          </w:tcPr>
          <w:p w14:paraId="62062858"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45%</w:t>
            </w:r>
          </w:p>
        </w:tc>
        <w:tc>
          <w:tcPr>
            <w:tcW w:w="1200" w:type="dxa"/>
            <w:tcBorders>
              <w:top w:val="nil"/>
              <w:left w:val="nil"/>
              <w:bottom w:val="single" w:sz="4" w:space="0" w:color="000000"/>
              <w:right w:val="single" w:sz="4" w:space="0" w:color="000000"/>
            </w:tcBorders>
            <w:shd w:val="clear" w:color="auto" w:fill="auto"/>
            <w:noWrap/>
            <w:vAlign w:val="bottom"/>
            <w:hideMark/>
          </w:tcPr>
          <w:p w14:paraId="2146B5A0"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5%</w:t>
            </w:r>
          </w:p>
        </w:tc>
        <w:tc>
          <w:tcPr>
            <w:tcW w:w="1200" w:type="dxa"/>
            <w:tcBorders>
              <w:top w:val="nil"/>
              <w:left w:val="nil"/>
              <w:bottom w:val="single" w:sz="4" w:space="0" w:color="000000"/>
              <w:right w:val="single" w:sz="4" w:space="0" w:color="000000"/>
            </w:tcBorders>
            <w:shd w:val="clear" w:color="auto" w:fill="auto"/>
            <w:noWrap/>
            <w:vAlign w:val="bottom"/>
            <w:hideMark/>
          </w:tcPr>
          <w:p w14:paraId="30B2860E"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5%</w:t>
            </w:r>
          </w:p>
        </w:tc>
        <w:tc>
          <w:tcPr>
            <w:tcW w:w="1200" w:type="dxa"/>
            <w:tcBorders>
              <w:top w:val="nil"/>
              <w:left w:val="nil"/>
              <w:bottom w:val="single" w:sz="4" w:space="0" w:color="000000"/>
              <w:right w:val="single" w:sz="4" w:space="0" w:color="000000"/>
            </w:tcBorders>
            <w:shd w:val="clear" w:color="auto" w:fill="auto"/>
            <w:noWrap/>
            <w:vAlign w:val="bottom"/>
            <w:hideMark/>
          </w:tcPr>
          <w:p w14:paraId="4BCD9323"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hAnsi="Calibri" w:cs="Calibri"/>
                <w:color w:val="000000"/>
                <w:kern w:val="0"/>
                <w:sz w:val="20"/>
                <w:szCs w:val="20"/>
                <w14:ligatures w14:val="none"/>
              </w:rPr>
              <w:t>1%</w:t>
            </w:r>
          </w:p>
        </w:tc>
      </w:tr>
    </w:tbl>
    <w:p w14:paraId="194DC414" w14:textId="77777777" w:rsidR="00FA1574" w:rsidRPr="00FA1574" w:rsidRDefault="00FA1574" w:rsidP="00FA1574">
      <w:pPr>
        <w:spacing w:after="160" w:line="259" w:lineRule="auto"/>
        <w:rPr>
          <w:rFonts w:ascii="Arial" w:hAnsi="Arial" w:cs="Arial"/>
          <w:color w:val="000000" w:themeColor="text1"/>
          <w:kern w:val="0"/>
          <w:sz w:val="22"/>
          <w:szCs w:val="22"/>
          <w14:ligatures w14:val="none"/>
        </w:rPr>
      </w:pPr>
    </w:p>
    <w:p w14:paraId="5767E2EB" w14:textId="77777777" w:rsidR="00FA1574" w:rsidRPr="00FA1574" w:rsidRDefault="00FA1574" w:rsidP="00FA1574">
      <w:pPr>
        <w:spacing w:after="160" w:line="259" w:lineRule="auto"/>
        <w:rPr>
          <w:rFonts w:ascii="Arial" w:hAnsi="Arial" w:cs="Arial"/>
          <w:b/>
          <w:bCs/>
          <w:color w:val="000000" w:themeColor="text1"/>
          <w:kern w:val="0"/>
          <w:sz w:val="20"/>
          <w:szCs w:val="20"/>
          <w14:ligatures w14:val="none"/>
        </w:rPr>
      </w:pPr>
      <w:r w:rsidRPr="00FA1574">
        <w:rPr>
          <w:rFonts w:ascii="Arial" w:hAnsi="Arial" w:cs="Arial"/>
          <w:b/>
          <w:bCs/>
          <w:color w:val="000000" w:themeColor="text1"/>
          <w:kern w:val="0"/>
          <w:sz w:val="20"/>
          <w:szCs w:val="20"/>
          <w14:ligatures w14:val="none"/>
        </w:rPr>
        <w:t>86% of respondents either agree or strongly agree that the allocation of NFRS resources according to the risks identified is clear</w:t>
      </w:r>
    </w:p>
    <w:p w14:paraId="47793F4A"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3% of respondents disagree, with 11% not sure.</w:t>
      </w:r>
    </w:p>
    <w:p w14:paraId="117DE5A2"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Although largely in agreement, partners were the least certain, with nearly 1/5</w:t>
      </w:r>
      <w:r w:rsidRPr="00FA1574">
        <w:rPr>
          <w:rFonts w:ascii="Arial" w:hAnsi="Arial" w:cs="Arial"/>
          <w:color w:val="auto"/>
          <w:kern w:val="0"/>
          <w:sz w:val="20"/>
          <w:szCs w:val="20"/>
          <w:vertAlign w:val="superscript"/>
          <w14:ligatures w14:val="none"/>
        </w:rPr>
        <w:t>th</w:t>
      </w:r>
      <w:r w:rsidRPr="00FA1574">
        <w:rPr>
          <w:rFonts w:ascii="Arial" w:hAnsi="Arial" w:cs="Arial"/>
          <w:color w:val="auto"/>
          <w:kern w:val="0"/>
          <w:sz w:val="20"/>
          <w:szCs w:val="20"/>
          <w14:ligatures w14:val="none"/>
        </w:rPr>
        <w:t xml:space="preserve"> of respondents stating they were not sure. It may be that some communications may aid this understanding.</w:t>
      </w:r>
    </w:p>
    <w:p w14:paraId="25DF32F9"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Notably, whilst staff had the least neutral responses, they also had the highest volume of responses in disagreement. Although a small proportion of total responses, 6% of staff disagreed that NFRS resources are allocated to address risk. This suggests that the service will benefit from communicating how we do this to staff.</w:t>
      </w:r>
    </w:p>
    <w:p w14:paraId="7EB339FE" w14:textId="77777777" w:rsidR="00FA1574" w:rsidRPr="00FA1574" w:rsidRDefault="00FA1574" w:rsidP="00FA1574">
      <w:pPr>
        <w:spacing w:after="160" w:line="259" w:lineRule="auto"/>
        <w:rPr>
          <w:rFonts w:ascii="Arial" w:hAnsi="Arial" w:cs="Arial"/>
          <w:b/>
          <w:bCs/>
          <w:color w:val="000000" w:themeColor="text1"/>
          <w:kern w:val="0"/>
          <w:sz w:val="22"/>
          <w:szCs w:val="22"/>
          <w14:ligatures w14:val="none"/>
        </w:rPr>
      </w:pPr>
    </w:p>
    <w:p w14:paraId="3CC4C6AD" w14:textId="77777777" w:rsidR="00FA1574" w:rsidRPr="00FA1574" w:rsidRDefault="00FA1574" w:rsidP="00FA1574">
      <w:pPr>
        <w:numPr>
          <w:ilvl w:val="0"/>
          <w:numId w:val="53"/>
        </w:numPr>
        <w:spacing w:after="160" w:line="259" w:lineRule="auto"/>
        <w:contextualSpacing/>
        <w:rPr>
          <w:rFonts w:ascii="Arial" w:hAnsi="Arial" w:cs="Arial"/>
          <w:b/>
          <w:bCs/>
          <w:color w:val="000000" w:themeColor="text1"/>
          <w:kern w:val="0"/>
          <w:sz w:val="28"/>
          <w:szCs w:val="28"/>
          <w14:ligatures w14:val="none"/>
        </w:rPr>
      </w:pPr>
      <w:r w:rsidRPr="00FA1574">
        <w:rPr>
          <w:rFonts w:ascii="Arial" w:hAnsi="Arial" w:cs="Arial"/>
          <w:b/>
          <w:bCs/>
          <w:color w:val="000000" w:themeColor="text1"/>
          <w:kern w:val="0"/>
          <w:sz w:val="28"/>
          <w:szCs w:val="28"/>
          <w14:ligatures w14:val="none"/>
        </w:rPr>
        <w:t>Accessibility</w:t>
      </w:r>
    </w:p>
    <w:p w14:paraId="6406A8FF" w14:textId="77777777" w:rsidR="00FA1574" w:rsidRPr="00FA1574" w:rsidRDefault="00FA1574" w:rsidP="00FA1574">
      <w:pPr>
        <w:spacing w:after="160" w:line="259" w:lineRule="auto"/>
        <w:rPr>
          <w:rFonts w:ascii="Arial" w:hAnsi="Arial" w:cs="Arial"/>
          <w:color w:val="000000" w:themeColor="text1"/>
          <w:kern w:val="0"/>
          <w:sz w:val="22"/>
          <w:szCs w:val="22"/>
          <w:shd w:val="clear" w:color="auto" w:fill="FFFFFF"/>
          <w14:ligatures w14:val="none"/>
        </w:rPr>
      </w:pPr>
      <w:r w:rsidRPr="00FA1574">
        <w:rPr>
          <w:rFonts w:ascii="Arial" w:hAnsi="Arial" w:cs="Arial"/>
          <w:color w:val="auto"/>
          <w:kern w:val="0"/>
          <w:sz w:val="22"/>
          <w:szCs w:val="22"/>
          <w14:ligatures w14:val="none"/>
        </w:rPr>
        <w:t>Participants were asked</w:t>
      </w:r>
      <w:r w:rsidRPr="00FA1574">
        <w:rPr>
          <w:rFonts w:ascii="Arial" w:hAnsi="Arial" w:cs="Arial"/>
          <w:color w:val="000000" w:themeColor="text1"/>
          <w:kern w:val="0"/>
          <w:sz w:val="22"/>
          <w:szCs w:val="22"/>
          <w14:ligatures w14:val="none"/>
        </w:rPr>
        <w:t>: “</w:t>
      </w:r>
      <w:r w:rsidRPr="00FA1574">
        <w:rPr>
          <w:rFonts w:ascii="Arial" w:hAnsi="Arial" w:cs="Arial"/>
          <w:color w:val="000000" w:themeColor="text1"/>
          <w:kern w:val="0"/>
          <w:sz w:val="22"/>
          <w:szCs w:val="22"/>
          <w:shd w:val="clear" w:color="auto" w:fill="FFFFFF"/>
          <w14:ligatures w14:val="none"/>
        </w:rPr>
        <w:t>To what extent do you agree that our CRMP is easy to understand and accessible to everyone in your community?”</w:t>
      </w:r>
    </w:p>
    <w:tbl>
      <w:tblPr>
        <w:tblW w:w="7020" w:type="dxa"/>
        <w:jc w:val="center"/>
        <w:tblLook w:val="04A0" w:firstRow="1" w:lastRow="0" w:firstColumn="1" w:lastColumn="0" w:noHBand="0" w:noVBand="1"/>
      </w:tblPr>
      <w:tblGrid>
        <w:gridCol w:w="1020"/>
        <w:gridCol w:w="1200"/>
        <w:gridCol w:w="1200"/>
        <w:gridCol w:w="1200"/>
        <w:gridCol w:w="1200"/>
        <w:gridCol w:w="1200"/>
      </w:tblGrid>
      <w:tr w:rsidR="00FA1574" w:rsidRPr="00FA1574" w14:paraId="3207637B" w14:textId="77777777" w:rsidTr="00F5532B">
        <w:trPr>
          <w:trHeight w:val="595"/>
          <w:jc w:val="center"/>
        </w:trPr>
        <w:tc>
          <w:tcPr>
            <w:tcW w:w="1020" w:type="dxa"/>
            <w:tcBorders>
              <w:top w:val="nil"/>
              <w:left w:val="nil"/>
              <w:bottom w:val="nil"/>
              <w:right w:val="nil"/>
            </w:tcBorders>
            <w:shd w:val="clear" w:color="auto" w:fill="auto"/>
            <w:noWrap/>
            <w:vAlign w:val="bottom"/>
            <w:hideMark/>
          </w:tcPr>
          <w:p w14:paraId="6E8E29C8" w14:textId="77777777" w:rsidR="00FA1574" w:rsidRPr="00FA1574" w:rsidRDefault="00FA1574" w:rsidP="00FA1574">
            <w:pPr>
              <w:rPr>
                <w:rFonts w:ascii="Times New Roman" w:eastAsia="Times New Roman" w:hAnsi="Times New Roman" w:cs="Times New Roman"/>
                <w:color w:val="auto"/>
                <w:kern w:val="0"/>
                <w:sz w:val="22"/>
                <w:szCs w:val="22"/>
                <w:lang w:eastAsia="en-GB"/>
                <w14:ligatures w14:val="none"/>
              </w:rPr>
            </w:pPr>
          </w:p>
        </w:tc>
        <w:tc>
          <w:tcPr>
            <w:tcW w:w="6000" w:type="dxa"/>
            <w:gridSpan w:val="5"/>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EE5D41E"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To what extent do you agree that our CRMP is easy to understand and accessible to everyone in your community?</w:t>
            </w:r>
          </w:p>
        </w:tc>
      </w:tr>
      <w:tr w:rsidR="00FA1574" w:rsidRPr="00FA1574" w14:paraId="412BE6FD" w14:textId="77777777" w:rsidTr="00F5532B">
        <w:trPr>
          <w:trHeight w:val="945"/>
          <w:jc w:val="center"/>
        </w:trPr>
        <w:tc>
          <w:tcPr>
            <w:tcW w:w="1020" w:type="dxa"/>
            <w:tcBorders>
              <w:top w:val="nil"/>
              <w:left w:val="nil"/>
              <w:bottom w:val="nil"/>
              <w:right w:val="nil"/>
            </w:tcBorders>
            <w:shd w:val="clear" w:color="auto" w:fill="auto"/>
            <w:noWrap/>
            <w:vAlign w:val="bottom"/>
            <w:hideMark/>
          </w:tcPr>
          <w:p w14:paraId="608044B1"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33D8206E" w14:textId="77777777" w:rsidR="00FA1574" w:rsidRPr="00FA1574" w:rsidRDefault="00FA1574" w:rsidP="00FA1574">
            <w:pPr>
              <w:rPr>
                <w:rFonts w:ascii="Calibri" w:eastAsia="Times New Roman" w:hAnsi="Calibri" w:cs="Calibri"/>
                <w:b/>
                <w:bCs/>
                <w:color w:val="000000"/>
                <w:kern w:val="0"/>
                <w:sz w:val="22"/>
                <w:szCs w:val="22"/>
                <w:lang w:eastAsia="en-GB"/>
                <w14:ligatures w14:val="none"/>
              </w:rPr>
            </w:pPr>
            <w:r w:rsidRPr="00FA1574">
              <w:rPr>
                <w:rFonts w:ascii="Calibri" w:eastAsia="Times New Roman" w:hAnsi="Calibri" w:cs="Calibri"/>
                <w:b/>
                <w:bCs/>
                <w:color w:val="000000"/>
                <w:kern w:val="0"/>
                <w:sz w:val="22"/>
                <w:szCs w:val="22"/>
                <w:lang w:eastAsia="en-GB"/>
                <w14:ligatures w14:val="none"/>
              </w:rPr>
              <w:t>Strongly agree</w:t>
            </w:r>
          </w:p>
        </w:tc>
        <w:tc>
          <w:tcPr>
            <w:tcW w:w="1200" w:type="dxa"/>
            <w:tcBorders>
              <w:top w:val="nil"/>
              <w:left w:val="nil"/>
              <w:bottom w:val="single" w:sz="4" w:space="0" w:color="000000"/>
              <w:right w:val="single" w:sz="4" w:space="0" w:color="000000"/>
            </w:tcBorders>
            <w:shd w:val="clear" w:color="auto" w:fill="auto"/>
            <w:vAlign w:val="center"/>
            <w:hideMark/>
          </w:tcPr>
          <w:p w14:paraId="0560E58B" w14:textId="77777777" w:rsidR="00FA1574" w:rsidRPr="00FA1574" w:rsidRDefault="00FA1574" w:rsidP="00FA1574">
            <w:pPr>
              <w:rPr>
                <w:rFonts w:ascii="Calibri" w:eastAsia="Times New Roman" w:hAnsi="Calibri" w:cs="Calibri"/>
                <w:b/>
                <w:bCs/>
                <w:color w:val="000000"/>
                <w:kern w:val="0"/>
                <w:sz w:val="22"/>
                <w:szCs w:val="22"/>
                <w:lang w:eastAsia="en-GB"/>
                <w14:ligatures w14:val="none"/>
              </w:rPr>
            </w:pPr>
            <w:r w:rsidRPr="00FA1574">
              <w:rPr>
                <w:rFonts w:ascii="Calibri" w:eastAsia="Times New Roman" w:hAnsi="Calibri" w:cs="Calibri"/>
                <w:b/>
                <w:bCs/>
                <w:color w:val="000000"/>
                <w:kern w:val="0"/>
                <w:sz w:val="22"/>
                <w:szCs w:val="22"/>
                <w:lang w:eastAsia="en-GB"/>
                <w14:ligatures w14:val="none"/>
              </w:rPr>
              <w:t>Agree</w:t>
            </w:r>
          </w:p>
        </w:tc>
        <w:tc>
          <w:tcPr>
            <w:tcW w:w="1200" w:type="dxa"/>
            <w:tcBorders>
              <w:top w:val="nil"/>
              <w:left w:val="nil"/>
              <w:bottom w:val="single" w:sz="4" w:space="0" w:color="000000"/>
              <w:right w:val="single" w:sz="4" w:space="0" w:color="000000"/>
            </w:tcBorders>
            <w:shd w:val="clear" w:color="auto" w:fill="auto"/>
            <w:vAlign w:val="center"/>
            <w:hideMark/>
          </w:tcPr>
          <w:p w14:paraId="7152C735" w14:textId="77777777" w:rsidR="00FA1574" w:rsidRPr="00FA1574" w:rsidRDefault="00FA1574" w:rsidP="00FA1574">
            <w:pPr>
              <w:rPr>
                <w:rFonts w:ascii="Calibri" w:eastAsia="Times New Roman" w:hAnsi="Calibri" w:cs="Calibri"/>
                <w:b/>
                <w:bCs/>
                <w:color w:val="000000"/>
                <w:kern w:val="0"/>
                <w:sz w:val="22"/>
                <w:szCs w:val="22"/>
                <w:lang w:eastAsia="en-GB"/>
                <w14:ligatures w14:val="none"/>
              </w:rPr>
            </w:pPr>
            <w:r w:rsidRPr="00FA1574">
              <w:rPr>
                <w:rFonts w:ascii="Calibri" w:eastAsia="Times New Roman" w:hAnsi="Calibri" w:cs="Calibri"/>
                <w:b/>
                <w:bCs/>
                <w:color w:val="000000"/>
                <w:kern w:val="0"/>
                <w:sz w:val="22"/>
                <w:szCs w:val="22"/>
                <w:lang w:eastAsia="en-GB"/>
                <w14:ligatures w14:val="none"/>
              </w:rPr>
              <w:t>Neither agree nor disagree</w:t>
            </w:r>
          </w:p>
        </w:tc>
        <w:tc>
          <w:tcPr>
            <w:tcW w:w="1200" w:type="dxa"/>
            <w:tcBorders>
              <w:top w:val="nil"/>
              <w:left w:val="nil"/>
              <w:bottom w:val="single" w:sz="4" w:space="0" w:color="000000"/>
              <w:right w:val="single" w:sz="4" w:space="0" w:color="000000"/>
            </w:tcBorders>
            <w:shd w:val="clear" w:color="auto" w:fill="auto"/>
            <w:vAlign w:val="center"/>
            <w:hideMark/>
          </w:tcPr>
          <w:p w14:paraId="0FB1218F" w14:textId="77777777" w:rsidR="00FA1574" w:rsidRPr="00FA1574" w:rsidRDefault="00FA1574" w:rsidP="00FA1574">
            <w:pPr>
              <w:rPr>
                <w:rFonts w:ascii="Calibri" w:eastAsia="Times New Roman" w:hAnsi="Calibri" w:cs="Calibri"/>
                <w:b/>
                <w:bCs/>
                <w:color w:val="000000"/>
                <w:kern w:val="0"/>
                <w:sz w:val="22"/>
                <w:szCs w:val="22"/>
                <w:lang w:eastAsia="en-GB"/>
                <w14:ligatures w14:val="none"/>
              </w:rPr>
            </w:pPr>
            <w:r w:rsidRPr="00FA1574">
              <w:rPr>
                <w:rFonts w:ascii="Calibri" w:eastAsia="Times New Roman" w:hAnsi="Calibri" w:cs="Calibri"/>
                <w:b/>
                <w:bCs/>
                <w:color w:val="000000"/>
                <w:kern w:val="0"/>
                <w:sz w:val="22"/>
                <w:szCs w:val="22"/>
                <w:lang w:eastAsia="en-GB"/>
                <w14:ligatures w14:val="none"/>
              </w:rPr>
              <w:t>Disagree</w:t>
            </w:r>
          </w:p>
        </w:tc>
        <w:tc>
          <w:tcPr>
            <w:tcW w:w="1200" w:type="dxa"/>
            <w:tcBorders>
              <w:top w:val="nil"/>
              <w:left w:val="nil"/>
              <w:bottom w:val="single" w:sz="4" w:space="0" w:color="000000"/>
              <w:right w:val="single" w:sz="4" w:space="0" w:color="000000"/>
            </w:tcBorders>
            <w:shd w:val="clear" w:color="auto" w:fill="auto"/>
            <w:vAlign w:val="center"/>
            <w:hideMark/>
          </w:tcPr>
          <w:p w14:paraId="1961349B" w14:textId="77777777" w:rsidR="00FA1574" w:rsidRPr="00FA1574" w:rsidRDefault="00FA1574" w:rsidP="00FA1574">
            <w:pPr>
              <w:rPr>
                <w:rFonts w:ascii="Calibri" w:eastAsia="Times New Roman" w:hAnsi="Calibri" w:cs="Calibri"/>
                <w:b/>
                <w:bCs/>
                <w:color w:val="000000"/>
                <w:kern w:val="0"/>
                <w:sz w:val="22"/>
                <w:szCs w:val="22"/>
                <w:lang w:eastAsia="en-GB"/>
                <w14:ligatures w14:val="none"/>
              </w:rPr>
            </w:pPr>
            <w:r w:rsidRPr="00FA1574">
              <w:rPr>
                <w:rFonts w:ascii="Calibri" w:eastAsia="Times New Roman" w:hAnsi="Calibri" w:cs="Calibri"/>
                <w:b/>
                <w:bCs/>
                <w:color w:val="000000"/>
                <w:kern w:val="0"/>
                <w:sz w:val="22"/>
                <w:szCs w:val="22"/>
                <w:lang w:eastAsia="en-GB"/>
                <w14:ligatures w14:val="none"/>
              </w:rPr>
              <w:t>Strongly disagree</w:t>
            </w:r>
          </w:p>
        </w:tc>
      </w:tr>
      <w:tr w:rsidR="00FA1574" w:rsidRPr="00FA1574" w14:paraId="182E549F"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4C495917"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Total</w:t>
            </w:r>
          </w:p>
          <w:p w14:paraId="34EBB7C0"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nil"/>
              <w:left w:val="nil"/>
              <w:bottom w:val="single" w:sz="4" w:space="0" w:color="000000"/>
              <w:right w:val="single" w:sz="4" w:space="0" w:color="000000"/>
            </w:tcBorders>
            <w:shd w:val="clear" w:color="auto" w:fill="auto"/>
            <w:vAlign w:val="center"/>
            <w:hideMark/>
          </w:tcPr>
          <w:p w14:paraId="51F505E8"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236</w:t>
            </w:r>
          </w:p>
        </w:tc>
        <w:tc>
          <w:tcPr>
            <w:tcW w:w="1200" w:type="dxa"/>
            <w:tcBorders>
              <w:top w:val="nil"/>
              <w:left w:val="nil"/>
              <w:bottom w:val="single" w:sz="4" w:space="0" w:color="000000"/>
              <w:right w:val="single" w:sz="4" w:space="0" w:color="000000"/>
            </w:tcBorders>
            <w:shd w:val="clear" w:color="auto" w:fill="auto"/>
            <w:vAlign w:val="center"/>
            <w:hideMark/>
          </w:tcPr>
          <w:p w14:paraId="3FF08839"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284</w:t>
            </w:r>
          </w:p>
        </w:tc>
        <w:tc>
          <w:tcPr>
            <w:tcW w:w="1200" w:type="dxa"/>
            <w:tcBorders>
              <w:top w:val="nil"/>
              <w:left w:val="nil"/>
              <w:bottom w:val="single" w:sz="4" w:space="0" w:color="000000"/>
              <w:right w:val="single" w:sz="4" w:space="0" w:color="000000"/>
            </w:tcBorders>
            <w:shd w:val="clear" w:color="auto" w:fill="auto"/>
            <w:vAlign w:val="center"/>
            <w:hideMark/>
          </w:tcPr>
          <w:p w14:paraId="09A6BE9D"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90</w:t>
            </w:r>
          </w:p>
        </w:tc>
        <w:tc>
          <w:tcPr>
            <w:tcW w:w="1200" w:type="dxa"/>
            <w:tcBorders>
              <w:top w:val="nil"/>
              <w:left w:val="nil"/>
              <w:bottom w:val="single" w:sz="4" w:space="0" w:color="000000"/>
              <w:right w:val="single" w:sz="4" w:space="0" w:color="000000"/>
            </w:tcBorders>
            <w:shd w:val="clear" w:color="auto" w:fill="auto"/>
            <w:vAlign w:val="center"/>
            <w:hideMark/>
          </w:tcPr>
          <w:p w14:paraId="5CEB4096"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28</w:t>
            </w:r>
          </w:p>
        </w:tc>
        <w:tc>
          <w:tcPr>
            <w:tcW w:w="1200" w:type="dxa"/>
            <w:tcBorders>
              <w:top w:val="nil"/>
              <w:left w:val="nil"/>
              <w:bottom w:val="single" w:sz="4" w:space="0" w:color="000000"/>
              <w:right w:val="single" w:sz="4" w:space="0" w:color="000000"/>
            </w:tcBorders>
            <w:shd w:val="clear" w:color="auto" w:fill="auto"/>
            <w:vAlign w:val="center"/>
            <w:hideMark/>
          </w:tcPr>
          <w:p w14:paraId="48199322"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7</w:t>
            </w:r>
          </w:p>
        </w:tc>
      </w:tr>
      <w:tr w:rsidR="00FA1574" w:rsidRPr="00FA1574" w14:paraId="3207691E"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4471265D"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vAlign w:val="center"/>
            <w:hideMark/>
          </w:tcPr>
          <w:p w14:paraId="43D98604"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37%</w:t>
            </w:r>
          </w:p>
        </w:tc>
        <w:tc>
          <w:tcPr>
            <w:tcW w:w="1200" w:type="dxa"/>
            <w:tcBorders>
              <w:top w:val="nil"/>
              <w:left w:val="nil"/>
              <w:bottom w:val="single" w:sz="4" w:space="0" w:color="000000"/>
              <w:right w:val="single" w:sz="4" w:space="0" w:color="000000"/>
            </w:tcBorders>
            <w:shd w:val="clear" w:color="auto" w:fill="auto"/>
            <w:vAlign w:val="center"/>
            <w:hideMark/>
          </w:tcPr>
          <w:p w14:paraId="0AF72531"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44%</w:t>
            </w:r>
          </w:p>
        </w:tc>
        <w:tc>
          <w:tcPr>
            <w:tcW w:w="1200" w:type="dxa"/>
            <w:tcBorders>
              <w:top w:val="nil"/>
              <w:left w:val="nil"/>
              <w:bottom w:val="single" w:sz="4" w:space="0" w:color="000000"/>
              <w:right w:val="single" w:sz="4" w:space="0" w:color="000000"/>
            </w:tcBorders>
            <w:shd w:val="clear" w:color="auto" w:fill="auto"/>
            <w:vAlign w:val="center"/>
            <w:hideMark/>
          </w:tcPr>
          <w:p w14:paraId="465A8531"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14%</w:t>
            </w:r>
          </w:p>
        </w:tc>
        <w:tc>
          <w:tcPr>
            <w:tcW w:w="1200" w:type="dxa"/>
            <w:tcBorders>
              <w:top w:val="nil"/>
              <w:left w:val="nil"/>
              <w:bottom w:val="single" w:sz="4" w:space="0" w:color="000000"/>
              <w:right w:val="single" w:sz="4" w:space="0" w:color="000000"/>
            </w:tcBorders>
            <w:shd w:val="clear" w:color="auto" w:fill="auto"/>
            <w:vAlign w:val="center"/>
            <w:hideMark/>
          </w:tcPr>
          <w:p w14:paraId="19B49214"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w:t>
            </w:r>
          </w:p>
        </w:tc>
        <w:tc>
          <w:tcPr>
            <w:tcW w:w="1200" w:type="dxa"/>
            <w:tcBorders>
              <w:top w:val="nil"/>
              <w:left w:val="nil"/>
              <w:bottom w:val="single" w:sz="4" w:space="0" w:color="000000"/>
              <w:right w:val="single" w:sz="4" w:space="0" w:color="000000"/>
            </w:tcBorders>
            <w:shd w:val="clear" w:color="auto" w:fill="auto"/>
            <w:vAlign w:val="center"/>
            <w:hideMark/>
          </w:tcPr>
          <w:p w14:paraId="3F54C49C"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w:t>
            </w:r>
          </w:p>
        </w:tc>
      </w:tr>
      <w:tr w:rsidR="00FA1574" w:rsidRPr="00FA1574" w14:paraId="4E075273" w14:textId="77777777" w:rsidTr="00F5532B">
        <w:trPr>
          <w:trHeight w:val="263"/>
          <w:jc w:val="center"/>
        </w:trPr>
        <w:tc>
          <w:tcPr>
            <w:tcW w:w="1020" w:type="dxa"/>
            <w:tcBorders>
              <w:top w:val="nil"/>
              <w:left w:val="single" w:sz="4" w:space="0" w:color="000000"/>
              <w:bottom w:val="nil"/>
              <w:right w:val="nil"/>
            </w:tcBorders>
            <w:shd w:val="clear" w:color="auto" w:fill="D9D9D9" w:themeFill="background1" w:themeFillShade="D9"/>
            <w:noWrap/>
            <w:vAlign w:val="bottom"/>
            <w:hideMark/>
          </w:tcPr>
          <w:p w14:paraId="61587292"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nil"/>
              <w:left w:val="nil"/>
              <w:bottom w:val="nil"/>
              <w:right w:val="nil"/>
            </w:tcBorders>
            <w:shd w:val="clear" w:color="auto" w:fill="D9D9D9" w:themeFill="background1" w:themeFillShade="D9"/>
            <w:noWrap/>
            <w:vAlign w:val="bottom"/>
            <w:hideMark/>
          </w:tcPr>
          <w:p w14:paraId="1930409B"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6B2B2D8F"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727FAA14"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26ACA718"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single" w:sz="4" w:space="0" w:color="000000"/>
            </w:tcBorders>
            <w:shd w:val="clear" w:color="auto" w:fill="D9D9D9" w:themeFill="background1" w:themeFillShade="D9"/>
            <w:noWrap/>
            <w:vAlign w:val="bottom"/>
            <w:hideMark/>
          </w:tcPr>
          <w:p w14:paraId="489317DD"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 </w:t>
            </w:r>
          </w:p>
        </w:tc>
      </w:tr>
      <w:tr w:rsidR="00FA1574" w:rsidRPr="00FA1574" w14:paraId="0E8401AB"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09F2E577"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Public</w:t>
            </w:r>
          </w:p>
          <w:p w14:paraId="4659B7FC"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7AF40966"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181</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7F197980"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147</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0F570FA0"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61</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19FF24CD"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16</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6C337E5F"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w:t>
            </w:r>
          </w:p>
        </w:tc>
      </w:tr>
      <w:tr w:rsidR="00FA1574" w:rsidRPr="00FA1574" w14:paraId="52542AA6"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7940BA09"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noWrap/>
            <w:vAlign w:val="bottom"/>
            <w:hideMark/>
          </w:tcPr>
          <w:p w14:paraId="432DDEF5"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44%</w:t>
            </w:r>
          </w:p>
        </w:tc>
        <w:tc>
          <w:tcPr>
            <w:tcW w:w="1200" w:type="dxa"/>
            <w:tcBorders>
              <w:top w:val="nil"/>
              <w:left w:val="nil"/>
              <w:bottom w:val="single" w:sz="4" w:space="0" w:color="000000"/>
              <w:right w:val="single" w:sz="4" w:space="0" w:color="000000"/>
            </w:tcBorders>
            <w:shd w:val="clear" w:color="auto" w:fill="auto"/>
            <w:noWrap/>
            <w:vAlign w:val="bottom"/>
            <w:hideMark/>
          </w:tcPr>
          <w:p w14:paraId="51CF483A"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36%</w:t>
            </w:r>
          </w:p>
        </w:tc>
        <w:tc>
          <w:tcPr>
            <w:tcW w:w="1200" w:type="dxa"/>
            <w:tcBorders>
              <w:top w:val="nil"/>
              <w:left w:val="nil"/>
              <w:bottom w:val="single" w:sz="4" w:space="0" w:color="000000"/>
              <w:right w:val="single" w:sz="4" w:space="0" w:color="000000"/>
            </w:tcBorders>
            <w:shd w:val="clear" w:color="auto" w:fill="auto"/>
            <w:noWrap/>
            <w:vAlign w:val="bottom"/>
            <w:hideMark/>
          </w:tcPr>
          <w:p w14:paraId="1812B024"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15%</w:t>
            </w:r>
          </w:p>
        </w:tc>
        <w:tc>
          <w:tcPr>
            <w:tcW w:w="1200" w:type="dxa"/>
            <w:tcBorders>
              <w:top w:val="nil"/>
              <w:left w:val="nil"/>
              <w:bottom w:val="single" w:sz="4" w:space="0" w:color="000000"/>
              <w:right w:val="single" w:sz="4" w:space="0" w:color="000000"/>
            </w:tcBorders>
            <w:shd w:val="clear" w:color="auto" w:fill="auto"/>
            <w:noWrap/>
            <w:vAlign w:val="bottom"/>
            <w:hideMark/>
          </w:tcPr>
          <w:p w14:paraId="1FFC0B1B"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w:t>
            </w:r>
          </w:p>
        </w:tc>
        <w:tc>
          <w:tcPr>
            <w:tcW w:w="1200" w:type="dxa"/>
            <w:tcBorders>
              <w:top w:val="nil"/>
              <w:left w:val="nil"/>
              <w:bottom w:val="single" w:sz="4" w:space="0" w:color="000000"/>
              <w:right w:val="single" w:sz="4" w:space="0" w:color="000000"/>
            </w:tcBorders>
            <w:shd w:val="clear" w:color="auto" w:fill="auto"/>
            <w:noWrap/>
            <w:vAlign w:val="bottom"/>
            <w:hideMark/>
          </w:tcPr>
          <w:p w14:paraId="2342BCDD"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w:t>
            </w:r>
          </w:p>
        </w:tc>
      </w:tr>
      <w:tr w:rsidR="00FA1574" w:rsidRPr="00FA1574" w14:paraId="0F92286E" w14:textId="77777777" w:rsidTr="00F5532B">
        <w:trPr>
          <w:trHeight w:val="263"/>
          <w:jc w:val="center"/>
        </w:trPr>
        <w:tc>
          <w:tcPr>
            <w:tcW w:w="1020" w:type="dxa"/>
            <w:tcBorders>
              <w:top w:val="nil"/>
              <w:left w:val="single" w:sz="4" w:space="0" w:color="000000"/>
              <w:bottom w:val="nil"/>
              <w:right w:val="nil"/>
            </w:tcBorders>
            <w:shd w:val="clear" w:color="auto" w:fill="D9D9D9" w:themeFill="background1" w:themeFillShade="D9"/>
            <w:noWrap/>
            <w:vAlign w:val="bottom"/>
            <w:hideMark/>
          </w:tcPr>
          <w:p w14:paraId="01F4FD46"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nil"/>
              <w:left w:val="nil"/>
              <w:bottom w:val="nil"/>
              <w:right w:val="nil"/>
            </w:tcBorders>
            <w:shd w:val="clear" w:color="auto" w:fill="D9D9D9" w:themeFill="background1" w:themeFillShade="D9"/>
            <w:noWrap/>
            <w:vAlign w:val="bottom"/>
            <w:hideMark/>
          </w:tcPr>
          <w:p w14:paraId="2EA5072D"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0C110B4A"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04EADA5F"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40C822BD"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single" w:sz="4" w:space="0" w:color="000000"/>
            </w:tcBorders>
            <w:shd w:val="clear" w:color="auto" w:fill="D9D9D9" w:themeFill="background1" w:themeFillShade="D9"/>
            <w:noWrap/>
            <w:vAlign w:val="bottom"/>
            <w:hideMark/>
          </w:tcPr>
          <w:p w14:paraId="58E9774A"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 </w:t>
            </w:r>
          </w:p>
        </w:tc>
      </w:tr>
      <w:tr w:rsidR="00FA1574" w:rsidRPr="00FA1574" w14:paraId="409C1FA6"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7525AF91"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Partners</w:t>
            </w:r>
          </w:p>
          <w:p w14:paraId="41CD42F0"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7A8DD55D"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8</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2E3F4B5F"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18</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4D3B3548"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6</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7377E6B7"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0</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59DAF955"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0</w:t>
            </w:r>
          </w:p>
        </w:tc>
      </w:tr>
      <w:tr w:rsidR="00FA1574" w:rsidRPr="00FA1574" w14:paraId="20A4990C"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4077011D"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noWrap/>
            <w:vAlign w:val="bottom"/>
            <w:hideMark/>
          </w:tcPr>
          <w:p w14:paraId="30729F43"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25%</w:t>
            </w:r>
          </w:p>
        </w:tc>
        <w:tc>
          <w:tcPr>
            <w:tcW w:w="1200" w:type="dxa"/>
            <w:tcBorders>
              <w:top w:val="nil"/>
              <w:left w:val="nil"/>
              <w:bottom w:val="single" w:sz="4" w:space="0" w:color="000000"/>
              <w:right w:val="single" w:sz="4" w:space="0" w:color="000000"/>
            </w:tcBorders>
            <w:shd w:val="clear" w:color="auto" w:fill="auto"/>
            <w:noWrap/>
            <w:vAlign w:val="bottom"/>
            <w:hideMark/>
          </w:tcPr>
          <w:p w14:paraId="38548C21"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56%</w:t>
            </w:r>
          </w:p>
        </w:tc>
        <w:tc>
          <w:tcPr>
            <w:tcW w:w="1200" w:type="dxa"/>
            <w:tcBorders>
              <w:top w:val="nil"/>
              <w:left w:val="nil"/>
              <w:bottom w:val="single" w:sz="4" w:space="0" w:color="000000"/>
              <w:right w:val="single" w:sz="4" w:space="0" w:color="000000"/>
            </w:tcBorders>
            <w:shd w:val="clear" w:color="auto" w:fill="auto"/>
            <w:noWrap/>
            <w:vAlign w:val="bottom"/>
            <w:hideMark/>
          </w:tcPr>
          <w:p w14:paraId="1E90B012"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19%</w:t>
            </w:r>
          </w:p>
        </w:tc>
        <w:tc>
          <w:tcPr>
            <w:tcW w:w="1200" w:type="dxa"/>
            <w:tcBorders>
              <w:top w:val="nil"/>
              <w:left w:val="nil"/>
              <w:bottom w:val="single" w:sz="4" w:space="0" w:color="000000"/>
              <w:right w:val="single" w:sz="4" w:space="0" w:color="000000"/>
            </w:tcBorders>
            <w:shd w:val="clear" w:color="auto" w:fill="auto"/>
            <w:noWrap/>
            <w:vAlign w:val="bottom"/>
            <w:hideMark/>
          </w:tcPr>
          <w:p w14:paraId="2FBF7377"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0%</w:t>
            </w:r>
          </w:p>
        </w:tc>
        <w:tc>
          <w:tcPr>
            <w:tcW w:w="1200" w:type="dxa"/>
            <w:tcBorders>
              <w:top w:val="nil"/>
              <w:left w:val="nil"/>
              <w:bottom w:val="single" w:sz="4" w:space="0" w:color="000000"/>
              <w:right w:val="single" w:sz="4" w:space="0" w:color="000000"/>
            </w:tcBorders>
            <w:shd w:val="clear" w:color="auto" w:fill="auto"/>
            <w:noWrap/>
            <w:vAlign w:val="bottom"/>
            <w:hideMark/>
          </w:tcPr>
          <w:p w14:paraId="5EBD564C"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0%</w:t>
            </w:r>
          </w:p>
        </w:tc>
      </w:tr>
      <w:tr w:rsidR="00FA1574" w:rsidRPr="00FA1574" w14:paraId="3F369B77" w14:textId="77777777" w:rsidTr="00F5532B">
        <w:trPr>
          <w:trHeight w:val="263"/>
          <w:jc w:val="center"/>
        </w:trPr>
        <w:tc>
          <w:tcPr>
            <w:tcW w:w="1020" w:type="dxa"/>
            <w:tcBorders>
              <w:top w:val="nil"/>
              <w:left w:val="single" w:sz="4" w:space="0" w:color="000000"/>
              <w:bottom w:val="nil"/>
              <w:right w:val="nil"/>
            </w:tcBorders>
            <w:shd w:val="clear" w:color="auto" w:fill="D9D9D9" w:themeFill="background1" w:themeFillShade="D9"/>
            <w:noWrap/>
            <w:vAlign w:val="bottom"/>
            <w:hideMark/>
          </w:tcPr>
          <w:p w14:paraId="6590295D"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nil"/>
              <w:left w:val="nil"/>
              <w:bottom w:val="nil"/>
              <w:right w:val="nil"/>
            </w:tcBorders>
            <w:shd w:val="clear" w:color="auto" w:fill="D9D9D9" w:themeFill="background1" w:themeFillShade="D9"/>
            <w:noWrap/>
            <w:vAlign w:val="bottom"/>
            <w:hideMark/>
          </w:tcPr>
          <w:p w14:paraId="668FC3FA"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345E3CF1"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1E54AB57"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313DEE84"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single" w:sz="4" w:space="0" w:color="000000"/>
            </w:tcBorders>
            <w:shd w:val="clear" w:color="auto" w:fill="D9D9D9" w:themeFill="background1" w:themeFillShade="D9"/>
            <w:noWrap/>
            <w:vAlign w:val="bottom"/>
            <w:hideMark/>
          </w:tcPr>
          <w:p w14:paraId="2FF4037D"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 </w:t>
            </w:r>
          </w:p>
        </w:tc>
      </w:tr>
      <w:tr w:rsidR="00FA1574" w:rsidRPr="00FA1574" w14:paraId="21BA05F6"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2CF701E4"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Staff</w:t>
            </w:r>
          </w:p>
          <w:p w14:paraId="1B10639E"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5ECA6B6E"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64</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16883C4C"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67</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037DE137"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17</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0F35B7E7"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7</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1ADCBFE2"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w:t>
            </w:r>
          </w:p>
        </w:tc>
      </w:tr>
      <w:tr w:rsidR="00FA1574" w:rsidRPr="00FA1574" w14:paraId="0B807715"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7883856E"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noWrap/>
            <w:vAlign w:val="bottom"/>
            <w:hideMark/>
          </w:tcPr>
          <w:p w14:paraId="68A2CFB5"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41%</w:t>
            </w:r>
          </w:p>
        </w:tc>
        <w:tc>
          <w:tcPr>
            <w:tcW w:w="1200" w:type="dxa"/>
            <w:tcBorders>
              <w:top w:val="nil"/>
              <w:left w:val="nil"/>
              <w:bottom w:val="single" w:sz="4" w:space="0" w:color="000000"/>
              <w:right w:val="single" w:sz="4" w:space="0" w:color="000000"/>
            </w:tcBorders>
            <w:shd w:val="clear" w:color="auto" w:fill="auto"/>
            <w:noWrap/>
            <w:vAlign w:val="bottom"/>
            <w:hideMark/>
          </w:tcPr>
          <w:p w14:paraId="4907519B"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43%</w:t>
            </w:r>
          </w:p>
        </w:tc>
        <w:tc>
          <w:tcPr>
            <w:tcW w:w="1200" w:type="dxa"/>
            <w:tcBorders>
              <w:top w:val="nil"/>
              <w:left w:val="nil"/>
              <w:bottom w:val="single" w:sz="4" w:space="0" w:color="000000"/>
              <w:right w:val="single" w:sz="4" w:space="0" w:color="000000"/>
            </w:tcBorders>
            <w:shd w:val="clear" w:color="auto" w:fill="auto"/>
            <w:noWrap/>
            <w:vAlign w:val="bottom"/>
            <w:hideMark/>
          </w:tcPr>
          <w:p w14:paraId="38D29501"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11%</w:t>
            </w:r>
          </w:p>
        </w:tc>
        <w:tc>
          <w:tcPr>
            <w:tcW w:w="1200" w:type="dxa"/>
            <w:tcBorders>
              <w:top w:val="nil"/>
              <w:left w:val="nil"/>
              <w:bottom w:val="single" w:sz="4" w:space="0" w:color="000000"/>
              <w:right w:val="single" w:sz="4" w:space="0" w:color="000000"/>
            </w:tcBorders>
            <w:shd w:val="clear" w:color="auto" w:fill="auto"/>
            <w:noWrap/>
            <w:vAlign w:val="bottom"/>
            <w:hideMark/>
          </w:tcPr>
          <w:p w14:paraId="01AB1E36"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w:t>
            </w:r>
          </w:p>
        </w:tc>
        <w:tc>
          <w:tcPr>
            <w:tcW w:w="1200" w:type="dxa"/>
            <w:tcBorders>
              <w:top w:val="nil"/>
              <w:left w:val="nil"/>
              <w:bottom w:val="single" w:sz="4" w:space="0" w:color="000000"/>
              <w:right w:val="single" w:sz="4" w:space="0" w:color="000000"/>
            </w:tcBorders>
            <w:shd w:val="clear" w:color="auto" w:fill="auto"/>
            <w:noWrap/>
            <w:vAlign w:val="bottom"/>
            <w:hideMark/>
          </w:tcPr>
          <w:p w14:paraId="1CB29EBD"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w:t>
            </w:r>
          </w:p>
        </w:tc>
      </w:tr>
    </w:tbl>
    <w:p w14:paraId="5A651082" w14:textId="77777777" w:rsidR="00FA1574" w:rsidRPr="00FA1574" w:rsidRDefault="00FA1574" w:rsidP="00FA1574">
      <w:pPr>
        <w:spacing w:after="160" w:line="259" w:lineRule="auto"/>
        <w:ind w:left="720"/>
        <w:rPr>
          <w:rFonts w:ascii="Arial" w:hAnsi="Arial" w:cs="Arial"/>
          <w:b/>
          <w:bCs/>
          <w:color w:val="000000" w:themeColor="text1"/>
          <w:kern w:val="0"/>
          <w:sz w:val="22"/>
          <w:szCs w:val="22"/>
          <w14:ligatures w14:val="none"/>
        </w:rPr>
      </w:pPr>
    </w:p>
    <w:p w14:paraId="723727AF" w14:textId="77777777" w:rsidR="00FA1574" w:rsidRPr="00FA1574" w:rsidRDefault="00FA1574" w:rsidP="00FA1574">
      <w:pPr>
        <w:spacing w:after="160" w:line="259" w:lineRule="auto"/>
        <w:rPr>
          <w:rFonts w:ascii="Arial" w:hAnsi="Arial" w:cs="Arial"/>
          <w:b/>
          <w:bCs/>
          <w:color w:val="000000" w:themeColor="text1"/>
          <w:kern w:val="0"/>
          <w:sz w:val="20"/>
          <w:szCs w:val="20"/>
          <w14:ligatures w14:val="none"/>
        </w:rPr>
      </w:pPr>
      <w:r w:rsidRPr="00FA1574">
        <w:rPr>
          <w:rFonts w:ascii="Arial" w:hAnsi="Arial" w:cs="Arial"/>
          <w:b/>
          <w:bCs/>
          <w:color w:val="000000" w:themeColor="text1"/>
          <w:kern w:val="0"/>
          <w:sz w:val="20"/>
          <w:szCs w:val="20"/>
          <w14:ligatures w14:val="none"/>
        </w:rPr>
        <w:t>81% of respondents agree or strongly agree that our CRMP is accessible to them and their community.</w:t>
      </w:r>
    </w:p>
    <w:p w14:paraId="48FA6A52"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5% of respondents disagree, with 14% not sure.</w:t>
      </w:r>
    </w:p>
    <w:p w14:paraId="49CDAE78" w14:textId="77777777" w:rsidR="00FA1574" w:rsidRPr="00FA1574" w:rsidRDefault="00FA1574" w:rsidP="00FA1574">
      <w:pPr>
        <w:spacing w:after="160" w:line="259" w:lineRule="auto"/>
        <w:rPr>
          <w:rFonts w:ascii="Arial" w:hAnsi="Arial" w:cs="Arial"/>
          <w:color w:val="000000" w:themeColor="text1"/>
          <w:kern w:val="0"/>
          <w:sz w:val="20"/>
          <w:szCs w:val="20"/>
          <w14:ligatures w14:val="none"/>
        </w:rPr>
      </w:pPr>
      <w:r w:rsidRPr="00FA1574">
        <w:rPr>
          <w:rFonts w:ascii="Arial" w:hAnsi="Arial" w:cs="Arial"/>
          <w:color w:val="000000" w:themeColor="text1"/>
          <w:kern w:val="0"/>
          <w:sz w:val="20"/>
          <w:szCs w:val="20"/>
          <w14:ligatures w14:val="none"/>
        </w:rPr>
        <w:t xml:space="preserve">There is more uncertainty within these responses than in previous questions. Partners and the Public gave a neutral response more often than in previous questions, with 5% of the public and staff disagreeing that the CRMP is easy to understand and accessible. </w:t>
      </w:r>
    </w:p>
    <w:p w14:paraId="72AB13E6" w14:textId="77777777" w:rsidR="00FA1574" w:rsidRPr="00FA1574" w:rsidRDefault="00FA1574" w:rsidP="00FA1574">
      <w:pPr>
        <w:spacing w:after="160" w:line="259" w:lineRule="auto"/>
        <w:rPr>
          <w:rFonts w:ascii="Arial" w:hAnsi="Arial" w:cs="Arial"/>
          <w:color w:val="000000" w:themeColor="text1"/>
          <w:kern w:val="0"/>
          <w:sz w:val="20"/>
          <w:szCs w:val="20"/>
          <w14:ligatures w14:val="none"/>
        </w:rPr>
      </w:pPr>
      <w:r w:rsidRPr="00FA1574">
        <w:rPr>
          <w:rFonts w:ascii="Arial" w:hAnsi="Arial" w:cs="Arial"/>
          <w:color w:val="000000" w:themeColor="text1"/>
          <w:kern w:val="0"/>
          <w:sz w:val="20"/>
          <w:szCs w:val="20"/>
          <w14:ligatures w14:val="none"/>
        </w:rPr>
        <w:lastRenderedPageBreak/>
        <w:t xml:space="preserve">Whilst these are relatively small percentages, some additional work to explain the CRMP to all groups may be beneficial. </w:t>
      </w:r>
    </w:p>
    <w:p w14:paraId="28274462" w14:textId="77777777" w:rsidR="00FA1574" w:rsidRPr="00FA1574" w:rsidRDefault="00FA1574" w:rsidP="00FA1574">
      <w:pPr>
        <w:spacing w:after="160" w:line="259" w:lineRule="auto"/>
        <w:rPr>
          <w:rFonts w:ascii="Arial" w:hAnsi="Arial" w:cs="Arial"/>
          <w:color w:val="000000" w:themeColor="text1"/>
          <w:kern w:val="0"/>
          <w:sz w:val="22"/>
          <w:szCs w:val="22"/>
          <w14:ligatures w14:val="none"/>
        </w:rPr>
      </w:pPr>
    </w:p>
    <w:p w14:paraId="057737C0" w14:textId="77777777" w:rsidR="00FA1574" w:rsidRPr="00FA1574" w:rsidRDefault="00FA1574" w:rsidP="00FA1574">
      <w:pPr>
        <w:numPr>
          <w:ilvl w:val="0"/>
          <w:numId w:val="53"/>
        </w:numPr>
        <w:spacing w:after="160" w:line="259" w:lineRule="auto"/>
        <w:contextualSpacing/>
        <w:rPr>
          <w:rFonts w:ascii="Arial" w:hAnsi="Arial" w:cs="Arial"/>
          <w:b/>
          <w:bCs/>
          <w:color w:val="000000" w:themeColor="text1"/>
          <w:kern w:val="0"/>
          <w:sz w:val="28"/>
          <w:szCs w:val="28"/>
          <w14:ligatures w14:val="none"/>
        </w:rPr>
      </w:pPr>
      <w:r w:rsidRPr="00FA1574">
        <w:rPr>
          <w:rFonts w:ascii="Arial" w:hAnsi="Arial" w:cs="Arial"/>
          <w:b/>
          <w:bCs/>
          <w:color w:val="000000" w:themeColor="text1"/>
          <w:kern w:val="0"/>
          <w:sz w:val="28"/>
          <w:szCs w:val="28"/>
          <w14:ligatures w14:val="none"/>
        </w:rPr>
        <w:t>Accessibility</w:t>
      </w:r>
    </w:p>
    <w:p w14:paraId="49A2738D" w14:textId="77777777" w:rsidR="00FA1574" w:rsidRPr="00FA1574" w:rsidRDefault="00FA1574" w:rsidP="00FA1574">
      <w:pPr>
        <w:spacing w:after="160" w:line="259" w:lineRule="auto"/>
        <w:rPr>
          <w:rFonts w:ascii="Arial" w:hAnsi="Arial" w:cs="Arial"/>
          <w:color w:val="000000" w:themeColor="text1"/>
          <w:kern w:val="0"/>
          <w:sz w:val="22"/>
          <w:szCs w:val="22"/>
          <w:shd w:val="clear" w:color="auto" w:fill="FFFFFF"/>
          <w14:ligatures w14:val="none"/>
        </w:rPr>
      </w:pPr>
      <w:r w:rsidRPr="00FA1574">
        <w:rPr>
          <w:rFonts w:ascii="Arial" w:hAnsi="Arial" w:cs="Arial"/>
          <w:color w:val="000000" w:themeColor="text1"/>
          <w:kern w:val="0"/>
          <w:sz w:val="22"/>
          <w:szCs w:val="22"/>
          <w:shd w:val="clear" w:color="auto" w:fill="FFFFFF"/>
          <w14:ligatures w14:val="none"/>
        </w:rPr>
        <w:t>Participants were asked: “Our CRMP is available in both an accessible web-based format, and online document format. Which version do you prefer?”</w:t>
      </w:r>
    </w:p>
    <w:tbl>
      <w:tblPr>
        <w:tblW w:w="3420" w:type="dxa"/>
        <w:jc w:val="center"/>
        <w:tblLook w:val="04A0" w:firstRow="1" w:lastRow="0" w:firstColumn="1" w:lastColumn="0" w:noHBand="0" w:noVBand="1"/>
      </w:tblPr>
      <w:tblGrid>
        <w:gridCol w:w="1020"/>
        <w:gridCol w:w="1200"/>
        <w:gridCol w:w="1200"/>
      </w:tblGrid>
      <w:tr w:rsidR="00FA1574" w:rsidRPr="00FA1574" w14:paraId="1745FEE9" w14:textId="77777777" w:rsidTr="00F5532B">
        <w:trPr>
          <w:trHeight w:val="1343"/>
          <w:jc w:val="center"/>
        </w:trPr>
        <w:tc>
          <w:tcPr>
            <w:tcW w:w="1020" w:type="dxa"/>
            <w:tcBorders>
              <w:top w:val="nil"/>
              <w:left w:val="nil"/>
              <w:bottom w:val="nil"/>
              <w:right w:val="nil"/>
            </w:tcBorders>
            <w:shd w:val="clear" w:color="auto" w:fill="auto"/>
            <w:noWrap/>
            <w:vAlign w:val="bottom"/>
            <w:hideMark/>
          </w:tcPr>
          <w:p w14:paraId="7837C7E7" w14:textId="77777777" w:rsidR="00FA1574" w:rsidRPr="00FA1574" w:rsidRDefault="00FA1574" w:rsidP="00FA1574">
            <w:pPr>
              <w:rPr>
                <w:rFonts w:ascii="Times New Roman" w:eastAsia="Times New Roman" w:hAnsi="Times New Roman" w:cs="Times New Roman"/>
                <w:color w:val="auto"/>
                <w:kern w:val="0"/>
                <w:sz w:val="22"/>
                <w:szCs w:val="22"/>
                <w:lang w:eastAsia="en-GB"/>
                <w14:ligatures w14:val="none"/>
              </w:rPr>
            </w:pPr>
          </w:p>
        </w:tc>
        <w:tc>
          <w:tcPr>
            <w:tcW w:w="2400" w:type="dxa"/>
            <w:gridSpan w:val="2"/>
            <w:tcBorders>
              <w:top w:val="single" w:sz="4" w:space="0" w:color="000000"/>
              <w:left w:val="single" w:sz="4" w:space="0" w:color="000000"/>
              <w:bottom w:val="single" w:sz="4" w:space="0" w:color="000000"/>
              <w:right w:val="single" w:sz="4" w:space="0" w:color="auto"/>
            </w:tcBorders>
            <w:shd w:val="clear" w:color="auto" w:fill="auto"/>
            <w:vAlign w:val="bottom"/>
            <w:hideMark/>
          </w:tcPr>
          <w:p w14:paraId="0EFCE766"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Our CRMP is available in both an accessible web-based format, and online document format. Which version do you prefer?</w:t>
            </w:r>
          </w:p>
        </w:tc>
      </w:tr>
      <w:tr w:rsidR="00FA1574" w:rsidRPr="00FA1574" w14:paraId="499767BA" w14:textId="77777777" w:rsidTr="00F5532B">
        <w:trPr>
          <w:trHeight w:val="630"/>
          <w:jc w:val="center"/>
        </w:trPr>
        <w:tc>
          <w:tcPr>
            <w:tcW w:w="1020" w:type="dxa"/>
            <w:tcBorders>
              <w:top w:val="nil"/>
              <w:left w:val="nil"/>
              <w:bottom w:val="nil"/>
              <w:right w:val="nil"/>
            </w:tcBorders>
            <w:shd w:val="clear" w:color="auto" w:fill="auto"/>
            <w:noWrap/>
            <w:vAlign w:val="bottom"/>
            <w:hideMark/>
          </w:tcPr>
          <w:p w14:paraId="7350F5BA"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03EFCC8C" w14:textId="77777777" w:rsidR="00FA1574" w:rsidRPr="00FA1574" w:rsidRDefault="00FA1574" w:rsidP="00FA1574">
            <w:pPr>
              <w:rPr>
                <w:rFonts w:ascii="Calibri" w:eastAsia="Times New Roman" w:hAnsi="Calibri" w:cs="Calibri"/>
                <w:b/>
                <w:bCs/>
                <w:color w:val="000000"/>
                <w:kern w:val="0"/>
                <w:sz w:val="22"/>
                <w:szCs w:val="22"/>
                <w:lang w:eastAsia="en-GB"/>
                <w14:ligatures w14:val="none"/>
              </w:rPr>
            </w:pPr>
            <w:r w:rsidRPr="00FA1574">
              <w:rPr>
                <w:rFonts w:ascii="Calibri" w:eastAsia="Times New Roman" w:hAnsi="Calibri" w:cs="Calibri"/>
                <w:b/>
                <w:bCs/>
                <w:color w:val="000000"/>
                <w:kern w:val="0"/>
                <w:sz w:val="22"/>
                <w:szCs w:val="22"/>
                <w:lang w:eastAsia="en-GB"/>
                <w14:ligatures w14:val="none"/>
              </w:rPr>
              <w:t>Web Based</w:t>
            </w:r>
          </w:p>
        </w:tc>
        <w:tc>
          <w:tcPr>
            <w:tcW w:w="1200" w:type="dxa"/>
            <w:tcBorders>
              <w:top w:val="nil"/>
              <w:left w:val="nil"/>
              <w:bottom w:val="single" w:sz="4" w:space="0" w:color="000000"/>
              <w:right w:val="single" w:sz="4" w:space="0" w:color="auto"/>
            </w:tcBorders>
            <w:shd w:val="clear" w:color="auto" w:fill="auto"/>
            <w:vAlign w:val="center"/>
            <w:hideMark/>
          </w:tcPr>
          <w:p w14:paraId="2186C099" w14:textId="77777777" w:rsidR="00FA1574" w:rsidRPr="00FA1574" w:rsidRDefault="00FA1574" w:rsidP="00FA1574">
            <w:pPr>
              <w:rPr>
                <w:rFonts w:ascii="Calibri" w:eastAsia="Times New Roman" w:hAnsi="Calibri" w:cs="Calibri"/>
                <w:b/>
                <w:bCs/>
                <w:color w:val="000000"/>
                <w:kern w:val="0"/>
                <w:sz w:val="22"/>
                <w:szCs w:val="22"/>
                <w:lang w:eastAsia="en-GB"/>
                <w14:ligatures w14:val="none"/>
              </w:rPr>
            </w:pPr>
            <w:r w:rsidRPr="00FA1574">
              <w:rPr>
                <w:rFonts w:ascii="Calibri" w:eastAsia="Times New Roman" w:hAnsi="Calibri" w:cs="Calibri"/>
                <w:b/>
                <w:bCs/>
                <w:color w:val="000000"/>
                <w:kern w:val="0"/>
                <w:sz w:val="22"/>
                <w:szCs w:val="22"/>
                <w:lang w:eastAsia="en-GB"/>
                <w14:ligatures w14:val="none"/>
              </w:rPr>
              <w:t>PDF</w:t>
            </w:r>
          </w:p>
        </w:tc>
      </w:tr>
      <w:tr w:rsidR="00FA1574" w:rsidRPr="00FA1574" w14:paraId="1C89F670"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5073229C"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Total</w:t>
            </w:r>
          </w:p>
          <w:p w14:paraId="6C03A4EB"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nil"/>
              <w:left w:val="nil"/>
              <w:bottom w:val="single" w:sz="4" w:space="0" w:color="000000"/>
              <w:right w:val="single" w:sz="4" w:space="0" w:color="000000"/>
            </w:tcBorders>
            <w:shd w:val="clear" w:color="auto" w:fill="auto"/>
            <w:vAlign w:val="center"/>
            <w:hideMark/>
          </w:tcPr>
          <w:p w14:paraId="62DABAF0"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472</w:t>
            </w:r>
          </w:p>
        </w:tc>
        <w:tc>
          <w:tcPr>
            <w:tcW w:w="1200" w:type="dxa"/>
            <w:tcBorders>
              <w:top w:val="nil"/>
              <w:left w:val="nil"/>
              <w:bottom w:val="single" w:sz="4" w:space="0" w:color="000000"/>
              <w:right w:val="single" w:sz="4" w:space="0" w:color="auto"/>
            </w:tcBorders>
            <w:shd w:val="clear" w:color="auto" w:fill="auto"/>
            <w:vAlign w:val="center"/>
            <w:hideMark/>
          </w:tcPr>
          <w:p w14:paraId="7C4274DB"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174</w:t>
            </w:r>
          </w:p>
        </w:tc>
      </w:tr>
      <w:tr w:rsidR="00FA1574" w:rsidRPr="00FA1574" w14:paraId="0C64B9F6"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73BFEA58"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vAlign w:val="center"/>
            <w:hideMark/>
          </w:tcPr>
          <w:p w14:paraId="248E32FF"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73%</w:t>
            </w:r>
          </w:p>
        </w:tc>
        <w:tc>
          <w:tcPr>
            <w:tcW w:w="1200" w:type="dxa"/>
            <w:tcBorders>
              <w:top w:val="nil"/>
              <w:left w:val="nil"/>
              <w:bottom w:val="single" w:sz="4" w:space="0" w:color="000000"/>
              <w:right w:val="single" w:sz="4" w:space="0" w:color="auto"/>
            </w:tcBorders>
            <w:shd w:val="clear" w:color="auto" w:fill="auto"/>
            <w:vAlign w:val="center"/>
            <w:hideMark/>
          </w:tcPr>
          <w:p w14:paraId="7E473261"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27%</w:t>
            </w:r>
          </w:p>
        </w:tc>
      </w:tr>
      <w:tr w:rsidR="00FA1574" w:rsidRPr="00FA1574" w14:paraId="489F1689" w14:textId="77777777" w:rsidTr="00F5532B">
        <w:trPr>
          <w:trHeight w:val="263"/>
          <w:jc w:val="center"/>
        </w:trPr>
        <w:tc>
          <w:tcPr>
            <w:tcW w:w="1020" w:type="dxa"/>
            <w:tcBorders>
              <w:top w:val="nil"/>
              <w:left w:val="single" w:sz="4" w:space="0" w:color="000000"/>
              <w:bottom w:val="nil"/>
              <w:right w:val="nil"/>
            </w:tcBorders>
            <w:shd w:val="clear" w:color="auto" w:fill="D9D9D9" w:themeFill="background1" w:themeFillShade="D9"/>
            <w:noWrap/>
            <w:vAlign w:val="bottom"/>
            <w:hideMark/>
          </w:tcPr>
          <w:p w14:paraId="0F3EDCA0"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nil"/>
              <w:left w:val="nil"/>
              <w:bottom w:val="nil"/>
              <w:right w:val="nil"/>
            </w:tcBorders>
            <w:shd w:val="clear" w:color="auto" w:fill="D9D9D9" w:themeFill="background1" w:themeFillShade="D9"/>
            <w:noWrap/>
            <w:vAlign w:val="bottom"/>
            <w:hideMark/>
          </w:tcPr>
          <w:p w14:paraId="79A299D3"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nil"/>
              <w:right w:val="single" w:sz="4" w:space="0" w:color="auto"/>
            </w:tcBorders>
            <w:shd w:val="clear" w:color="auto" w:fill="D9D9D9" w:themeFill="background1" w:themeFillShade="D9"/>
            <w:noWrap/>
            <w:vAlign w:val="bottom"/>
            <w:hideMark/>
          </w:tcPr>
          <w:p w14:paraId="6DF41A3A"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r>
      <w:tr w:rsidR="00FA1574" w:rsidRPr="00FA1574" w14:paraId="28E36E16"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1A305C2A"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Public</w:t>
            </w:r>
          </w:p>
          <w:p w14:paraId="4C4C7B4B"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2D22C364"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303</w:t>
            </w:r>
          </w:p>
        </w:tc>
        <w:tc>
          <w:tcPr>
            <w:tcW w:w="1200" w:type="dxa"/>
            <w:tcBorders>
              <w:top w:val="single" w:sz="4" w:space="0" w:color="000000"/>
              <w:left w:val="nil"/>
              <w:bottom w:val="single" w:sz="4" w:space="0" w:color="000000"/>
              <w:right w:val="single" w:sz="4" w:space="0" w:color="auto"/>
            </w:tcBorders>
            <w:shd w:val="clear" w:color="auto" w:fill="auto"/>
            <w:noWrap/>
            <w:vAlign w:val="bottom"/>
            <w:hideMark/>
          </w:tcPr>
          <w:p w14:paraId="29AE9052"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107</w:t>
            </w:r>
          </w:p>
        </w:tc>
      </w:tr>
      <w:tr w:rsidR="00FA1574" w:rsidRPr="00FA1574" w14:paraId="77AD3AD5"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380302BB"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noWrap/>
            <w:vAlign w:val="bottom"/>
            <w:hideMark/>
          </w:tcPr>
          <w:p w14:paraId="668C975F"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74%</w:t>
            </w:r>
          </w:p>
        </w:tc>
        <w:tc>
          <w:tcPr>
            <w:tcW w:w="1200" w:type="dxa"/>
            <w:tcBorders>
              <w:top w:val="nil"/>
              <w:left w:val="nil"/>
              <w:bottom w:val="single" w:sz="4" w:space="0" w:color="000000"/>
              <w:right w:val="single" w:sz="4" w:space="0" w:color="auto"/>
            </w:tcBorders>
            <w:shd w:val="clear" w:color="auto" w:fill="auto"/>
            <w:noWrap/>
            <w:vAlign w:val="bottom"/>
            <w:hideMark/>
          </w:tcPr>
          <w:p w14:paraId="3A9816BE"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26%</w:t>
            </w:r>
          </w:p>
        </w:tc>
      </w:tr>
      <w:tr w:rsidR="00FA1574" w:rsidRPr="00FA1574" w14:paraId="35C4E7A4" w14:textId="77777777" w:rsidTr="00F5532B">
        <w:trPr>
          <w:trHeight w:val="263"/>
          <w:jc w:val="center"/>
        </w:trPr>
        <w:tc>
          <w:tcPr>
            <w:tcW w:w="1020" w:type="dxa"/>
            <w:tcBorders>
              <w:top w:val="nil"/>
              <w:left w:val="single" w:sz="4" w:space="0" w:color="000000"/>
              <w:bottom w:val="nil"/>
              <w:right w:val="nil"/>
            </w:tcBorders>
            <w:shd w:val="clear" w:color="auto" w:fill="D9D9D9" w:themeFill="background1" w:themeFillShade="D9"/>
            <w:noWrap/>
            <w:vAlign w:val="bottom"/>
            <w:hideMark/>
          </w:tcPr>
          <w:p w14:paraId="4BB6E5FA"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nil"/>
              <w:left w:val="nil"/>
              <w:bottom w:val="nil"/>
              <w:right w:val="nil"/>
            </w:tcBorders>
            <w:shd w:val="clear" w:color="auto" w:fill="D9D9D9" w:themeFill="background1" w:themeFillShade="D9"/>
            <w:noWrap/>
            <w:vAlign w:val="bottom"/>
            <w:hideMark/>
          </w:tcPr>
          <w:p w14:paraId="42A1978A"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nil"/>
              <w:right w:val="single" w:sz="4" w:space="0" w:color="auto"/>
            </w:tcBorders>
            <w:shd w:val="clear" w:color="auto" w:fill="D9D9D9" w:themeFill="background1" w:themeFillShade="D9"/>
            <w:noWrap/>
            <w:vAlign w:val="bottom"/>
            <w:hideMark/>
          </w:tcPr>
          <w:p w14:paraId="4C3F5C4E"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r>
      <w:tr w:rsidR="00FA1574" w:rsidRPr="00FA1574" w14:paraId="2B99F48F"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5DF7471B"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Partners</w:t>
            </w:r>
          </w:p>
          <w:p w14:paraId="726FD06A"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469B6B24"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24</w:t>
            </w:r>
          </w:p>
        </w:tc>
        <w:tc>
          <w:tcPr>
            <w:tcW w:w="1200" w:type="dxa"/>
            <w:tcBorders>
              <w:top w:val="single" w:sz="4" w:space="0" w:color="000000"/>
              <w:left w:val="nil"/>
              <w:bottom w:val="single" w:sz="4" w:space="0" w:color="000000"/>
              <w:right w:val="single" w:sz="4" w:space="0" w:color="auto"/>
            </w:tcBorders>
            <w:shd w:val="clear" w:color="auto" w:fill="auto"/>
            <w:noWrap/>
            <w:vAlign w:val="bottom"/>
            <w:hideMark/>
          </w:tcPr>
          <w:p w14:paraId="536A2F00"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9</w:t>
            </w:r>
          </w:p>
        </w:tc>
      </w:tr>
      <w:tr w:rsidR="00FA1574" w:rsidRPr="00FA1574" w14:paraId="005FD250"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4C47D875"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noWrap/>
            <w:vAlign w:val="bottom"/>
            <w:hideMark/>
          </w:tcPr>
          <w:p w14:paraId="7B47D76B"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73%</w:t>
            </w:r>
          </w:p>
        </w:tc>
        <w:tc>
          <w:tcPr>
            <w:tcW w:w="1200" w:type="dxa"/>
            <w:tcBorders>
              <w:top w:val="nil"/>
              <w:left w:val="nil"/>
              <w:bottom w:val="single" w:sz="4" w:space="0" w:color="000000"/>
              <w:right w:val="single" w:sz="4" w:space="0" w:color="auto"/>
            </w:tcBorders>
            <w:shd w:val="clear" w:color="auto" w:fill="auto"/>
            <w:noWrap/>
            <w:vAlign w:val="bottom"/>
            <w:hideMark/>
          </w:tcPr>
          <w:p w14:paraId="0E2018B0"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27%</w:t>
            </w:r>
          </w:p>
        </w:tc>
      </w:tr>
      <w:tr w:rsidR="00FA1574" w:rsidRPr="00FA1574" w14:paraId="6F993339" w14:textId="77777777" w:rsidTr="00F5532B">
        <w:trPr>
          <w:trHeight w:val="263"/>
          <w:jc w:val="center"/>
        </w:trPr>
        <w:tc>
          <w:tcPr>
            <w:tcW w:w="1020" w:type="dxa"/>
            <w:tcBorders>
              <w:top w:val="nil"/>
              <w:left w:val="single" w:sz="4" w:space="0" w:color="000000"/>
              <w:bottom w:val="nil"/>
              <w:right w:val="nil"/>
            </w:tcBorders>
            <w:shd w:val="clear" w:color="auto" w:fill="D9D9D9" w:themeFill="background1" w:themeFillShade="D9"/>
            <w:noWrap/>
            <w:vAlign w:val="bottom"/>
            <w:hideMark/>
          </w:tcPr>
          <w:p w14:paraId="7713E747"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nil"/>
              <w:left w:val="nil"/>
              <w:bottom w:val="nil"/>
              <w:right w:val="nil"/>
            </w:tcBorders>
            <w:shd w:val="clear" w:color="auto" w:fill="D9D9D9" w:themeFill="background1" w:themeFillShade="D9"/>
            <w:noWrap/>
            <w:vAlign w:val="bottom"/>
            <w:hideMark/>
          </w:tcPr>
          <w:p w14:paraId="519C930B"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nil"/>
              <w:right w:val="single" w:sz="4" w:space="0" w:color="auto"/>
            </w:tcBorders>
            <w:shd w:val="clear" w:color="auto" w:fill="D9D9D9" w:themeFill="background1" w:themeFillShade="D9"/>
            <w:noWrap/>
            <w:vAlign w:val="bottom"/>
            <w:hideMark/>
          </w:tcPr>
          <w:p w14:paraId="7EC1E5C8"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r>
      <w:tr w:rsidR="00FA1574" w:rsidRPr="00FA1574" w14:paraId="55A8412F"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634EFE6D"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Staff</w:t>
            </w:r>
          </w:p>
          <w:p w14:paraId="68838B04"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1978F61E"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112</w:t>
            </w:r>
          </w:p>
        </w:tc>
        <w:tc>
          <w:tcPr>
            <w:tcW w:w="1200" w:type="dxa"/>
            <w:tcBorders>
              <w:top w:val="single" w:sz="4" w:space="0" w:color="000000"/>
              <w:left w:val="nil"/>
              <w:bottom w:val="single" w:sz="4" w:space="0" w:color="000000"/>
              <w:right w:val="single" w:sz="4" w:space="0" w:color="auto"/>
            </w:tcBorders>
            <w:shd w:val="clear" w:color="auto" w:fill="auto"/>
            <w:noWrap/>
            <w:vAlign w:val="bottom"/>
            <w:hideMark/>
          </w:tcPr>
          <w:p w14:paraId="50869252"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45</w:t>
            </w:r>
          </w:p>
        </w:tc>
      </w:tr>
      <w:tr w:rsidR="00FA1574" w:rsidRPr="00FA1574" w14:paraId="1798E973"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32D98968"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noWrap/>
            <w:vAlign w:val="bottom"/>
            <w:hideMark/>
          </w:tcPr>
          <w:p w14:paraId="5E7932BF"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71%</w:t>
            </w:r>
          </w:p>
        </w:tc>
        <w:tc>
          <w:tcPr>
            <w:tcW w:w="1200" w:type="dxa"/>
            <w:tcBorders>
              <w:top w:val="nil"/>
              <w:left w:val="nil"/>
              <w:bottom w:val="single" w:sz="4" w:space="0" w:color="000000"/>
              <w:right w:val="single" w:sz="4" w:space="0" w:color="auto"/>
            </w:tcBorders>
            <w:shd w:val="clear" w:color="auto" w:fill="auto"/>
            <w:noWrap/>
            <w:vAlign w:val="bottom"/>
            <w:hideMark/>
          </w:tcPr>
          <w:p w14:paraId="6A9CACAA"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29%</w:t>
            </w:r>
          </w:p>
        </w:tc>
      </w:tr>
    </w:tbl>
    <w:p w14:paraId="6040A5A3" w14:textId="77777777" w:rsidR="00FA1574" w:rsidRPr="00FA1574" w:rsidRDefault="00FA1574" w:rsidP="00FA1574">
      <w:pPr>
        <w:spacing w:after="160" w:line="259" w:lineRule="auto"/>
        <w:rPr>
          <w:rFonts w:ascii="Arial" w:hAnsi="Arial" w:cs="Arial"/>
          <w:b/>
          <w:bCs/>
          <w:color w:val="000000" w:themeColor="text1"/>
          <w:kern w:val="0"/>
          <w:sz w:val="4"/>
          <w:szCs w:val="4"/>
          <w14:ligatures w14:val="none"/>
        </w:rPr>
      </w:pPr>
    </w:p>
    <w:p w14:paraId="2B1F3548" w14:textId="77777777" w:rsidR="00FA1574" w:rsidRPr="00FA1574" w:rsidRDefault="00FA1574" w:rsidP="00FA1574">
      <w:pPr>
        <w:spacing w:after="160" w:line="259" w:lineRule="auto"/>
        <w:rPr>
          <w:rFonts w:ascii="Arial" w:hAnsi="Arial" w:cs="Arial"/>
          <w:b/>
          <w:bCs/>
          <w:color w:val="000000" w:themeColor="text1"/>
          <w:kern w:val="0"/>
          <w:sz w:val="20"/>
          <w:szCs w:val="20"/>
          <w14:ligatures w14:val="none"/>
        </w:rPr>
      </w:pPr>
      <w:r w:rsidRPr="00FA1574">
        <w:rPr>
          <w:rFonts w:ascii="Arial" w:hAnsi="Arial" w:cs="Arial"/>
          <w:b/>
          <w:bCs/>
          <w:color w:val="000000" w:themeColor="text1"/>
          <w:kern w:val="0"/>
          <w:sz w:val="20"/>
          <w:szCs w:val="20"/>
          <w14:ligatures w14:val="none"/>
        </w:rPr>
        <w:t xml:space="preserve">Nearly three quarters (73%) of respondents prefer the accessible online version of the CRMP. </w:t>
      </w:r>
    </w:p>
    <w:p w14:paraId="674BE78A" w14:textId="77777777" w:rsidR="00FA1574" w:rsidRPr="00FA1574" w:rsidRDefault="00FA1574" w:rsidP="00FA1574">
      <w:pPr>
        <w:spacing w:after="160" w:line="259" w:lineRule="auto"/>
        <w:rPr>
          <w:rFonts w:ascii="Arial" w:hAnsi="Arial" w:cs="Arial"/>
          <w:color w:val="000000" w:themeColor="text1"/>
          <w:kern w:val="0"/>
          <w:sz w:val="20"/>
          <w:szCs w:val="20"/>
          <w14:ligatures w14:val="none"/>
        </w:rPr>
      </w:pPr>
      <w:r w:rsidRPr="00FA1574">
        <w:rPr>
          <w:rFonts w:ascii="Arial" w:hAnsi="Arial" w:cs="Arial"/>
          <w:color w:val="000000" w:themeColor="text1"/>
          <w:kern w:val="0"/>
          <w:sz w:val="20"/>
          <w:szCs w:val="20"/>
          <w14:ligatures w14:val="none"/>
        </w:rPr>
        <w:t xml:space="preserve">The accessible web-based version of the CRMP was identified as being the more popular version. It is worth noting that this is the version that participants of the survey were directed to (with the option of downloading the PDF version). </w:t>
      </w:r>
    </w:p>
    <w:p w14:paraId="65FE97E9"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responses from the public, partners and staff are consistent, with limited discernible difference in the level of agreement between each group.</w:t>
      </w:r>
    </w:p>
    <w:p w14:paraId="7316AC5E" w14:textId="77777777" w:rsidR="00FA1574" w:rsidRPr="00FA1574" w:rsidRDefault="00FA1574" w:rsidP="00FA1574">
      <w:pPr>
        <w:spacing w:after="160" w:line="259" w:lineRule="auto"/>
        <w:rPr>
          <w:rFonts w:ascii="Arial" w:hAnsi="Arial" w:cs="Arial"/>
          <w:color w:val="000000" w:themeColor="text1"/>
          <w:kern w:val="0"/>
          <w:sz w:val="2"/>
          <w:szCs w:val="2"/>
          <w14:ligatures w14:val="none"/>
        </w:rPr>
      </w:pPr>
    </w:p>
    <w:p w14:paraId="47DF9379" w14:textId="77777777" w:rsidR="00FA1574" w:rsidRPr="00FA1574" w:rsidRDefault="00FA1574" w:rsidP="00FA1574">
      <w:pPr>
        <w:numPr>
          <w:ilvl w:val="0"/>
          <w:numId w:val="53"/>
        </w:numPr>
        <w:spacing w:after="160" w:line="278" w:lineRule="auto"/>
        <w:contextualSpacing/>
        <w:rPr>
          <w:rFonts w:ascii="Arial" w:hAnsi="Arial" w:cs="Arial"/>
          <w:b/>
          <w:bCs/>
          <w:color w:val="000000" w:themeColor="text1"/>
          <w:kern w:val="0"/>
          <w:sz w:val="28"/>
          <w:szCs w:val="28"/>
          <w14:ligatures w14:val="none"/>
        </w:rPr>
      </w:pPr>
      <w:r w:rsidRPr="00FA1574">
        <w:rPr>
          <w:rFonts w:ascii="Arial" w:hAnsi="Arial" w:cs="Arial"/>
          <w:b/>
          <w:bCs/>
          <w:color w:val="000000" w:themeColor="text1"/>
          <w:kern w:val="0"/>
          <w:sz w:val="28"/>
          <w:szCs w:val="28"/>
          <w14:ligatures w14:val="none"/>
        </w:rPr>
        <w:t>AFAs</w:t>
      </w:r>
    </w:p>
    <w:p w14:paraId="67297693" w14:textId="77777777" w:rsidR="00FA1574" w:rsidRPr="00FA1574" w:rsidRDefault="00FA1574" w:rsidP="00FA1574">
      <w:pPr>
        <w:spacing w:after="160" w:line="259" w:lineRule="auto"/>
        <w:rPr>
          <w:rFonts w:ascii="Arial" w:hAnsi="Arial" w:cs="Arial"/>
          <w:b/>
          <w:bCs/>
          <w:color w:val="000000" w:themeColor="text1"/>
          <w:kern w:val="0"/>
          <w:sz w:val="22"/>
          <w:szCs w:val="22"/>
          <w14:ligatures w14:val="none"/>
        </w:rPr>
      </w:pPr>
      <w:r w:rsidRPr="00FA1574">
        <w:rPr>
          <w:rFonts w:ascii="Arial" w:hAnsi="Arial" w:cs="Arial"/>
          <w:color w:val="000000" w:themeColor="text1"/>
          <w:kern w:val="0"/>
          <w:sz w:val="22"/>
          <w:szCs w:val="22"/>
          <w14:ligatures w14:val="none"/>
        </w:rPr>
        <w:t>Participants were asked: “</w:t>
      </w:r>
      <w:r w:rsidRPr="00FA1574">
        <w:rPr>
          <w:rFonts w:ascii="Arial" w:hAnsi="Arial" w:cs="Arial"/>
          <w:color w:val="000000" w:themeColor="text1"/>
          <w:kern w:val="0"/>
          <w:sz w:val="22"/>
          <w:szCs w:val="22"/>
          <w:shd w:val="clear" w:color="auto" w:fill="FFFFFF"/>
          <w14:ligatures w14:val="none"/>
        </w:rPr>
        <w:t>To what extent do you believe it is reasonable for NFRS to consider charging a call-out fee for attending unnecessary false alarms at business premises where other efforts to reduce attendances have failed?” </w:t>
      </w:r>
    </w:p>
    <w:tbl>
      <w:tblPr>
        <w:tblW w:w="7138" w:type="dxa"/>
        <w:jc w:val="center"/>
        <w:tblLook w:val="04A0" w:firstRow="1" w:lastRow="0" w:firstColumn="1" w:lastColumn="0" w:noHBand="0" w:noVBand="1"/>
      </w:tblPr>
      <w:tblGrid>
        <w:gridCol w:w="1020"/>
        <w:gridCol w:w="1200"/>
        <w:gridCol w:w="1200"/>
        <w:gridCol w:w="1200"/>
        <w:gridCol w:w="1259"/>
        <w:gridCol w:w="1259"/>
      </w:tblGrid>
      <w:tr w:rsidR="00FA1574" w:rsidRPr="00FA1574" w14:paraId="14023F1E" w14:textId="77777777" w:rsidTr="00F5532B">
        <w:trPr>
          <w:trHeight w:val="1050"/>
          <w:jc w:val="center"/>
        </w:trPr>
        <w:tc>
          <w:tcPr>
            <w:tcW w:w="1020" w:type="dxa"/>
            <w:tcBorders>
              <w:top w:val="nil"/>
              <w:left w:val="nil"/>
              <w:bottom w:val="nil"/>
              <w:right w:val="nil"/>
            </w:tcBorders>
            <w:shd w:val="clear" w:color="auto" w:fill="auto"/>
            <w:noWrap/>
            <w:vAlign w:val="bottom"/>
            <w:hideMark/>
          </w:tcPr>
          <w:p w14:paraId="3CB6DBA4" w14:textId="77777777" w:rsidR="00FA1574" w:rsidRPr="00FA1574" w:rsidRDefault="00FA1574" w:rsidP="00FA1574">
            <w:pPr>
              <w:rPr>
                <w:rFonts w:ascii="Times New Roman" w:eastAsia="Times New Roman" w:hAnsi="Times New Roman" w:cs="Times New Roman"/>
                <w:color w:val="auto"/>
                <w:kern w:val="0"/>
                <w:sz w:val="22"/>
                <w:szCs w:val="22"/>
                <w:lang w:eastAsia="en-GB"/>
                <w14:ligatures w14:val="none"/>
              </w:rPr>
            </w:pPr>
          </w:p>
        </w:tc>
        <w:tc>
          <w:tcPr>
            <w:tcW w:w="6118" w:type="dxa"/>
            <w:gridSpan w:val="5"/>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E14EE2E"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To what extent do you believe it is reasonable for NFRS to consider charging a call-out fee for attending unnecessary false alarms at business premises where other efforts to reduce attendances have failed?</w:t>
            </w:r>
          </w:p>
        </w:tc>
      </w:tr>
      <w:tr w:rsidR="00FA1574" w:rsidRPr="00FA1574" w14:paraId="5F783E21" w14:textId="77777777" w:rsidTr="00F5532B">
        <w:trPr>
          <w:trHeight w:val="465"/>
          <w:jc w:val="center"/>
        </w:trPr>
        <w:tc>
          <w:tcPr>
            <w:tcW w:w="1020" w:type="dxa"/>
            <w:tcBorders>
              <w:top w:val="nil"/>
              <w:left w:val="nil"/>
              <w:bottom w:val="nil"/>
              <w:right w:val="nil"/>
            </w:tcBorders>
            <w:shd w:val="clear" w:color="auto" w:fill="auto"/>
            <w:noWrap/>
            <w:vAlign w:val="bottom"/>
            <w:hideMark/>
          </w:tcPr>
          <w:p w14:paraId="353C24A9"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5F573B2A" w14:textId="77777777" w:rsidR="00FA1574" w:rsidRPr="00FA1574" w:rsidRDefault="00FA1574" w:rsidP="00FA1574">
            <w:pPr>
              <w:rPr>
                <w:rFonts w:ascii="Calibri" w:eastAsia="Times New Roman" w:hAnsi="Calibri" w:cs="Calibri"/>
                <w:b/>
                <w:bCs/>
                <w:color w:val="000000"/>
                <w:kern w:val="0"/>
                <w:sz w:val="18"/>
                <w:szCs w:val="18"/>
                <w:lang w:eastAsia="en-GB"/>
                <w14:ligatures w14:val="none"/>
              </w:rPr>
            </w:pPr>
            <w:r w:rsidRPr="00FA1574">
              <w:rPr>
                <w:rFonts w:ascii="Calibri" w:eastAsia="Times New Roman" w:hAnsi="Calibri" w:cs="Calibri"/>
                <w:b/>
                <w:bCs/>
                <w:color w:val="000000"/>
                <w:kern w:val="0"/>
                <w:sz w:val="18"/>
                <w:szCs w:val="18"/>
                <w:lang w:eastAsia="en-GB"/>
                <w14:ligatures w14:val="none"/>
              </w:rPr>
              <w:t>Very Reasonable</w:t>
            </w:r>
          </w:p>
        </w:tc>
        <w:tc>
          <w:tcPr>
            <w:tcW w:w="1200" w:type="dxa"/>
            <w:tcBorders>
              <w:top w:val="nil"/>
              <w:left w:val="nil"/>
              <w:bottom w:val="single" w:sz="4" w:space="0" w:color="000000"/>
              <w:right w:val="single" w:sz="4" w:space="0" w:color="000000"/>
            </w:tcBorders>
            <w:shd w:val="clear" w:color="auto" w:fill="auto"/>
            <w:vAlign w:val="center"/>
            <w:hideMark/>
          </w:tcPr>
          <w:p w14:paraId="308596F2" w14:textId="77777777" w:rsidR="00FA1574" w:rsidRPr="00FA1574" w:rsidRDefault="00FA1574" w:rsidP="00FA1574">
            <w:pPr>
              <w:rPr>
                <w:rFonts w:ascii="Calibri" w:eastAsia="Times New Roman" w:hAnsi="Calibri" w:cs="Calibri"/>
                <w:b/>
                <w:bCs/>
                <w:color w:val="000000"/>
                <w:kern w:val="0"/>
                <w:sz w:val="18"/>
                <w:szCs w:val="18"/>
                <w:lang w:eastAsia="en-GB"/>
                <w14:ligatures w14:val="none"/>
              </w:rPr>
            </w:pPr>
            <w:r w:rsidRPr="00FA1574">
              <w:rPr>
                <w:rFonts w:ascii="Calibri" w:eastAsia="Times New Roman" w:hAnsi="Calibri" w:cs="Calibri"/>
                <w:b/>
                <w:bCs/>
                <w:color w:val="000000"/>
                <w:kern w:val="0"/>
                <w:sz w:val="18"/>
                <w:szCs w:val="18"/>
                <w:lang w:eastAsia="en-GB"/>
                <w14:ligatures w14:val="none"/>
              </w:rPr>
              <w:t>Reasonable</w:t>
            </w:r>
          </w:p>
        </w:tc>
        <w:tc>
          <w:tcPr>
            <w:tcW w:w="1200" w:type="dxa"/>
            <w:tcBorders>
              <w:top w:val="nil"/>
              <w:left w:val="nil"/>
              <w:bottom w:val="single" w:sz="4" w:space="0" w:color="000000"/>
              <w:right w:val="single" w:sz="4" w:space="0" w:color="000000"/>
            </w:tcBorders>
            <w:shd w:val="clear" w:color="auto" w:fill="auto"/>
            <w:vAlign w:val="center"/>
            <w:hideMark/>
          </w:tcPr>
          <w:p w14:paraId="0FFC8FD8" w14:textId="77777777" w:rsidR="00FA1574" w:rsidRPr="00FA1574" w:rsidRDefault="00FA1574" w:rsidP="00FA1574">
            <w:pPr>
              <w:rPr>
                <w:rFonts w:ascii="Calibri" w:eastAsia="Times New Roman" w:hAnsi="Calibri" w:cs="Calibri"/>
                <w:b/>
                <w:bCs/>
                <w:color w:val="000000"/>
                <w:kern w:val="0"/>
                <w:sz w:val="18"/>
                <w:szCs w:val="18"/>
                <w:lang w:eastAsia="en-GB"/>
                <w14:ligatures w14:val="none"/>
              </w:rPr>
            </w:pPr>
            <w:r w:rsidRPr="00FA1574">
              <w:rPr>
                <w:rFonts w:ascii="Calibri" w:eastAsia="Times New Roman" w:hAnsi="Calibri" w:cs="Calibri"/>
                <w:b/>
                <w:bCs/>
                <w:color w:val="000000"/>
                <w:kern w:val="0"/>
                <w:sz w:val="18"/>
                <w:szCs w:val="18"/>
                <w:lang w:eastAsia="en-GB"/>
                <w14:ligatures w14:val="none"/>
              </w:rPr>
              <w:t>Don't Know</w:t>
            </w:r>
          </w:p>
        </w:tc>
        <w:tc>
          <w:tcPr>
            <w:tcW w:w="1259" w:type="dxa"/>
            <w:tcBorders>
              <w:top w:val="nil"/>
              <w:left w:val="nil"/>
              <w:bottom w:val="single" w:sz="4" w:space="0" w:color="000000"/>
              <w:right w:val="single" w:sz="4" w:space="0" w:color="000000"/>
            </w:tcBorders>
            <w:shd w:val="clear" w:color="auto" w:fill="auto"/>
            <w:vAlign w:val="center"/>
            <w:hideMark/>
          </w:tcPr>
          <w:p w14:paraId="67270159" w14:textId="77777777" w:rsidR="00FA1574" w:rsidRPr="00FA1574" w:rsidRDefault="00FA1574" w:rsidP="00FA1574">
            <w:pPr>
              <w:rPr>
                <w:rFonts w:ascii="Calibri" w:eastAsia="Times New Roman" w:hAnsi="Calibri" w:cs="Calibri"/>
                <w:b/>
                <w:bCs/>
                <w:color w:val="000000"/>
                <w:kern w:val="0"/>
                <w:sz w:val="18"/>
                <w:szCs w:val="18"/>
                <w:lang w:eastAsia="en-GB"/>
                <w14:ligatures w14:val="none"/>
              </w:rPr>
            </w:pPr>
            <w:r w:rsidRPr="00FA1574">
              <w:rPr>
                <w:rFonts w:ascii="Calibri" w:eastAsia="Times New Roman" w:hAnsi="Calibri" w:cs="Calibri"/>
                <w:b/>
                <w:bCs/>
                <w:color w:val="000000"/>
                <w:kern w:val="0"/>
                <w:sz w:val="18"/>
                <w:szCs w:val="18"/>
                <w:lang w:eastAsia="en-GB"/>
                <w14:ligatures w14:val="none"/>
              </w:rPr>
              <w:t>Unreasonable</w:t>
            </w:r>
          </w:p>
        </w:tc>
        <w:tc>
          <w:tcPr>
            <w:tcW w:w="1259" w:type="dxa"/>
            <w:tcBorders>
              <w:top w:val="nil"/>
              <w:left w:val="nil"/>
              <w:bottom w:val="single" w:sz="4" w:space="0" w:color="000000"/>
              <w:right w:val="single" w:sz="4" w:space="0" w:color="000000"/>
            </w:tcBorders>
            <w:shd w:val="clear" w:color="auto" w:fill="auto"/>
            <w:vAlign w:val="center"/>
            <w:hideMark/>
          </w:tcPr>
          <w:p w14:paraId="5E6B8FCB" w14:textId="77777777" w:rsidR="00FA1574" w:rsidRPr="00FA1574" w:rsidRDefault="00FA1574" w:rsidP="00FA1574">
            <w:pPr>
              <w:rPr>
                <w:rFonts w:ascii="Calibri" w:eastAsia="Times New Roman" w:hAnsi="Calibri" w:cs="Calibri"/>
                <w:b/>
                <w:bCs/>
                <w:color w:val="000000"/>
                <w:kern w:val="0"/>
                <w:sz w:val="18"/>
                <w:szCs w:val="18"/>
                <w:lang w:eastAsia="en-GB"/>
                <w14:ligatures w14:val="none"/>
              </w:rPr>
            </w:pPr>
            <w:r w:rsidRPr="00FA1574">
              <w:rPr>
                <w:rFonts w:ascii="Calibri" w:eastAsia="Times New Roman" w:hAnsi="Calibri" w:cs="Calibri"/>
                <w:b/>
                <w:bCs/>
                <w:color w:val="000000"/>
                <w:kern w:val="0"/>
                <w:sz w:val="18"/>
                <w:szCs w:val="18"/>
                <w:lang w:eastAsia="en-GB"/>
                <w14:ligatures w14:val="none"/>
              </w:rPr>
              <w:t>Very Unreasonable</w:t>
            </w:r>
          </w:p>
        </w:tc>
      </w:tr>
      <w:tr w:rsidR="00FA1574" w:rsidRPr="00FA1574" w14:paraId="49656ECD"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22F45A99"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Total</w:t>
            </w:r>
          </w:p>
          <w:p w14:paraId="1344548F"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nil"/>
              <w:left w:val="nil"/>
              <w:bottom w:val="single" w:sz="4" w:space="0" w:color="000000"/>
              <w:right w:val="single" w:sz="4" w:space="0" w:color="000000"/>
            </w:tcBorders>
            <w:shd w:val="clear" w:color="auto" w:fill="auto"/>
            <w:vAlign w:val="center"/>
            <w:hideMark/>
          </w:tcPr>
          <w:p w14:paraId="3F6CB589"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370</w:t>
            </w:r>
          </w:p>
        </w:tc>
        <w:tc>
          <w:tcPr>
            <w:tcW w:w="1200" w:type="dxa"/>
            <w:tcBorders>
              <w:top w:val="nil"/>
              <w:left w:val="nil"/>
              <w:bottom w:val="single" w:sz="4" w:space="0" w:color="000000"/>
              <w:right w:val="single" w:sz="4" w:space="0" w:color="000000"/>
            </w:tcBorders>
            <w:shd w:val="clear" w:color="auto" w:fill="auto"/>
            <w:vAlign w:val="center"/>
            <w:hideMark/>
          </w:tcPr>
          <w:p w14:paraId="487D1C77"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210</w:t>
            </w:r>
          </w:p>
        </w:tc>
        <w:tc>
          <w:tcPr>
            <w:tcW w:w="1200" w:type="dxa"/>
            <w:tcBorders>
              <w:top w:val="nil"/>
              <w:left w:val="nil"/>
              <w:bottom w:val="single" w:sz="4" w:space="0" w:color="000000"/>
              <w:right w:val="single" w:sz="4" w:space="0" w:color="000000"/>
            </w:tcBorders>
            <w:shd w:val="clear" w:color="auto" w:fill="auto"/>
            <w:vAlign w:val="center"/>
            <w:hideMark/>
          </w:tcPr>
          <w:p w14:paraId="02B9D6F4"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29</w:t>
            </w:r>
          </w:p>
        </w:tc>
        <w:tc>
          <w:tcPr>
            <w:tcW w:w="1259" w:type="dxa"/>
            <w:tcBorders>
              <w:top w:val="nil"/>
              <w:left w:val="nil"/>
              <w:bottom w:val="single" w:sz="4" w:space="0" w:color="000000"/>
              <w:right w:val="single" w:sz="4" w:space="0" w:color="000000"/>
            </w:tcBorders>
            <w:shd w:val="clear" w:color="auto" w:fill="auto"/>
            <w:vAlign w:val="center"/>
            <w:hideMark/>
          </w:tcPr>
          <w:p w14:paraId="2E77FA53"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25</w:t>
            </w:r>
          </w:p>
        </w:tc>
        <w:tc>
          <w:tcPr>
            <w:tcW w:w="1259" w:type="dxa"/>
            <w:tcBorders>
              <w:top w:val="nil"/>
              <w:left w:val="nil"/>
              <w:bottom w:val="single" w:sz="4" w:space="0" w:color="000000"/>
              <w:right w:val="single" w:sz="4" w:space="0" w:color="000000"/>
            </w:tcBorders>
            <w:shd w:val="clear" w:color="auto" w:fill="auto"/>
            <w:vAlign w:val="center"/>
            <w:hideMark/>
          </w:tcPr>
          <w:p w14:paraId="4BCB1806"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12</w:t>
            </w:r>
          </w:p>
        </w:tc>
      </w:tr>
      <w:tr w:rsidR="00FA1574" w:rsidRPr="00FA1574" w14:paraId="6E447B46"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53589965"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vAlign w:val="center"/>
            <w:hideMark/>
          </w:tcPr>
          <w:p w14:paraId="09019940"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57%</w:t>
            </w:r>
          </w:p>
        </w:tc>
        <w:tc>
          <w:tcPr>
            <w:tcW w:w="1200" w:type="dxa"/>
            <w:tcBorders>
              <w:top w:val="nil"/>
              <w:left w:val="nil"/>
              <w:bottom w:val="single" w:sz="4" w:space="0" w:color="000000"/>
              <w:right w:val="single" w:sz="4" w:space="0" w:color="000000"/>
            </w:tcBorders>
            <w:shd w:val="clear" w:color="auto" w:fill="auto"/>
            <w:vAlign w:val="center"/>
            <w:hideMark/>
          </w:tcPr>
          <w:p w14:paraId="1D60F2C3"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33%</w:t>
            </w:r>
          </w:p>
        </w:tc>
        <w:tc>
          <w:tcPr>
            <w:tcW w:w="1200" w:type="dxa"/>
            <w:tcBorders>
              <w:top w:val="nil"/>
              <w:left w:val="nil"/>
              <w:bottom w:val="single" w:sz="4" w:space="0" w:color="000000"/>
              <w:right w:val="single" w:sz="4" w:space="0" w:color="000000"/>
            </w:tcBorders>
            <w:shd w:val="clear" w:color="auto" w:fill="auto"/>
            <w:vAlign w:val="center"/>
            <w:hideMark/>
          </w:tcPr>
          <w:p w14:paraId="2B4DD365"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w:t>
            </w:r>
          </w:p>
        </w:tc>
        <w:tc>
          <w:tcPr>
            <w:tcW w:w="1259" w:type="dxa"/>
            <w:tcBorders>
              <w:top w:val="nil"/>
              <w:left w:val="nil"/>
              <w:bottom w:val="single" w:sz="4" w:space="0" w:color="000000"/>
              <w:right w:val="single" w:sz="4" w:space="0" w:color="000000"/>
            </w:tcBorders>
            <w:shd w:val="clear" w:color="auto" w:fill="auto"/>
            <w:vAlign w:val="center"/>
            <w:hideMark/>
          </w:tcPr>
          <w:p w14:paraId="63B39824"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w:t>
            </w:r>
          </w:p>
        </w:tc>
        <w:tc>
          <w:tcPr>
            <w:tcW w:w="1259" w:type="dxa"/>
            <w:tcBorders>
              <w:top w:val="nil"/>
              <w:left w:val="nil"/>
              <w:bottom w:val="single" w:sz="4" w:space="0" w:color="000000"/>
              <w:right w:val="single" w:sz="4" w:space="0" w:color="000000"/>
            </w:tcBorders>
            <w:shd w:val="clear" w:color="auto" w:fill="auto"/>
            <w:vAlign w:val="center"/>
            <w:hideMark/>
          </w:tcPr>
          <w:p w14:paraId="7BE07DBB"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w:t>
            </w:r>
          </w:p>
        </w:tc>
      </w:tr>
      <w:tr w:rsidR="00FA1574" w:rsidRPr="00FA1574" w14:paraId="73BF88F4" w14:textId="77777777" w:rsidTr="00F5532B">
        <w:trPr>
          <w:trHeight w:val="263"/>
          <w:jc w:val="center"/>
        </w:trPr>
        <w:tc>
          <w:tcPr>
            <w:tcW w:w="1020" w:type="dxa"/>
            <w:tcBorders>
              <w:top w:val="nil"/>
              <w:left w:val="single" w:sz="4" w:space="0" w:color="000000"/>
              <w:bottom w:val="nil"/>
              <w:right w:val="nil"/>
            </w:tcBorders>
            <w:shd w:val="clear" w:color="auto" w:fill="D9D9D9" w:themeFill="background1" w:themeFillShade="D9"/>
            <w:noWrap/>
            <w:vAlign w:val="bottom"/>
            <w:hideMark/>
          </w:tcPr>
          <w:p w14:paraId="543A0E83"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lastRenderedPageBreak/>
              <w:t> </w:t>
            </w:r>
          </w:p>
        </w:tc>
        <w:tc>
          <w:tcPr>
            <w:tcW w:w="1200" w:type="dxa"/>
            <w:tcBorders>
              <w:top w:val="nil"/>
              <w:left w:val="nil"/>
              <w:bottom w:val="nil"/>
              <w:right w:val="nil"/>
            </w:tcBorders>
            <w:shd w:val="clear" w:color="auto" w:fill="D9D9D9" w:themeFill="background1" w:themeFillShade="D9"/>
            <w:noWrap/>
            <w:vAlign w:val="bottom"/>
            <w:hideMark/>
          </w:tcPr>
          <w:p w14:paraId="524B8896"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36C3C9E5"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10252325"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59" w:type="dxa"/>
            <w:tcBorders>
              <w:top w:val="nil"/>
              <w:left w:val="nil"/>
              <w:bottom w:val="nil"/>
              <w:right w:val="nil"/>
            </w:tcBorders>
            <w:shd w:val="clear" w:color="auto" w:fill="D9D9D9" w:themeFill="background1" w:themeFillShade="D9"/>
            <w:noWrap/>
            <w:vAlign w:val="bottom"/>
            <w:hideMark/>
          </w:tcPr>
          <w:p w14:paraId="7BC20AD2"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59" w:type="dxa"/>
            <w:tcBorders>
              <w:top w:val="nil"/>
              <w:left w:val="nil"/>
              <w:bottom w:val="nil"/>
              <w:right w:val="single" w:sz="4" w:space="0" w:color="000000"/>
            </w:tcBorders>
            <w:shd w:val="clear" w:color="auto" w:fill="D9D9D9" w:themeFill="background1" w:themeFillShade="D9"/>
            <w:noWrap/>
            <w:vAlign w:val="bottom"/>
            <w:hideMark/>
          </w:tcPr>
          <w:p w14:paraId="5E2605F6"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 </w:t>
            </w:r>
          </w:p>
        </w:tc>
      </w:tr>
      <w:tr w:rsidR="00FA1574" w:rsidRPr="00FA1574" w14:paraId="0D7A1FBD"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15F5E9A3"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Public</w:t>
            </w:r>
          </w:p>
          <w:p w14:paraId="1610C266"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1BFE6EAA"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239</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0AE83EA9"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132</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0AB89724"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19</w:t>
            </w:r>
          </w:p>
        </w:tc>
        <w:tc>
          <w:tcPr>
            <w:tcW w:w="1259" w:type="dxa"/>
            <w:tcBorders>
              <w:top w:val="single" w:sz="4" w:space="0" w:color="000000"/>
              <w:left w:val="nil"/>
              <w:bottom w:val="single" w:sz="4" w:space="0" w:color="000000"/>
              <w:right w:val="single" w:sz="4" w:space="0" w:color="000000"/>
            </w:tcBorders>
            <w:shd w:val="clear" w:color="auto" w:fill="auto"/>
            <w:noWrap/>
            <w:vAlign w:val="bottom"/>
            <w:hideMark/>
          </w:tcPr>
          <w:p w14:paraId="668AE6F7"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14</w:t>
            </w:r>
          </w:p>
        </w:tc>
        <w:tc>
          <w:tcPr>
            <w:tcW w:w="1259" w:type="dxa"/>
            <w:tcBorders>
              <w:top w:val="single" w:sz="4" w:space="0" w:color="000000"/>
              <w:left w:val="nil"/>
              <w:bottom w:val="single" w:sz="4" w:space="0" w:color="000000"/>
              <w:right w:val="single" w:sz="4" w:space="0" w:color="000000"/>
            </w:tcBorders>
            <w:shd w:val="clear" w:color="auto" w:fill="auto"/>
            <w:noWrap/>
            <w:vAlign w:val="bottom"/>
            <w:hideMark/>
          </w:tcPr>
          <w:p w14:paraId="79CB75FB"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5</w:t>
            </w:r>
          </w:p>
        </w:tc>
      </w:tr>
      <w:tr w:rsidR="00FA1574" w:rsidRPr="00FA1574" w14:paraId="76507192"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21204B63"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noWrap/>
            <w:vAlign w:val="bottom"/>
            <w:hideMark/>
          </w:tcPr>
          <w:p w14:paraId="6EF8D181"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58%</w:t>
            </w:r>
          </w:p>
        </w:tc>
        <w:tc>
          <w:tcPr>
            <w:tcW w:w="1200" w:type="dxa"/>
            <w:tcBorders>
              <w:top w:val="nil"/>
              <w:left w:val="nil"/>
              <w:bottom w:val="single" w:sz="4" w:space="0" w:color="000000"/>
              <w:right w:val="single" w:sz="4" w:space="0" w:color="000000"/>
            </w:tcBorders>
            <w:shd w:val="clear" w:color="auto" w:fill="auto"/>
            <w:noWrap/>
            <w:vAlign w:val="bottom"/>
            <w:hideMark/>
          </w:tcPr>
          <w:p w14:paraId="5A8A3913"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32%</w:t>
            </w:r>
          </w:p>
        </w:tc>
        <w:tc>
          <w:tcPr>
            <w:tcW w:w="1200" w:type="dxa"/>
            <w:tcBorders>
              <w:top w:val="nil"/>
              <w:left w:val="nil"/>
              <w:bottom w:val="single" w:sz="4" w:space="0" w:color="000000"/>
              <w:right w:val="single" w:sz="4" w:space="0" w:color="000000"/>
            </w:tcBorders>
            <w:shd w:val="clear" w:color="auto" w:fill="auto"/>
            <w:noWrap/>
            <w:vAlign w:val="bottom"/>
            <w:hideMark/>
          </w:tcPr>
          <w:p w14:paraId="03BC6772"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5%</w:t>
            </w:r>
          </w:p>
        </w:tc>
        <w:tc>
          <w:tcPr>
            <w:tcW w:w="1259" w:type="dxa"/>
            <w:tcBorders>
              <w:top w:val="nil"/>
              <w:left w:val="nil"/>
              <w:bottom w:val="single" w:sz="4" w:space="0" w:color="000000"/>
              <w:right w:val="single" w:sz="4" w:space="0" w:color="000000"/>
            </w:tcBorders>
            <w:shd w:val="clear" w:color="auto" w:fill="auto"/>
            <w:noWrap/>
            <w:vAlign w:val="bottom"/>
            <w:hideMark/>
          </w:tcPr>
          <w:p w14:paraId="6DD93636"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3%</w:t>
            </w:r>
          </w:p>
        </w:tc>
        <w:tc>
          <w:tcPr>
            <w:tcW w:w="1259" w:type="dxa"/>
            <w:tcBorders>
              <w:top w:val="nil"/>
              <w:left w:val="nil"/>
              <w:bottom w:val="single" w:sz="4" w:space="0" w:color="000000"/>
              <w:right w:val="single" w:sz="4" w:space="0" w:color="000000"/>
            </w:tcBorders>
            <w:shd w:val="clear" w:color="auto" w:fill="auto"/>
            <w:noWrap/>
            <w:vAlign w:val="bottom"/>
            <w:hideMark/>
          </w:tcPr>
          <w:p w14:paraId="41019F7E"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w:t>
            </w:r>
          </w:p>
        </w:tc>
      </w:tr>
      <w:tr w:rsidR="00FA1574" w:rsidRPr="00FA1574" w14:paraId="57EAD2D5" w14:textId="77777777" w:rsidTr="00F5532B">
        <w:trPr>
          <w:trHeight w:val="263"/>
          <w:jc w:val="center"/>
        </w:trPr>
        <w:tc>
          <w:tcPr>
            <w:tcW w:w="1020" w:type="dxa"/>
            <w:tcBorders>
              <w:top w:val="nil"/>
              <w:left w:val="single" w:sz="4" w:space="0" w:color="000000"/>
              <w:bottom w:val="nil"/>
              <w:right w:val="nil"/>
            </w:tcBorders>
            <w:shd w:val="clear" w:color="auto" w:fill="D9D9D9" w:themeFill="background1" w:themeFillShade="D9"/>
            <w:noWrap/>
            <w:vAlign w:val="bottom"/>
            <w:hideMark/>
          </w:tcPr>
          <w:p w14:paraId="0721F537"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nil"/>
              <w:left w:val="nil"/>
              <w:bottom w:val="nil"/>
              <w:right w:val="nil"/>
            </w:tcBorders>
            <w:shd w:val="clear" w:color="auto" w:fill="D9D9D9" w:themeFill="background1" w:themeFillShade="D9"/>
            <w:noWrap/>
            <w:vAlign w:val="bottom"/>
            <w:hideMark/>
          </w:tcPr>
          <w:p w14:paraId="3CC8E62B"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0232D964"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73CA75AA"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59" w:type="dxa"/>
            <w:tcBorders>
              <w:top w:val="nil"/>
              <w:left w:val="nil"/>
              <w:bottom w:val="nil"/>
              <w:right w:val="nil"/>
            </w:tcBorders>
            <w:shd w:val="clear" w:color="auto" w:fill="D9D9D9" w:themeFill="background1" w:themeFillShade="D9"/>
            <w:noWrap/>
            <w:vAlign w:val="bottom"/>
            <w:hideMark/>
          </w:tcPr>
          <w:p w14:paraId="3910FEA2"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59" w:type="dxa"/>
            <w:tcBorders>
              <w:top w:val="nil"/>
              <w:left w:val="nil"/>
              <w:bottom w:val="nil"/>
              <w:right w:val="single" w:sz="4" w:space="0" w:color="000000"/>
            </w:tcBorders>
            <w:shd w:val="clear" w:color="auto" w:fill="D9D9D9" w:themeFill="background1" w:themeFillShade="D9"/>
            <w:noWrap/>
            <w:vAlign w:val="bottom"/>
            <w:hideMark/>
          </w:tcPr>
          <w:p w14:paraId="5C0571C7"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 </w:t>
            </w:r>
          </w:p>
        </w:tc>
      </w:tr>
      <w:tr w:rsidR="00FA1574" w:rsidRPr="00FA1574" w14:paraId="6427C776"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66A712AA"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Partners</w:t>
            </w:r>
          </w:p>
          <w:p w14:paraId="3283E311"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08AADED1"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13</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1E32B106"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15</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19BDF665"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w:t>
            </w:r>
          </w:p>
        </w:tc>
        <w:tc>
          <w:tcPr>
            <w:tcW w:w="1259" w:type="dxa"/>
            <w:tcBorders>
              <w:top w:val="single" w:sz="4" w:space="0" w:color="000000"/>
              <w:left w:val="nil"/>
              <w:bottom w:val="single" w:sz="4" w:space="0" w:color="000000"/>
              <w:right w:val="single" w:sz="4" w:space="0" w:color="000000"/>
            </w:tcBorders>
            <w:shd w:val="clear" w:color="auto" w:fill="auto"/>
            <w:noWrap/>
            <w:vAlign w:val="bottom"/>
            <w:hideMark/>
          </w:tcPr>
          <w:p w14:paraId="27A2318C"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w:t>
            </w:r>
          </w:p>
        </w:tc>
        <w:tc>
          <w:tcPr>
            <w:tcW w:w="1259" w:type="dxa"/>
            <w:tcBorders>
              <w:top w:val="single" w:sz="4" w:space="0" w:color="000000"/>
              <w:left w:val="nil"/>
              <w:bottom w:val="single" w:sz="4" w:space="0" w:color="000000"/>
              <w:right w:val="single" w:sz="4" w:space="0" w:color="000000"/>
            </w:tcBorders>
            <w:shd w:val="clear" w:color="auto" w:fill="auto"/>
            <w:noWrap/>
            <w:vAlign w:val="bottom"/>
            <w:hideMark/>
          </w:tcPr>
          <w:p w14:paraId="14538BD3"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0</w:t>
            </w:r>
          </w:p>
        </w:tc>
      </w:tr>
      <w:tr w:rsidR="00FA1574" w:rsidRPr="00FA1574" w14:paraId="64A3B13C"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651BE157"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noWrap/>
            <w:vAlign w:val="bottom"/>
            <w:hideMark/>
          </w:tcPr>
          <w:p w14:paraId="79A0C0E3"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41%</w:t>
            </w:r>
          </w:p>
        </w:tc>
        <w:tc>
          <w:tcPr>
            <w:tcW w:w="1200" w:type="dxa"/>
            <w:tcBorders>
              <w:top w:val="nil"/>
              <w:left w:val="nil"/>
              <w:bottom w:val="single" w:sz="4" w:space="0" w:color="000000"/>
              <w:right w:val="single" w:sz="4" w:space="0" w:color="000000"/>
            </w:tcBorders>
            <w:shd w:val="clear" w:color="auto" w:fill="auto"/>
            <w:noWrap/>
            <w:vAlign w:val="bottom"/>
            <w:hideMark/>
          </w:tcPr>
          <w:p w14:paraId="2714AF17"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47%</w:t>
            </w:r>
          </w:p>
        </w:tc>
        <w:tc>
          <w:tcPr>
            <w:tcW w:w="1200" w:type="dxa"/>
            <w:tcBorders>
              <w:top w:val="nil"/>
              <w:left w:val="nil"/>
              <w:bottom w:val="single" w:sz="4" w:space="0" w:color="000000"/>
              <w:right w:val="single" w:sz="4" w:space="0" w:color="000000"/>
            </w:tcBorders>
            <w:shd w:val="clear" w:color="auto" w:fill="auto"/>
            <w:noWrap/>
            <w:vAlign w:val="bottom"/>
            <w:hideMark/>
          </w:tcPr>
          <w:p w14:paraId="5F8DCB1D"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6%</w:t>
            </w:r>
          </w:p>
        </w:tc>
        <w:tc>
          <w:tcPr>
            <w:tcW w:w="1259" w:type="dxa"/>
            <w:tcBorders>
              <w:top w:val="nil"/>
              <w:left w:val="nil"/>
              <w:bottom w:val="single" w:sz="4" w:space="0" w:color="000000"/>
              <w:right w:val="single" w:sz="4" w:space="0" w:color="000000"/>
            </w:tcBorders>
            <w:shd w:val="clear" w:color="auto" w:fill="auto"/>
            <w:noWrap/>
            <w:vAlign w:val="bottom"/>
            <w:hideMark/>
          </w:tcPr>
          <w:p w14:paraId="5DB5F57E"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0%</w:t>
            </w:r>
          </w:p>
        </w:tc>
        <w:tc>
          <w:tcPr>
            <w:tcW w:w="1259" w:type="dxa"/>
            <w:tcBorders>
              <w:top w:val="nil"/>
              <w:left w:val="nil"/>
              <w:bottom w:val="single" w:sz="4" w:space="0" w:color="000000"/>
              <w:right w:val="single" w:sz="4" w:space="0" w:color="000000"/>
            </w:tcBorders>
            <w:shd w:val="clear" w:color="auto" w:fill="auto"/>
            <w:noWrap/>
            <w:vAlign w:val="bottom"/>
            <w:hideMark/>
          </w:tcPr>
          <w:p w14:paraId="2897DA70"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0%</w:t>
            </w:r>
          </w:p>
        </w:tc>
      </w:tr>
      <w:tr w:rsidR="00FA1574" w:rsidRPr="00FA1574" w14:paraId="7FE3AD4E" w14:textId="77777777" w:rsidTr="00F5532B">
        <w:trPr>
          <w:trHeight w:val="263"/>
          <w:jc w:val="center"/>
        </w:trPr>
        <w:tc>
          <w:tcPr>
            <w:tcW w:w="1020" w:type="dxa"/>
            <w:tcBorders>
              <w:top w:val="nil"/>
              <w:left w:val="single" w:sz="4" w:space="0" w:color="000000"/>
              <w:bottom w:val="nil"/>
              <w:right w:val="nil"/>
            </w:tcBorders>
            <w:shd w:val="clear" w:color="auto" w:fill="D9D9D9" w:themeFill="background1" w:themeFillShade="D9"/>
            <w:noWrap/>
            <w:vAlign w:val="bottom"/>
            <w:hideMark/>
          </w:tcPr>
          <w:p w14:paraId="76D32DA0"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nil"/>
              <w:left w:val="nil"/>
              <w:bottom w:val="nil"/>
              <w:right w:val="nil"/>
            </w:tcBorders>
            <w:shd w:val="clear" w:color="auto" w:fill="D9D9D9" w:themeFill="background1" w:themeFillShade="D9"/>
            <w:noWrap/>
            <w:vAlign w:val="bottom"/>
            <w:hideMark/>
          </w:tcPr>
          <w:p w14:paraId="1E8A435F"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39474AE2"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7F10A2DB"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59" w:type="dxa"/>
            <w:tcBorders>
              <w:top w:val="nil"/>
              <w:left w:val="nil"/>
              <w:bottom w:val="nil"/>
              <w:right w:val="nil"/>
            </w:tcBorders>
            <w:shd w:val="clear" w:color="auto" w:fill="D9D9D9" w:themeFill="background1" w:themeFillShade="D9"/>
            <w:noWrap/>
            <w:vAlign w:val="bottom"/>
            <w:hideMark/>
          </w:tcPr>
          <w:p w14:paraId="3C4494D5"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59" w:type="dxa"/>
            <w:tcBorders>
              <w:top w:val="nil"/>
              <w:left w:val="nil"/>
              <w:bottom w:val="nil"/>
              <w:right w:val="single" w:sz="4" w:space="0" w:color="000000"/>
            </w:tcBorders>
            <w:shd w:val="clear" w:color="auto" w:fill="D9D9D9" w:themeFill="background1" w:themeFillShade="D9"/>
            <w:noWrap/>
            <w:vAlign w:val="bottom"/>
            <w:hideMark/>
          </w:tcPr>
          <w:p w14:paraId="2E0E9129"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 </w:t>
            </w:r>
          </w:p>
        </w:tc>
      </w:tr>
      <w:tr w:rsidR="00FA1574" w:rsidRPr="00FA1574" w14:paraId="682FFF91"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5C7C7A40"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Staff</w:t>
            </w:r>
          </w:p>
          <w:p w14:paraId="2E6ADF43"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5503EA66"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90</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12443BD3"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49</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5EB7CF4A"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5</w:t>
            </w:r>
          </w:p>
        </w:tc>
        <w:tc>
          <w:tcPr>
            <w:tcW w:w="1259" w:type="dxa"/>
            <w:tcBorders>
              <w:top w:val="single" w:sz="4" w:space="0" w:color="000000"/>
              <w:left w:val="nil"/>
              <w:bottom w:val="single" w:sz="4" w:space="0" w:color="000000"/>
              <w:right w:val="single" w:sz="4" w:space="0" w:color="000000"/>
            </w:tcBorders>
            <w:shd w:val="clear" w:color="auto" w:fill="auto"/>
            <w:noWrap/>
            <w:vAlign w:val="bottom"/>
            <w:hideMark/>
          </w:tcPr>
          <w:p w14:paraId="4C982838"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6</w:t>
            </w:r>
          </w:p>
        </w:tc>
        <w:tc>
          <w:tcPr>
            <w:tcW w:w="1259" w:type="dxa"/>
            <w:tcBorders>
              <w:top w:val="single" w:sz="4" w:space="0" w:color="000000"/>
              <w:left w:val="nil"/>
              <w:bottom w:val="single" w:sz="4" w:space="0" w:color="000000"/>
              <w:right w:val="single" w:sz="4" w:space="0" w:color="000000"/>
            </w:tcBorders>
            <w:shd w:val="clear" w:color="auto" w:fill="auto"/>
            <w:noWrap/>
            <w:vAlign w:val="bottom"/>
            <w:hideMark/>
          </w:tcPr>
          <w:p w14:paraId="044BBA20"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6</w:t>
            </w:r>
          </w:p>
        </w:tc>
      </w:tr>
      <w:tr w:rsidR="00FA1574" w:rsidRPr="00FA1574" w14:paraId="55D48A88"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146C4262"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noWrap/>
            <w:vAlign w:val="bottom"/>
            <w:hideMark/>
          </w:tcPr>
          <w:p w14:paraId="183B61E0"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58%</w:t>
            </w:r>
          </w:p>
        </w:tc>
        <w:tc>
          <w:tcPr>
            <w:tcW w:w="1200" w:type="dxa"/>
            <w:tcBorders>
              <w:top w:val="nil"/>
              <w:left w:val="nil"/>
              <w:bottom w:val="single" w:sz="4" w:space="0" w:color="000000"/>
              <w:right w:val="single" w:sz="4" w:space="0" w:color="000000"/>
            </w:tcBorders>
            <w:shd w:val="clear" w:color="auto" w:fill="auto"/>
            <w:noWrap/>
            <w:vAlign w:val="bottom"/>
            <w:hideMark/>
          </w:tcPr>
          <w:p w14:paraId="392691A9"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31%</w:t>
            </w:r>
          </w:p>
        </w:tc>
        <w:tc>
          <w:tcPr>
            <w:tcW w:w="1200" w:type="dxa"/>
            <w:tcBorders>
              <w:top w:val="nil"/>
              <w:left w:val="nil"/>
              <w:bottom w:val="single" w:sz="4" w:space="0" w:color="000000"/>
              <w:right w:val="single" w:sz="4" w:space="0" w:color="000000"/>
            </w:tcBorders>
            <w:shd w:val="clear" w:color="auto" w:fill="auto"/>
            <w:noWrap/>
            <w:vAlign w:val="bottom"/>
            <w:hideMark/>
          </w:tcPr>
          <w:p w14:paraId="17AEDE95"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3%</w:t>
            </w:r>
          </w:p>
        </w:tc>
        <w:tc>
          <w:tcPr>
            <w:tcW w:w="1259" w:type="dxa"/>
            <w:tcBorders>
              <w:top w:val="nil"/>
              <w:left w:val="nil"/>
              <w:bottom w:val="single" w:sz="4" w:space="0" w:color="000000"/>
              <w:right w:val="single" w:sz="4" w:space="0" w:color="000000"/>
            </w:tcBorders>
            <w:shd w:val="clear" w:color="auto" w:fill="auto"/>
            <w:noWrap/>
            <w:vAlign w:val="bottom"/>
            <w:hideMark/>
          </w:tcPr>
          <w:p w14:paraId="2A9DB9F8"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w:t>
            </w:r>
          </w:p>
        </w:tc>
        <w:tc>
          <w:tcPr>
            <w:tcW w:w="1259" w:type="dxa"/>
            <w:tcBorders>
              <w:top w:val="nil"/>
              <w:left w:val="nil"/>
              <w:bottom w:val="single" w:sz="4" w:space="0" w:color="000000"/>
              <w:right w:val="single" w:sz="4" w:space="0" w:color="000000"/>
            </w:tcBorders>
            <w:shd w:val="clear" w:color="auto" w:fill="auto"/>
            <w:noWrap/>
            <w:vAlign w:val="bottom"/>
            <w:hideMark/>
          </w:tcPr>
          <w:p w14:paraId="7FF42FA3"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w:t>
            </w:r>
          </w:p>
        </w:tc>
      </w:tr>
    </w:tbl>
    <w:p w14:paraId="55D3693C" w14:textId="77777777" w:rsidR="00FA1574" w:rsidRPr="00FA1574" w:rsidRDefault="00FA1574" w:rsidP="00FA1574">
      <w:pPr>
        <w:spacing w:after="160" w:line="259" w:lineRule="auto"/>
        <w:rPr>
          <w:rFonts w:ascii="Arial" w:hAnsi="Arial" w:cs="Arial"/>
          <w:color w:val="000000" w:themeColor="text1"/>
          <w:kern w:val="0"/>
          <w:sz w:val="18"/>
          <w:szCs w:val="18"/>
          <w14:ligatures w14:val="none"/>
        </w:rPr>
      </w:pPr>
    </w:p>
    <w:p w14:paraId="2A78F6DE" w14:textId="77777777" w:rsidR="00FA1574" w:rsidRPr="00FA1574" w:rsidRDefault="00FA1574" w:rsidP="00FA1574">
      <w:pPr>
        <w:spacing w:after="160" w:line="259" w:lineRule="auto"/>
        <w:rPr>
          <w:rFonts w:ascii="Arial" w:hAnsi="Arial" w:cs="Arial"/>
          <w:color w:val="000000" w:themeColor="text1"/>
          <w:kern w:val="0"/>
          <w:sz w:val="20"/>
          <w:szCs w:val="20"/>
          <w14:ligatures w14:val="none"/>
        </w:rPr>
      </w:pPr>
      <w:r w:rsidRPr="00FA1574">
        <w:rPr>
          <w:rFonts w:ascii="Arial" w:hAnsi="Arial" w:cs="Arial"/>
          <w:color w:val="000000" w:themeColor="text1"/>
          <w:kern w:val="0"/>
          <w:sz w:val="20"/>
          <w:szCs w:val="20"/>
          <w14:ligatures w14:val="none"/>
        </w:rPr>
        <w:t xml:space="preserve">All groups felt relatively strongly about this, with the public and staff having the highest rate of ‘Very Reasonable’ responses. </w:t>
      </w:r>
    </w:p>
    <w:p w14:paraId="7DA374D7" w14:textId="77777777" w:rsidR="00FA1574" w:rsidRPr="00FA1574" w:rsidRDefault="00FA1574" w:rsidP="00FA1574">
      <w:pPr>
        <w:spacing w:after="160" w:line="259" w:lineRule="auto"/>
        <w:rPr>
          <w:rFonts w:ascii="Arial" w:hAnsi="Arial" w:cs="Arial"/>
          <w:color w:val="000000" w:themeColor="text1"/>
          <w:kern w:val="0"/>
          <w:sz w:val="22"/>
          <w:szCs w:val="22"/>
          <w14:ligatures w14:val="none"/>
        </w:rPr>
      </w:pPr>
    </w:p>
    <w:p w14:paraId="02C66647" w14:textId="77777777" w:rsidR="00FA1574" w:rsidRPr="00FA1574" w:rsidRDefault="00FA1574" w:rsidP="00FA1574">
      <w:pPr>
        <w:numPr>
          <w:ilvl w:val="0"/>
          <w:numId w:val="53"/>
        </w:numPr>
        <w:spacing w:after="160" w:line="278" w:lineRule="auto"/>
        <w:contextualSpacing/>
        <w:rPr>
          <w:rFonts w:ascii="Arial" w:hAnsi="Arial" w:cs="Arial"/>
          <w:b/>
          <w:bCs/>
          <w:color w:val="000000" w:themeColor="text1"/>
          <w:kern w:val="0"/>
          <w:sz w:val="28"/>
          <w:szCs w:val="28"/>
          <w14:ligatures w14:val="none"/>
        </w:rPr>
      </w:pPr>
      <w:r w:rsidRPr="00FA1574">
        <w:rPr>
          <w:rFonts w:ascii="Arial" w:hAnsi="Arial" w:cs="Arial"/>
          <w:b/>
          <w:bCs/>
          <w:color w:val="000000" w:themeColor="text1"/>
          <w:kern w:val="0"/>
          <w:sz w:val="28"/>
          <w:szCs w:val="28"/>
          <w14:ligatures w14:val="none"/>
        </w:rPr>
        <w:t>Council Tax Increase</w:t>
      </w:r>
    </w:p>
    <w:p w14:paraId="104E632D" w14:textId="77777777" w:rsidR="00FA1574" w:rsidRPr="00FA1574" w:rsidRDefault="00FA1574" w:rsidP="00FA1574">
      <w:pPr>
        <w:spacing w:after="160" w:line="259" w:lineRule="auto"/>
        <w:rPr>
          <w:rFonts w:ascii="Arial" w:hAnsi="Arial" w:cs="Arial"/>
          <w:color w:val="000000" w:themeColor="text1"/>
          <w:kern w:val="0"/>
          <w:sz w:val="22"/>
          <w:szCs w:val="22"/>
          <w:shd w:val="clear" w:color="auto" w:fill="FFFFFF"/>
          <w14:ligatures w14:val="none"/>
        </w:rPr>
      </w:pPr>
      <w:r w:rsidRPr="00FA1574">
        <w:rPr>
          <w:rFonts w:ascii="Arial" w:hAnsi="Arial" w:cs="Arial"/>
          <w:color w:val="000000" w:themeColor="text1"/>
          <w:kern w:val="0"/>
          <w:sz w:val="22"/>
          <w:szCs w:val="22"/>
          <w:shd w:val="clear" w:color="auto" w:fill="FFFFFF"/>
          <w14:ligatures w14:val="none"/>
        </w:rPr>
        <w:t>Participants were asked: “To what extent do you think that it would be reasonable for Nottinghamshire residents to pay an increase of up to £5 (annually) in their Council Tax (for an average Band D property) to support funding for your Fire Service?”</w:t>
      </w:r>
    </w:p>
    <w:tbl>
      <w:tblPr>
        <w:tblW w:w="7138" w:type="dxa"/>
        <w:jc w:val="center"/>
        <w:tblLook w:val="04A0" w:firstRow="1" w:lastRow="0" w:firstColumn="1" w:lastColumn="0" w:noHBand="0" w:noVBand="1"/>
      </w:tblPr>
      <w:tblGrid>
        <w:gridCol w:w="1020"/>
        <w:gridCol w:w="1200"/>
        <w:gridCol w:w="1200"/>
        <w:gridCol w:w="1200"/>
        <w:gridCol w:w="1259"/>
        <w:gridCol w:w="1259"/>
      </w:tblGrid>
      <w:tr w:rsidR="00FA1574" w:rsidRPr="00FA1574" w14:paraId="41CBD091" w14:textId="77777777" w:rsidTr="00F5532B">
        <w:trPr>
          <w:trHeight w:val="1050"/>
          <w:jc w:val="center"/>
        </w:trPr>
        <w:tc>
          <w:tcPr>
            <w:tcW w:w="1020" w:type="dxa"/>
            <w:tcBorders>
              <w:top w:val="nil"/>
              <w:left w:val="nil"/>
              <w:bottom w:val="nil"/>
              <w:right w:val="nil"/>
            </w:tcBorders>
            <w:shd w:val="clear" w:color="auto" w:fill="auto"/>
            <w:noWrap/>
            <w:vAlign w:val="bottom"/>
            <w:hideMark/>
          </w:tcPr>
          <w:p w14:paraId="2A3F5D5D" w14:textId="77777777" w:rsidR="00FA1574" w:rsidRPr="00FA1574" w:rsidRDefault="00FA1574" w:rsidP="00FA1574">
            <w:pPr>
              <w:rPr>
                <w:rFonts w:ascii="Times New Roman" w:eastAsia="Times New Roman" w:hAnsi="Times New Roman" w:cs="Times New Roman"/>
                <w:color w:val="auto"/>
                <w:kern w:val="0"/>
                <w:sz w:val="22"/>
                <w:szCs w:val="22"/>
                <w:lang w:eastAsia="en-GB"/>
                <w14:ligatures w14:val="none"/>
              </w:rPr>
            </w:pPr>
          </w:p>
        </w:tc>
        <w:tc>
          <w:tcPr>
            <w:tcW w:w="6118" w:type="dxa"/>
            <w:gridSpan w:val="5"/>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BED831D"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To what extent do you think that it would be reasonable for Nottinghamshire residents to pay an increase of up to £5 (annually) in their Council Tax (for an average Band D property) to support funding for your Fire Service?</w:t>
            </w:r>
          </w:p>
        </w:tc>
      </w:tr>
      <w:tr w:rsidR="00FA1574" w:rsidRPr="00FA1574" w14:paraId="58AD2AE6" w14:textId="77777777" w:rsidTr="00F5532B">
        <w:trPr>
          <w:trHeight w:val="465"/>
          <w:jc w:val="center"/>
        </w:trPr>
        <w:tc>
          <w:tcPr>
            <w:tcW w:w="1020" w:type="dxa"/>
            <w:tcBorders>
              <w:top w:val="nil"/>
              <w:left w:val="nil"/>
              <w:bottom w:val="nil"/>
              <w:right w:val="nil"/>
            </w:tcBorders>
            <w:shd w:val="clear" w:color="auto" w:fill="auto"/>
            <w:noWrap/>
            <w:vAlign w:val="bottom"/>
            <w:hideMark/>
          </w:tcPr>
          <w:p w14:paraId="430D2D22"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single" w:sz="4" w:space="0" w:color="000000"/>
              <w:bottom w:val="single" w:sz="4" w:space="0" w:color="000000"/>
              <w:right w:val="single" w:sz="4" w:space="0" w:color="000000"/>
            </w:tcBorders>
            <w:shd w:val="clear" w:color="auto" w:fill="auto"/>
            <w:vAlign w:val="center"/>
            <w:hideMark/>
          </w:tcPr>
          <w:p w14:paraId="6B893EC0" w14:textId="77777777" w:rsidR="00FA1574" w:rsidRPr="00FA1574" w:rsidRDefault="00FA1574" w:rsidP="00FA1574">
            <w:pPr>
              <w:rPr>
                <w:rFonts w:ascii="Calibri" w:eastAsia="Times New Roman" w:hAnsi="Calibri" w:cs="Calibri"/>
                <w:b/>
                <w:bCs/>
                <w:color w:val="000000"/>
                <w:kern w:val="0"/>
                <w:sz w:val="18"/>
                <w:szCs w:val="18"/>
                <w:lang w:eastAsia="en-GB"/>
                <w14:ligatures w14:val="none"/>
              </w:rPr>
            </w:pPr>
            <w:r w:rsidRPr="00FA1574">
              <w:rPr>
                <w:rFonts w:ascii="Calibri" w:eastAsia="Times New Roman" w:hAnsi="Calibri" w:cs="Calibri"/>
                <w:b/>
                <w:bCs/>
                <w:color w:val="000000"/>
                <w:kern w:val="0"/>
                <w:sz w:val="18"/>
                <w:szCs w:val="18"/>
                <w:lang w:eastAsia="en-GB"/>
                <w14:ligatures w14:val="none"/>
              </w:rPr>
              <w:t>Very Reasonable</w:t>
            </w:r>
          </w:p>
        </w:tc>
        <w:tc>
          <w:tcPr>
            <w:tcW w:w="1200" w:type="dxa"/>
            <w:tcBorders>
              <w:top w:val="nil"/>
              <w:left w:val="nil"/>
              <w:bottom w:val="single" w:sz="4" w:space="0" w:color="000000"/>
              <w:right w:val="single" w:sz="4" w:space="0" w:color="000000"/>
            </w:tcBorders>
            <w:shd w:val="clear" w:color="auto" w:fill="auto"/>
            <w:vAlign w:val="center"/>
            <w:hideMark/>
          </w:tcPr>
          <w:p w14:paraId="0B393DF2" w14:textId="77777777" w:rsidR="00FA1574" w:rsidRPr="00FA1574" w:rsidRDefault="00FA1574" w:rsidP="00FA1574">
            <w:pPr>
              <w:rPr>
                <w:rFonts w:ascii="Calibri" w:eastAsia="Times New Roman" w:hAnsi="Calibri" w:cs="Calibri"/>
                <w:b/>
                <w:bCs/>
                <w:color w:val="000000"/>
                <w:kern w:val="0"/>
                <w:sz w:val="18"/>
                <w:szCs w:val="18"/>
                <w:lang w:eastAsia="en-GB"/>
                <w14:ligatures w14:val="none"/>
              </w:rPr>
            </w:pPr>
            <w:r w:rsidRPr="00FA1574">
              <w:rPr>
                <w:rFonts w:ascii="Calibri" w:eastAsia="Times New Roman" w:hAnsi="Calibri" w:cs="Calibri"/>
                <w:b/>
                <w:bCs/>
                <w:color w:val="000000"/>
                <w:kern w:val="0"/>
                <w:sz w:val="18"/>
                <w:szCs w:val="18"/>
                <w:lang w:eastAsia="en-GB"/>
                <w14:ligatures w14:val="none"/>
              </w:rPr>
              <w:t>Reasonable</w:t>
            </w:r>
          </w:p>
        </w:tc>
        <w:tc>
          <w:tcPr>
            <w:tcW w:w="1200" w:type="dxa"/>
            <w:tcBorders>
              <w:top w:val="nil"/>
              <w:left w:val="nil"/>
              <w:bottom w:val="single" w:sz="4" w:space="0" w:color="000000"/>
              <w:right w:val="single" w:sz="4" w:space="0" w:color="000000"/>
            </w:tcBorders>
            <w:shd w:val="clear" w:color="auto" w:fill="auto"/>
            <w:vAlign w:val="center"/>
            <w:hideMark/>
          </w:tcPr>
          <w:p w14:paraId="2E0A197F" w14:textId="77777777" w:rsidR="00FA1574" w:rsidRPr="00FA1574" w:rsidRDefault="00FA1574" w:rsidP="00FA1574">
            <w:pPr>
              <w:rPr>
                <w:rFonts w:ascii="Calibri" w:eastAsia="Times New Roman" w:hAnsi="Calibri" w:cs="Calibri"/>
                <w:b/>
                <w:bCs/>
                <w:color w:val="000000"/>
                <w:kern w:val="0"/>
                <w:sz w:val="18"/>
                <w:szCs w:val="18"/>
                <w:lang w:eastAsia="en-GB"/>
                <w14:ligatures w14:val="none"/>
              </w:rPr>
            </w:pPr>
            <w:r w:rsidRPr="00FA1574">
              <w:rPr>
                <w:rFonts w:ascii="Calibri" w:eastAsia="Times New Roman" w:hAnsi="Calibri" w:cs="Calibri"/>
                <w:b/>
                <w:bCs/>
                <w:color w:val="000000"/>
                <w:kern w:val="0"/>
                <w:sz w:val="18"/>
                <w:szCs w:val="18"/>
                <w:lang w:eastAsia="en-GB"/>
                <w14:ligatures w14:val="none"/>
              </w:rPr>
              <w:t>Don't Know</w:t>
            </w:r>
          </w:p>
        </w:tc>
        <w:tc>
          <w:tcPr>
            <w:tcW w:w="1259" w:type="dxa"/>
            <w:tcBorders>
              <w:top w:val="nil"/>
              <w:left w:val="nil"/>
              <w:bottom w:val="single" w:sz="4" w:space="0" w:color="000000"/>
              <w:right w:val="single" w:sz="4" w:space="0" w:color="000000"/>
            </w:tcBorders>
            <w:shd w:val="clear" w:color="auto" w:fill="auto"/>
            <w:vAlign w:val="center"/>
            <w:hideMark/>
          </w:tcPr>
          <w:p w14:paraId="5480F9E6" w14:textId="77777777" w:rsidR="00FA1574" w:rsidRPr="00FA1574" w:rsidRDefault="00FA1574" w:rsidP="00FA1574">
            <w:pPr>
              <w:rPr>
                <w:rFonts w:ascii="Calibri" w:eastAsia="Times New Roman" w:hAnsi="Calibri" w:cs="Calibri"/>
                <w:b/>
                <w:bCs/>
                <w:color w:val="000000"/>
                <w:kern w:val="0"/>
                <w:sz w:val="18"/>
                <w:szCs w:val="18"/>
                <w:lang w:eastAsia="en-GB"/>
                <w14:ligatures w14:val="none"/>
              </w:rPr>
            </w:pPr>
            <w:r w:rsidRPr="00FA1574">
              <w:rPr>
                <w:rFonts w:ascii="Calibri" w:eastAsia="Times New Roman" w:hAnsi="Calibri" w:cs="Calibri"/>
                <w:b/>
                <w:bCs/>
                <w:color w:val="000000"/>
                <w:kern w:val="0"/>
                <w:sz w:val="18"/>
                <w:szCs w:val="18"/>
                <w:lang w:eastAsia="en-GB"/>
                <w14:ligatures w14:val="none"/>
              </w:rPr>
              <w:t>Unreasonable</w:t>
            </w:r>
          </w:p>
        </w:tc>
        <w:tc>
          <w:tcPr>
            <w:tcW w:w="1259" w:type="dxa"/>
            <w:tcBorders>
              <w:top w:val="nil"/>
              <w:left w:val="nil"/>
              <w:bottom w:val="single" w:sz="4" w:space="0" w:color="000000"/>
              <w:right w:val="single" w:sz="4" w:space="0" w:color="000000"/>
            </w:tcBorders>
            <w:shd w:val="clear" w:color="auto" w:fill="auto"/>
            <w:vAlign w:val="center"/>
            <w:hideMark/>
          </w:tcPr>
          <w:p w14:paraId="72FFC172" w14:textId="77777777" w:rsidR="00FA1574" w:rsidRPr="00FA1574" w:rsidRDefault="00FA1574" w:rsidP="00FA1574">
            <w:pPr>
              <w:rPr>
                <w:rFonts w:ascii="Calibri" w:eastAsia="Times New Roman" w:hAnsi="Calibri" w:cs="Calibri"/>
                <w:b/>
                <w:bCs/>
                <w:color w:val="000000"/>
                <w:kern w:val="0"/>
                <w:sz w:val="18"/>
                <w:szCs w:val="18"/>
                <w:lang w:eastAsia="en-GB"/>
                <w14:ligatures w14:val="none"/>
              </w:rPr>
            </w:pPr>
            <w:r w:rsidRPr="00FA1574">
              <w:rPr>
                <w:rFonts w:ascii="Calibri" w:eastAsia="Times New Roman" w:hAnsi="Calibri" w:cs="Calibri"/>
                <w:b/>
                <w:bCs/>
                <w:color w:val="000000"/>
                <w:kern w:val="0"/>
                <w:sz w:val="18"/>
                <w:szCs w:val="18"/>
                <w:lang w:eastAsia="en-GB"/>
                <w14:ligatures w14:val="none"/>
              </w:rPr>
              <w:t>Very Unreasonable</w:t>
            </w:r>
          </w:p>
        </w:tc>
      </w:tr>
      <w:tr w:rsidR="00FA1574" w:rsidRPr="00FA1574" w14:paraId="3180DE82"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06539665"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Total</w:t>
            </w:r>
          </w:p>
          <w:p w14:paraId="4FBD5631"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nil"/>
              <w:left w:val="nil"/>
              <w:bottom w:val="single" w:sz="4" w:space="0" w:color="000000"/>
              <w:right w:val="single" w:sz="4" w:space="0" w:color="000000"/>
            </w:tcBorders>
            <w:shd w:val="clear" w:color="auto" w:fill="auto"/>
            <w:vAlign w:val="center"/>
            <w:hideMark/>
          </w:tcPr>
          <w:p w14:paraId="2DA063CD"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248</w:t>
            </w:r>
          </w:p>
        </w:tc>
        <w:tc>
          <w:tcPr>
            <w:tcW w:w="1200" w:type="dxa"/>
            <w:tcBorders>
              <w:top w:val="nil"/>
              <w:left w:val="nil"/>
              <w:bottom w:val="single" w:sz="4" w:space="0" w:color="000000"/>
              <w:right w:val="single" w:sz="4" w:space="0" w:color="000000"/>
            </w:tcBorders>
            <w:shd w:val="clear" w:color="auto" w:fill="auto"/>
            <w:vAlign w:val="center"/>
            <w:hideMark/>
          </w:tcPr>
          <w:p w14:paraId="7D218CAE"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251</w:t>
            </w:r>
          </w:p>
        </w:tc>
        <w:tc>
          <w:tcPr>
            <w:tcW w:w="1200" w:type="dxa"/>
            <w:tcBorders>
              <w:top w:val="nil"/>
              <w:left w:val="nil"/>
              <w:bottom w:val="single" w:sz="4" w:space="0" w:color="000000"/>
              <w:right w:val="single" w:sz="4" w:space="0" w:color="000000"/>
            </w:tcBorders>
            <w:shd w:val="clear" w:color="auto" w:fill="auto"/>
            <w:vAlign w:val="center"/>
            <w:hideMark/>
          </w:tcPr>
          <w:p w14:paraId="0B1EEDEB"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59</w:t>
            </w:r>
          </w:p>
        </w:tc>
        <w:tc>
          <w:tcPr>
            <w:tcW w:w="1259" w:type="dxa"/>
            <w:tcBorders>
              <w:top w:val="nil"/>
              <w:left w:val="nil"/>
              <w:bottom w:val="single" w:sz="4" w:space="0" w:color="000000"/>
              <w:right w:val="single" w:sz="4" w:space="0" w:color="000000"/>
            </w:tcBorders>
            <w:shd w:val="clear" w:color="auto" w:fill="auto"/>
            <w:vAlign w:val="center"/>
            <w:hideMark/>
          </w:tcPr>
          <w:p w14:paraId="3C9A09D7"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64</w:t>
            </w:r>
          </w:p>
        </w:tc>
        <w:tc>
          <w:tcPr>
            <w:tcW w:w="1259" w:type="dxa"/>
            <w:tcBorders>
              <w:top w:val="nil"/>
              <w:left w:val="nil"/>
              <w:bottom w:val="single" w:sz="4" w:space="0" w:color="000000"/>
              <w:right w:val="single" w:sz="4" w:space="0" w:color="000000"/>
            </w:tcBorders>
            <w:shd w:val="clear" w:color="auto" w:fill="auto"/>
            <w:vAlign w:val="center"/>
            <w:hideMark/>
          </w:tcPr>
          <w:p w14:paraId="7C786328"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23</w:t>
            </w:r>
          </w:p>
        </w:tc>
      </w:tr>
      <w:tr w:rsidR="00FA1574" w:rsidRPr="00FA1574" w14:paraId="4572B3D3"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37E4E723"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vAlign w:val="center"/>
            <w:hideMark/>
          </w:tcPr>
          <w:p w14:paraId="6383EF3F"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38%</w:t>
            </w:r>
          </w:p>
        </w:tc>
        <w:tc>
          <w:tcPr>
            <w:tcW w:w="1200" w:type="dxa"/>
            <w:tcBorders>
              <w:top w:val="nil"/>
              <w:left w:val="nil"/>
              <w:bottom w:val="single" w:sz="4" w:space="0" w:color="000000"/>
              <w:right w:val="single" w:sz="4" w:space="0" w:color="000000"/>
            </w:tcBorders>
            <w:shd w:val="clear" w:color="auto" w:fill="auto"/>
            <w:vAlign w:val="center"/>
            <w:hideMark/>
          </w:tcPr>
          <w:p w14:paraId="577E334E"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39%</w:t>
            </w:r>
          </w:p>
        </w:tc>
        <w:tc>
          <w:tcPr>
            <w:tcW w:w="1200" w:type="dxa"/>
            <w:tcBorders>
              <w:top w:val="nil"/>
              <w:left w:val="nil"/>
              <w:bottom w:val="single" w:sz="4" w:space="0" w:color="000000"/>
              <w:right w:val="single" w:sz="4" w:space="0" w:color="000000"/>
            </w:tcBorders>
            <w:shd w:val="clear" w:color="auto" w:fill="auto"/>
            <w:vAlign w:val="center"/>
            <w:hideMark/>
          </w:tcPr>
          <w:p w14:paraId="1F831500"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9%</w:t>
            </w:r>
          </w:p>
        </w:tc>
        <w:tc>
          <w:tcPr>
            <w:tcW w:w="1259" w:type="dxa"/>
            <w:tcBorders>
              <w:top w:val="nil"/>
              <w:left w:val="nil"/>
              <w:bottom w:val="single" w:sz="4" w:space="0" w:color="000000"/>
              <w:right w:val="single" w:sz="4" w:space="0" w:color="000000"/>
            </w:tcBorders>
            <w:shd w:val="clear" w:color="auto" w:fill="auto"/>
            <w:vAlign w:val="center"/>
            <w:hideMark/>
          </w:tcPr>
          <w:p w14:paraId="02C9566E"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10%</w:t>
            </w:r>
          </w:p>
        </w:tc>
        <w:tc>
          <w:tcPr>
            <w:tcW w:w="1259" w:type="dxa"/>
            <w:tcBorders>
              <w:top w:val="nil"/>
              <w:left w:val="nil"/>
              <w:bottom w:val="single" w:sz="4" w:space="0" w:color="000000"/>
              <w:right w:val="single" w:sz="4" w:space="0" w:color="000000"/>
            </w:tcBorders>
            <w:shd w:val="clear" w:color="auto" w:fill="auto"/>
            <w:vAlign w:val="center"/>
            <w:hideMark/>
          </w:tcPr>
          <w:p w14:paraId="01055AA2"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w:t>
            </w:r>
          </w:p>
        </w:tc>
      </w:tr>
      <w:tr w:rsidR="00FA1574" w:rsidRPr="00FA1574" w14:paraId="0F25C2CA" w14:textId="77777777" w:rsidTr="00F5532B">
        <w:trPr>
          <w:trHeight w:val="263"/>
          <w:jc w:val="center"/>
        </w:trPr>
        <w:tc>
          <w:tcPr>
            <w:tcW w:w="1020" w:type="dxa"/>
            <w:tcBorders>
              <w:top w:val="nil"/>
              <w:left w:val="single" w:sz="4" w:space="0" w:color="000000"/>
              <w:bottom w:val="nil"/>
              <w:right w:val="nil"/>
            </w:tcBorders>
            <w:shd w:val="clear" w:color="auto" w:fill="D9D9D9" w:themeFill="background1" w:themeFillShade="D9"/>
            <w:noWrap/>
            <w:vAlign w:val="bottom"/>
            <w:hideMark/>
          </w:tcPr>
          <w:p w14:paraId="5C696E40"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nil"/>
              <w:left w:val="nil"/>
              <w:bottom w:val="nil"/>
              <w:right w:val="nil"/>
            </w:tcBorders>
            <w:shd w:val="clear" w:color="auto" w:fill="D9D9D9" w:themeFill="background1" w:themeFillShade="D9"/>
            <w:noWrap/>
            <w:vAlign w:val="bottom"/>
            <w:hideMark/>
          </w:tcPr>
          <w:p w14:paraId="53B77AB8"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40EBCD25"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3129D84A"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59" w:type="dxa"/>
            <w:tcBorders>
              <w:top w:val="nil"/>
              <w:left w:val="nil"/>
              <w:bottom w:val="nil"/>
              <w:right w:val="nil"/>
            </w:tcBorders>
            <w:shd w:val="clear" w:color="auto" w:fill="D9D9D9" w:themeFill="background1" w:themeFillShade="D9"/>
            <w:noWrap/>
            <w:vAlign w:val="bottom"/>
            <w:hideMark/>
          </w:tcPr>
          <w:p w14:paraId="2D5B4C2D"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59" w:type="dxa"/>
            <w:tcBorders>
              <w:top w:val="nil"/>
              <w:left w:val="nil"/>
              <w:bottom w:val="nil"/>
              <w:right w:val="single" w:sz="4" w:space="0" w:color="000000"/>
            </w:tcBorders>
            <w:shd w:val="clear" w:color="auto" w:fill="D9D9D9" w:themeFill="background1" w:themeFillShade="D9"/>
            <w:noWrap/>
            <w:vAlign w:val="bottom"/>
            <w:hideMark/>
          </w:tcPr>
          <w:p w14:paraId="22862427"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 </w:t>
            </w:r>
          </w:p>
        </w:tc>
      </w:tr>
      <w:tr w:rsidR="00FA1574" w:rsidRPr="00FA1574" w14:paraId="50F56260"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36AE71F6"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Public</w:t>
            </w:r>
          </w:p>
          <w:p w14:paraId="5D56B525"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627030EB"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140</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05119778"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169</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0EEC7FE2"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41</w:t>
            </w:r>
          </w:p>
        </w:tc>
        <w:tc>
          <w:tcPr>
            <w:tcW w:w="1259" w:type="dxa"/>
            <w:tcBorders>
              <w:top w:val="single" w:sz="4" w:space="0" w:color="000000"/>
              <w:left w:val="nil"/>
              <w:bottom w:val="single" w:sz="4" w:space="0" w:color="000000"/>
              <w:right w:val="single" w:sz="4" w:space="0" w:color="000000"/>
            </w:tcBorders>
            <w:shd w:val="clear" w:color="auto" w:fill="auto"/>
            <w:noWrap/>
            <w:vAlign w:val="bottom"/>
            <w:hideMark/>
          </w:tcPr>
          <w:p w14:paraId="21F2B7CD"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46</w:t>
            </w:r>
          </w:p>
        </w:tc>
        <w:tc>
          <w:tcPr>
            <w:tcW w:w="1259" w:type="dxa"/>
            <w:tcBorders>
              <w:top w:val="single" w:sz="4" w:space="0" w:color="000000"/>
              <w:left w:val="nil"/>
              <w:bottom w:val="single" w:sz="4" w:space="0" w:color="000000"/>
              <w:right w:val="single" w:sz="4" w:space="0" w:color="000000"/>
            </w:tcBorders>
            <w:shd w:val="clear" w:color="auto" w:fill="auto"/>
            <w:noWrap/>
            <w:vAlign w:val="bottom"/>
            <w:hideMark/>
          </w:tcPr>
          <w:p w14:paraId="7781FDE0"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13</w:t>
            </w:r>
          </w:p>
        </w:tc>
      </w:tr>
      <w:tr w:rsidR="00FA1574" w:rsidRPr="00FA1574" w14:paraId="171AA450"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70CBDB35"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noWrap/>
            <w:vAlign w:val="bottom"/>
            <w:hideMark/>
          </w:tcPr>
          <w:p w14:paraId="57A57464"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34%</w:t>
            </w:r>
          </w:p>
        </w:tc>
        <w:tc>
          <w:tcPr>
            <w:tcW w:w="1200" w:type="dxa"/>
            <w:tcBorders>
              <w:top w:val="nil"/>
              <w:left w:val="nil"/>
              <w:bottom w:val="single" w:sz="4" w:space="0" w:color="000000"/>
              <w:right w:val="single" w:sz="4" w:space="0" w:color="000000"/>
            </w:tcBorders>
            <w:shd w:val="clear" w:color="auto" w:fill="auto"/>
            <w:noWrap/>
            <w:vAlign w:val="bottom"/>
            <w:hideMark/>
          </w:tcPr>
          <w:p w14:paraId="016F0F27"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41%</w:t>
            </w:r>
          </w:p>
        </w:tc>
        <w:tc>
          <w:tcPr>
            <w:tcW w:w="1200" w:type="dxa"/>
            <w:tcBorders>
              <w:top w:val="nil"/>
              <w:left w:val="nil"/>
              <w:bottom w:val="single" w:sz="4" w:space="0" w:color="000000"/>
              <w:right w:val="single" w:sz="4" w:space="0" w:color="000000"/>
            </w:tcBorders>
            <w:shd w:val="clear" w:color="auto" w:fill="auto"/>
            <w:noWrap/>
            <w:vAlign w:val="bottom"/>
            <w:hideMark/>
          </w:tcPr>
          <w:p w14:paraId="1CA4F116"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10%</w:t>
            </w:r>
          </w:p>
        </w:tc>
        <w:tc>
          <w:tcPr>
            <w:tcW w:w="1259" w:type="dxa"/>
            <w:tcBorders>
              <w:top w:val="nil"/>
              <w:left w:val="nil"/>
              <w:bottom w:val="single" w:sz="4" w:space="0" w:color="000000"/>
              <w:right w:val="single" w:sz="4" w:space="0" w:color="000000"/>
            </w:tcBorders>
            <w:shd w:val="clear" w:color="auto" w:fill="auto"/>
            <w:noWrap/>
            <w:vAlign w:val="bottom"/>
            <w:hideMark/>
          </w:tcPr>
          <w:p w14:paraId="7EC18905"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11%</w:t>
            </w:r>
          </w:p>
        </w:tc>
        <w:tc>
          <w:tcPr>
            <w:tcW w:w="1259" w:type="dxa"/>
            <w:tcBorders>
              <w:top w:val="nil"/>
              <w:left w:val="nil"/>
              <w:bottom w:val="single" w:sz="4" w:space="0" w:color="000000"/>
              <w:right w:val="single" w:sz="4" w:space="0" w:color="000000"/>
            </w:tcBorders>
            <w:shd w:val="clear" w:color="auto" w:fill="auto"/>
            <w:noWrap/>
            <w:vAlign w:val="bottom"/>
            <w:hideMark/>
          </w:tcPr>
          <w:p w14:paraId="61B27AB7"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3%</w:t>
            </w:r>
          </w:p>
        </w:tc>
      </w:tr>
      <w:tr w:rsidR="00FA1574" w:rsidRPr="00FA1574" w14:paraId="2F8CE533" w14:textId="77777777" w:rsidTr="00F5532B">
        <w:trPr>
          <w:trHeight w:val="263"/>
          <w:jc w:val="center"/>
        </w:trPr>
        <w:tc>
          <w:tcPr>
            <w:tcW w:w="1020" w:type="dxa"/>
            <w:tcBorders>
              <w:top w:val="nil"/>
              <w:left w:val="single" w:sz="4" w:space="0" w:color="000000"/>
              <w:bottom w:val="nil"/>
              <w:right w:val="nil"/>
            </w:tcBorders>
            <w:shd w:val="clear" w:color="auto" w:fill="D9D9D9" w:themeFill="background1" w:themeFillShade="D9"/>
            <w:noWrap/>
            <w:vAlign w:val="bottom"/>
            <w:hideMark/>
          </w:tcPr>
          <w:p w14:paraId="741E3EC4"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nil"/>
              <w:left w:val="nil"/>
              <w:bottom w:val="nil"/>
              <w:right w:val="nil"/>
            </w:tcBorders>
            <w:shd w:val="clear" w:color="auto" w:fill="D9D9D9" w:themeFill="background1" w:themeFillShade="D9"/>
            <w:noWrap/>
            <w:vAlign w:val="bottom"/>
            <w:hideMark/>
          </w:tcPr>
          <w:p w14:paraId="475ADDC3"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03FA65B9"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381D228E"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59" w:type="dxa"/>
            <w:tcBorders>
              <w:top w:val="nil"/>
              <w:left w:val="nil"/>
              <w:bottom w:val="nil"/>
              <w:right w:val="nil"/>
            </w:tcBorders>
            <w:shd w:val="clear" w:color="auto" w:fill="D9D9D9" w:themeFill="background1" w:themeFillShade="D9"/>
            <w:noWrap/>
            <w:vAlign w:val="bottom"/>
            <w:hideMark/>
          </w:tcPr>
          <w:p w14:paraId="50C36BD7"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59" w:type="dxa"/>
            <w:tcBorders>
              <w:top w:val="nil"/>
              <w:left w:val="nil"/>
              <w:bottom w:val="nil"/>
              <w:right w:val="single" w:sz="4" w:space="0" w:color="000000"/>
            </w:tcBorders>
            <w:shd w:val="clear" w:color="auto" w:fill="D9D9D9" w:themeFill="background1" w:themeFillShade="D9"/>
            <w:noWrap/>
            <w:vAlign w:val="bottom"/>
            <w:hideMark/>
          </w:tcPr>
          <w:p w14:paraId="740CF12B"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 </w:t>
            </w:r>
          </w:p>
        </w:tc>
      </w:tr>
      <w:tr w:rsidR="00FA1574" w:rsidRPr="00FA1574" w14:paraId="3008D432"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4B41A2A1"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Partners</w:t>
            </w:r>
          </w:p>
          <w:p w14:paraId="3008D0CF"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5D3F5244"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11</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6143D5F7"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20</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027447B7"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2</w:t>
            </w:r>
          </w:p>
        </w:tc>
        <w:tc>
          <w:tcPr>
            <w:tcW w:w="1259" w:type="dxa"/>
            <w:tcBorders>
              <w:top w:val="single" w:sz="4" w:space="0" w:color="000000"/>
              <w:left w:val="nil"/>
              <w:bottom w:val="single" w:sz="4" w:space="0" w:color="000000"/>
              <w:right w:val="single" w:sz="4" w:space="0" w:color="000000"/>
            </w:tcBorders>
            <w:shd w:val="clear" w:color="auto" w:fill="auto"/>
            <w:noWrap/>
            <w:vAlign w:val="bottom"/>
            <w:hideMark/>
          </w:tcPr>
          <w:p w14:paraId="41EFE8EF"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w:t>
            </w:r>
          </w:p>
        </w:tc>
        <w:tc>
          <w:tcPr>
            <w:tcW w:w="1259" w:type="dxa"/>
            <w:tcBorders>
              <w:top w:val="single" w:sz="4" w:space="0" w:color="000000"/>
              <w:left w:val="nil"/>
              <w:bottom w:val="single" w:sz="4" w:space="0" w:color="000000"/>
              <w:right w:val="single" w:sz="4" w:space="0" w:color="000000"/>
            </w:tcBorders>
            <w:shd w:val="clear" w:color="auto" w:fill="auto"/>
            <w:noWrap/>
            <w:vAlign w:val="bottom"/>
            <w:hideMark/>
          </w:tcPr>
          <w:p w14:paraId="2BC7EE2C"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0</w:t>
            </w:r>
          </w:p>
        </w:tc>
      </w:tr>
      <w:tr w:rsidR="00FA1574" w:rsidRPr="00FA1574" w14:paraId="6CAA54EF"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5DC13D35"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noWrap/>
            <w:vAlign w:val="bottom"/>
            <w:hideMark/>
          </w:tcPr>
          <w:p w14:paraId="5955F930"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32%</w:t>
            </w:r>
          </w:p>
        </w:tc>
        <w:tc>
          <w:tcPr>
            <w:tcW w:w="1200" w:type="dxa"/>
            <w:tcBorders>
              <w:top w:val="nil"/>
              <w:left w:val="nil"/>
              <w:bottom w:val="single" w:sz="4" w:space="0" w:color="000000"/>
              <w:right w:val="single" w:sz="4" w:space="0" w:color="000000"/>
            </w:tcBorders>
            <w:shd w:val="clear" w:color="auto" w:fill="auto"/>
            <w:noWrap/>
            <w:vAlign w:val="bottom"/>
            <w:hideMark/>
          </w:tcPr>
          <w:p w14:paraId="52458598"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59%</w:t>
            </w:r>
          </w:p>
        </w:tc>
        <w:tc>
          <w:tcPr>
            <w:tcW w:w="1200" w:type="dxa"/>
            <w:tcBorders>
              <w:top w:val="nil"/>
              <w:left w:val="nil"/>
              <w:bottom w:val="single" w:sz="4" w:space="0" w:color="000000"/>
              <w:right w:val="single" w:sz="4" w:space="0" w:color="000000"/>
            </w:tcBorders>
            <w:shd w:val="clear" w:color="auto" w:fill="auto"/>
            <w:noWrap/>
            <w:vAlign w:val="bottom"/>
            <w:hideMark/>
          </w:tcPr>
          <w:p w14:paraId="50230C48"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6%</w:t>
            </w:r>
          </w:p>
        </w:tc>
        <w:tc>
          <w:tcPr>
            <w:tcW w:w="1259" w:type="dxa"/>
            <w:tcBorders>
              <w:top w:val="nil"/>
              <w:left w:val="nil"/>
              <w:bottom w:val="single" w:sz="4" w:space="0" w:color="000000"/>
              <w:right w:val="single" w:sz="4" w:space="0" w:color="000000"/>
            </w:tcBorders>
            <w:shd w:val="clear" w:color="auto" w:fill="auto"/>
            <w:noWrap/>
            <w:vAlign w:val="bottom"/>
            <w:hideMark/>
          </w:tcPr>
          <w:p w14:paraId="6B9B0DDB"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0%</w:t>
            </w:r>
          </w:p>
        </w:tc>
        <w:tc>
          <w:tcPr>
            <w:tcW w:w="1259" w:type="dxa"/>
            <w:tcBorders>
              <w:top w:val="nil"/>
              <w:left w:val="nil"/>
              <w:bottom w:val="single" w:sz="4" w:space="0" w:color="000000"/>
              <w:right w:val="single" w:sz="4" w:space="0" w:color="000000"/>
            </w:tcBorders>
            <w:shd w:val="clear" w:color="auto" w:fill="auto"/>
            <w:noWrap/>
            <w:vAlign w:val="bottom"/>
            <w:hideMark/>
          </w:tcPr>
          <w:p w14:paraId="366F7362"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0%</w:t>
            </w:r>
          </w:p>
        </w:tc>
      </w:tr>
      <w:tr w:rsidR="00FA1574" w:rsidRPr="00FA1574" w14:paraId="534D5347" w14:textId="77777777" w:rsidTr="00F5532B">
        <w:trPr>
          <w:trHeight w:val="263"/>
          <w:jc w:val="center"/>
        </w:trPr>
        <w:tc>
          <w:tcPr>
            <w:tcW w:w="1020" w:type="dxa"/>
            <w:tcBorders>
              <w:top w:val="nil"/>
              <w:left w:val="single" w:sz="4" w:space="0" w:color="000000"/>
              <w:bottom w:val="nil"/>
              <w:right w:val="nil"/>
            </w:tcBorders>
            <w:shd w:val="clear" w:color="auto" w:fill="D9D9D9" w:themeFill="background1" w:themeFillShade="D9"/>
            <w:noWrap/>
            <w:vAlign w:val="bottom"/>
            <w:hideMark/>
          </w:tcPr>
          <w:p w14:paraId="5D8948F6"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nil"/>
              <w:left w:val="nil"/>
              <w:bottom w:val="nil"/>
              <w:right w:val="nil"/>
            </w:tcBorders>
            <w:shd w:val="clear" w:color="auto" w:fill="D9D9D9" w:themeFill="background1" w:themeFillShade="D9"/>
            <w:noWrap/>
            <w:vAlign w:val="bottom"/>
            <w:hideMark/>
          </w:tcPr>
          <w:p w14:paraId="76C0F42F"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6364A1B6"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00" w:type="dxa"/>
            <w:tcBorders>
              <w:top w:val="nil"/>
              <w:left w:val="nil"/>
              <w:bottom w:val="nil"/>
              <w:right w:val="nil"/>
            </w:tcBorders>
            <w:shd w:val="clear" w:color="auto" w:fill="D9D9D9" w:themeFill="background1" w:themeFillShade="D9"/>
            <w:noWrap/>
            <w:vAlign w:val="bottom"/>
            <w:hideMark/>
          </w:tcPr>
          <w:p w14:paraId="269CC006"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59" w:type="dxa"/>
            <w:tcBorders>
              <w:top w:val="nil"/>
              <w:left w:val="nil"/>
              <w:bottom w:val="nil"/>
              <w:right w:val="nil"/>
            </w:tcBorders>
            <w:shd w:val="clear" w:color="auto" w:fill="D9D9D9" w:themeFill="background1" w:themeFillShade="D9"/>
            <w:noWrap/>
            <w:vAlign w:val="bottom"/>
            <w:hideMark/>
          </w:tcPr>
          <w:p w14:paraId="667F7826" w14:textId="77777777" w:rsidR="00FA1574" w:rsidRPr="00FA1574" w:rsidRDefault="00FA1574" w:rsidP="00FA1574">
            <w:pPr>
              <w:rPr>
                <w:rFonts w:ascii="Times New Roman" w:eastAsia="Times New Roman" w:hAnsi="Times New Roman" w:cs="Times New Roman"/>
                <w:color w:val="auto"/>
                <w:kern w:val="0"/>
                <w:sz w:val="20"/>
                <w:szCs w:val="20"/>
                <w:lang w:eastAsia="en-GB"/>
                <w14:ligatures w14:val="none"/>
              </w:rPr>
            </w:pPr>
          </w:p>
        </w:tc>
        <w:tc>
          <w:tcPr>
            <w:tcW w:w="1259" w:type="dxa"/>
            <w:tcBorders>
              <w:top w:val="nil"/>
              <w:left w:val="nil"/>
              <w:bottom w:val="nil"/>
              <w:right w:val="single" w:sz="4" w:space="0" w:color="000000"/>
            </w:tcBorders>
            <w:shd w:val="clear" w:color="auto" w:fill="D9D9D9" w:themeFill="background1" w:themeFillShade="D9"/>
            <w:noWrap/>
            <w:vAlign w:val="bottom"/>
            <w:hideMark/>
          </w:tcPr>
          <w:p w14:paraId="43313F11"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 </w:t>
            </w:r>
          </w:p>
        </w:tc>
      </w:tr>
      <w:tr w:rsidR="00FA1574" w:rsidRPr="00FA1574" w14:paraId="6F5C0A3D" w14:textId="77777777" w:rsidTr="00F5532B">
        <w:trPr>
          <w:trHeight w:val="263"/>
          <w:jc w:val="center"/>
        </w:trPr>
        <w:tc>
          <w:tcPr>
            <w:tcW w:w="1020" w:type="dxa"/>
            <w:vMerge w:val="restart"/>
            <w:tcBorders>
              <w:top w:val="single" w:sz="4" w:space="0" w:color="000000"/>
              <w:left w:val="single" w:sz="4" w:space="0" w:color="000000"/>
              <w:right w:val="single" w:sz="4" w:space="0" w:color="000000"/>
            </w:tcBorders>
            <w:shd w:val="clear" w:color="auto" w:fill="auto"/>
            <w:noWrap/>
            <w:vAlign w:val="bottom"/>
            <w:hideMark/>
          </w:tcPr>
          <w:p w14:paraId="5880BE68"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Staff</w:t>
            </w:r>
          </w:p>
          <w:p w14:paraId="5E158009"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r w:rsidRPr="00FA1574">
              <w:rPr>
                <w:rFonts w:ascii="Calibri" w:eastAsia="Times New Roman" w:hAnsi="Calibri" w:cs="Calibri"/>
                <w:b/>
                <w:bCs/>
                <w:color w:val="000000"/>
                <w:kern w:val="0"/>
                <w:sz w:val="20"/>
                <w:szCs w:val="20"/>
                <w:lang w:eastAsia="en-GB"/>
                <w14:ligatures w14:val="none"/>
              </w:rPr>
              <w:t> </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79DDB474"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81</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4960C884"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49</w:t>
            </w:r>
          </w:p>
        </w:tc>
        <w:tc>
          <w:tcPr>
            <w:tcW w:w="1200" w:type="dxa"/>
            <w:tcBorders>
              <w:top w:val="single" w:sz="4" w:space="0" w:color="000000"/>
              <w:left w:val="nil"/>
              <w:bottom w:val="single" w:sz="4" w:space="0" w:color="000000"/>
              <w:right w:val="single" w:sz="4" w:space="0" w:color="000000"/>
            </w:tcBorders>
            <w:shd w:val="clear" w:color="auto" w:fill="auto"/>
            <w:noWrap/>
            <w:vAlign w:val="bottom"/>
            <w:hideMark/>
          </w:tcPr>
          <w:p w14:paraId="20F94BE4"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9</w:t>
            </w:r>
          </w:p>
        </w:tc>
        <w:tc>
          <w:tcPr>
            <w:tcW w:w="1259" w:type="dxa"/>
            <w:tcBorders>
              <w:top w:val="single" w:sz="4" w:space="0" w:color="000000"/>
              <w:left w:val="nil"/>
              <w:bottom w:val="single" w:sz="4" w:space="0" w:color="000000"/>
              <w:right w:val="single" w:sz="4" w:space="0" w:color="000000"/>
            </w:tcBorders>
            <w:shd w:val="clear" w:color="auto" w:fill="auto"/>
            <w:noWrap/>
            <w:vAlign w:val="bottom"/>
            <w:hideMark/>
          </w:tcPr>
          <w:p w14:paraId="16E13ECD"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11</w:t>
            </w:r>
          </w:p>
        </w:tc>
        <w:tc>
          <w:tcPr>
            <w:tcW w:w="1259" w:type="dxa"/>
            <w:tcBorders>
              <w:top w:val="single" w:sz="4" w:space="0" w:color="000000"/>
              <w:left w:val="nil"/>
              <w:bottom w:val="single" w:sz="4" w:space="0" w:color="000000"/>
              <w:right w:val="single" w:sz="4" w:space="0" w:color="000000"/>
            </w:tcBorders>
            <w:shd w:val="clear" w:color="auto" w:fill="auto"/>
            <w:noWrap/>
            <w:vAlign w:val="bottom"/>
            <w:hideMark/>
          </w:tcPr>
          <w:p w14:paraId="5A32F133"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8</w:t>
            </w:r>
          </w:p>
        </w:tc>
      </w:tr>
      <w:tr w:rsidR="00FA1574" w:rsidRPr="00FA1574" w14:paraId="05337B71" w14:textId="77777777" w:rsidTr="00F5532B">
        <w:trPr>
          <w:trHeight w:val="263"/>
          <w:jc w:val="center"/>
        </w:trPr>
        <w:tc>
          <w:tcPr>
            <w:tcW w:w="1020" w:type="dxa"/>
            <w:vMerge/>
            <w:tcBorders>
              <w:left w:val="single" w:sz="4" w:space="0" w:color="000000"/>
              <w:bottom w:val="single" w:sz="4" w:space="0" w:color="000000"/>
              <w:right w:val="single" w:sz="4" w:space="0" w:color="000000"/>
            </w:tcBorders>
            <w:shd w:val="clear" w:color="auto" w:fill="auto"/>
            <w:noWrap/>
            <w:vAlign w:val="bottom"/>
            <w:hideMark/>
          </w:tcPr>
          <w:p w14:paraId="3901C8C3" w14:textId="77777777" w:rsidR="00FA1574" w:rsidRPr="00FA1574" w:rsidRDefault="00FA1574" w:rsidP="00FA1574">
            <w:pPr>
              <w:rPr>
                <w:rFonts w:ascii="Calibri" w:eastAsia="Times New Roman" w:hAnsi="Calibri" w:cs="Calibri"/>
                <w:b/>
                <w:bCs/>
                <w:color w:val="000000"/>
                <w:kern w:val="0"/>
                <w:sz w:val="20"/>
                <w:szCs w:val="20"/>
                <w:lang w:eastAsia="en-GB"/>
                <w14:ligatures w14:val="none"/>
              </w:rPr>
            </w:pPr>
          </w:p>
        </w:tc>
        <w:tc>
          <w:tcPr>
            <w:tcW w:w="1200" w:type="dxa"/>
            <w:tcBorders>
              <w:top w:val="nil"/>
              <w:left w:val="nil"/>
              <w:bottom w:val="single" w:sz="4" w:space="0" w:color="000000"/>
              <w:right w:val="single" w:sz="4" w:space="0" w:color="000000"/>
            </w:tcBorders>
            <w:shd w:val="clear" w:color="auto" w:fill="auto"/>
            <w:noWrap/>
            <w:vAlign w:val="bottom"/>
            <w:hideMark/>
          </w:tcPr>
          <w:p w14:paraId="147FAB65"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51%</w:t>
            </w:r>
          </w:p>
        </w:tc>
        <w:tc>
          <w:tcPr>
            <w:tcW w:w="1200" w:type="dxa"/>
            <w:tcBorders>
              <w:top w:val="nil"/>
              <w:left w:val="nil"/>
              <w:bottom w:val="single" w:sz="4" w:space="0" w:color="000000"/>
              <w:right w:val="single" w:sz="4" w:space="0" w:color="000000"/>
            </w:tcBorders>
            <w:shd w:val="clear" w:color="auto" w:fill="auto"/>
            <w:noWrap/>
            <w:vAlign w:val="bottom"/>
            <w:hideMark/>
          </w:tcPr>
          <w:p w14:paraId="00DF1145"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31%</w:t>
            </w:r>
          </w:p>
        </w:tc>
        <w:tc>
          <w:tcPr>
            <w:tcW w:w="1200" w:type="dxa"/>
            <w:tcBorders>
              <w:top w:val="nil"/>
              <w:left w:val="nil"/>
              <w:bottom w:val="single" w:sz="4" w:space="0" w:color="000000"/>
              <w:right w:val="single" w:sz="4" w:space="0" w:color="000000"/>
            </w:tcBorders>
            <w:shd w:val="clear" w:color="auto" w:fill="auto"/>
            <w:noWrap/>
            <w:vAlign w:val="bottom"/>
            <w:hideMark/>
          </w:tcPr>
          <w:p w14:paraId="08A633CD"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6%</w:t>
            </w:r>
          </w:p>
        </w:tc>
        <w:tc>
          <w:tcPr>
            <w:tcW w:w="1259" w:type="dxa"/>
            <w:tcBorders>
              <w:top w:val="nil"/>
              <w:left w:val="nil"/>
              <w:bottom w:val="single" w:sz="4" w:space="0" w:color="000000"/>
              <w:right w:val="single" w:sz="4" w:space="0" w:color="000000"/>
            </w:tcBorders>
            <w:shd w:val="clear" w:color="auto" w:fill="auto"/>
            <w:noWrap/>
            <w:vAlign w:val="bottom"/>
            <w:hideMark/>
          </w:tcPr>
          <w:p w14:paraId="6B1DE7A2"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7%</w:t>
            </w:r>
          </w:p>
        </w:tc>
        <w:tc>
          <w:tcPr>
            <w:tcW w:w="1259" w:type="dxa"/>
            <w:tcBorders>
              <w:top w:val="nil"/>
              <w:left w:val="nil"/>
              <w:bottom w:val="single" w:sz="4" w:space="0" w:color="000000"/>
              <w:right w:val="single" w:sz="4" w:space="0" w:color="000000"/>
            </w:tcBorders>
            <w:shd w:val="clear" w:color="auto" w:fill="auto"/>
            <w:noWrap/>
            <w:vAlign w:val="bottom"/>
            <w:hideMark/>
          </w:tcPr>
          <w:p w14:paraId="754C24FA" w14:textId="77777777" w:rsidR="00FA1574" w:rsidRPr="00FA1574" w:rsidRDefault="00FA1574" w:rsidP="00FA1574">
            <w:pPr>
              <w:rPr>
                <w:rFonts w:ascii="Calibri" w:eastAsia="Times New Roman" w:hAnsi="Calibri" w:cs="Calibri"/>
                <w:color w:val="000000"/>
                <w:kern w:val="0"/>
                <w:sz w:val="20"/>
                <w:szCs w:val="20"/>
                <w:lang w:eastAsia="en-GB"/>
                <w14:ligatures w14:val="none"/>
              </w:rPr>
            </w:pPr>
            <w:r w:rsidRPr="00FA1574">
              <w:rPr>
                <w:rFonts w:ascii="Calibri" w:eastAsia="Times New Roman" w:hAnsi="Calibri" w:cs="Calibri"/>
                <w:color w:val="000000"/>
                <w:kern w:val="0"/>
                <w:sz w:val="20"/>
                <w:szCs w:val="20"/>
                <w:lang w:eastAsia="en-GB"/>
                <w14:ligatures w14:val="none"/>
              </w:rPr>
              <w:t>5%</w:t>
            </w:r>
          </w:p>
        </w:tc>
      </w:tr>
    </w:tbl>
    <w:p w14:paraId="231351D4" w14:textId="77777777" w:rsidR="00FA1574" w:rsidRPr="00FA1574" w:rsidRDefault="00FA1574" w:rsidP="00FA1574">
      <w:pPr>
        <w:spacing w:after="160" w:line="259" w:lineRule="auto"/>
        <w:rPr>
          <w:rFonts w:ascii="Arial" w:hAnsi="Arial" w:cs="Arial"/>
          <w:b/>
          <w:bCs/>
          <w:color w:val="000000" w:themeColor="text1"/>
          <w:kern w:val="0"/>
          <w:sz w:val="22"/>
          <w:szCs w:val="22"/>
          <w14:ligatures w14:val="none"/>
        </w:rPr>
      </w:pPr>
    </w:p>
    <w:p w14:paraId="3736F933" w14:textId="77777777" w:rsidR="00FA1574" w:rsidRPr="00FA1574" w:rsidRDefault="00FA1574" w:rsidP="00FA1574">
      <w:pPr>
        <w:pBdr>
          <w:bottom w:val="single" w:sz="6" w:space="1" w:color="auto"/>
        </w:pBdr>
        <w:spacing w:after="160" w:line="259" w:lineRule="auto"/>
        <w:rPr>
          <w:rFonts w:ascii="Arial" w:hAnsi="Arial" w:cs="Arial"/>
          <w:b/>
          <w:bCs/>
          <w:color w:val="000000" w:themeColor="text1"/>
          <w:kern w:val="0"/>
          <w:sz w:val="20"/>
          <w:szCs w:val="20"/>
          <w14:ligatures w14:val="none"/>
        </w:rPr>
      </w:pPr>
      <w:r w:rsidRPr="00FA1574">
        <w:rPr>
          <w:rFonts w:ascii="Arial" w:hAnsi="Arial" w:cs="Arial"/>
          <w:b/>
          <w:bCs/>
          <w:color w:val="000000" w:themeColor="text1"/>
          <w:kern w:val="0"/>
          <w:sz w:val="20"/>
          <w:szCs w:val="20"/>
          <w14:ligatures w14:val="none"/>
        </w:rPr>
        <w:t>77% of respondents feel it is reasonable or very reasonable to consider a £5 increase in Council Tax.</w:t>
      </w:r>
    </w:p>
    <w:p w14:paraId="5302E26F" w14:textId="77777777" w:rsidR="00FA1574" w:rsidRPr="00FA1574" w:rsidRDefault="00FA1574" w:rsidP="00FA1574">
      <w:pPr>
        <w:pBdr>
          <w:bottom w:val="single" w:sz="6" w:space="1" w:color="auto"/>
        </w:pBdr>
        <w:spacing w:after="160" w:line="259" w:lineRule="auto"/>
        <w:rPr>
          <w:rFonts w:ascii="Arial" w:hAnsi="Arial" w:cs="Arial"/>
          <w:color w:val="000000" w:themeColor="text1"/>
          <w:kern w:val="0"/>
          <w:sz w:val="20"/>
          <w:szCs w:val="20"/>
          <w14:ligatures w14:val="none"/>
        </w:rPr>
      </w:pPr>
      <w:r w:rsidRPr="00FA1574">
        <w:rPr>
          <w:rFonts w:ascii="Arial" w:hAnsi="Arial" w:cs="Arial"/>
          <w:color w:val="000000" w:themeColor="text1"/>
          <w:kern w:val="0"/>
          <w:sz w:val="20"/>
          <w:szCs w:val="20"/>
          <w14:ligatures w14:val="none"/>
        </w:rPr>
        <w:t xml:space="preserve">14% feel negatively about this as a proposal, with 9% unsure. </w:t>
      </w:r>
    </w:p>
    <w:p w14:paraId="30B58C0D" w14:textId="77777777" w:rsidR="00FA1574" w:rsidRPr="00FA1574" w:rsidRDefault="00FA1574" w:rsidP="00FA1574">
      <w:pPr>
        <w:pBdr>
          <w:bottom w:val="single" w:sz="6" w:space="1" w:color="auto"/>
        </w:pBdr>
        <w:spacing w:after="160" w:line="259" w:lineRule="auto"/>
        <w:rPr>
          <w:rFonts w:ascii="Arial" w:hAnsi="Arial" w:cs="Arial"/>
          <w:color w:val="000000" w:themeColor="text1"/>
          <w:kern w:val="0"/>
          <w:sz w:val="20"/>
          <w:szCs w:val="20"/>
          <w14:ligatures w14:val="none"/>
        </w:rPr>
      </w:pPr>
      <w:r w:rsidRPr="00FA1574">
        <w:rPr>
          <w:rFonts w:ascii="Arial" w:hAnsi="Arial" w:cs="Arial"/>
          <w:color w:val="000000" w:themeColor="text1"/>
          <w:kern w:val="0"/>
          <w:sz w:val="20"/>
          <w:szCs w:val="20"/>
          <w14:ligatures w14:val="none"/>
        </w:rPr>
        <w:t>Partners felt strongly that this would be a reasonable proposal, with 91% agreeing. Staff had a slightly lower positive response, albeit still high, with 82% of staff agreeing it would be a reasonable step. Over three quarters of the public agreed it would be reasonable.</w:t>
      </w:r>
    </w:p>
    <w:p w14:paraId="3FCA8C64" w14:textId="77777777" w:rsidR="00FA1574" w:rsidRPr="00FA1574" w:rsidRDefault="00FA1574" w:rsidP="00FA1574">
      <w:pPr>
        <w:pBdr>
          <w:bottom w:val="single" w:sz="6" w:space="1" w:color="auto"/>
        </w:pBdr>
        <w:spacing w:after="160" w:line="259" w:lineRule="auto"/>
        <w:rPr>
          <w:rFonts w:ascii="Arial" w:hAnsi="Arial" w:cs="Arial"/>
          <w:color w:val="000000" w:themeColor="text1"/>
          <w:kern w:val="0"/>
          <w:sz w:val="22"/>
          <w:szCs w:val="22"/>
          <w14:ligatures w14:val="none"/>
        </w:rPr>
      </w:pPr>
    </w:p>
    <w:p w14:paraId="3783D03C" w14:textId="34C4990C" w:rsidR="00FA1574" w:rsidRPr="00FA1574" w:rsidRDefault="00FA1574" w:rsidP="00FA1574">
      <w:pPr>
        <w:spacing w:after="160" w:line="259" w:lineRule="auto"/>
        <w:rPr>
          <w:rFonts w:ascii="Arial" w:hAnsi="Arial" w:cs="Arial"/>
          <w:b/>
          <w:bCs/>
          <w:color w:val="auto"/>
          <w:kern w:val="0"/>
          <w:sz w:val="52"/>
          <w:szCs w:val="52"/>
          <w14:ligatures w14:val="none"/>
        </w:rPr>
      </w:pPr>
      <w:r w:rsidRPr="00FA1574">
        <w:rPr>
          <w:rFonts w:ascii="Arial" w:hAnsi="Arial" w:cs="Arial"/>
          <w:b/>
          <w:bCs/>
          <w:color w:val="auto"/>
          <w:kern w:val="0"/>
          <w:sz w:val="52"/>
          <w:szCs w:val="52"/>
          <w14:ligatures w14:val="none"/>
        </w:rPr>
        <w:lastRenderedPageBreak/>
        <w:t xml:space="preserve">PART </w:t>
      </w:r>
      <w:r w:rsidR="00A4164E">
        <w:rPr>
          <w:rFonts w:ascii="Arial" w:hAnsi="Arial" w:cs="Arial"/>
          <w:b/>
          <w:bCs/>
          <w:color w:val="auto"/>
          <w:kern w:val="0"/>
          <w:sz w:val="52"/>
          <w:szCs w:val="52"/>
          <w14:ligatures w14:val="none"/>
        </w:rPr>
        <w:t>FOUR:</w:t>
      </w:r>
    </w:p>
    <w:p w14:paraId="56D86397" w14:textId="77777777" w:rsidR="00FA1574" w:rsidRPr="00FA1574" w:rsidRDefault="00FA1574" w:rsidP="00FA1574">
      <w:pPr>
        <w:spacing w:after="160" w:line="259" w:lineRule="auto"/>
        <w:rPr>
          <w:rFonts w:ascii="Arial" w:hAnsi="Arial" w:cs="Arial"/>
          <w:b/>
          <w:bCs/>
          <w:color w:val="auto"/>
          <w:kern w:val="0"/>
          <w:sz w:val="52"/>
          <w:szCs w:val="52"/>
          <w14:ligatures w14:val="none"/>
        </w:rPr>
      </w:pPr>
      <w:r w:rsidRPr="00FA1574">
        <w:rPr>
          <w:rFonts w:ascii="Arial" w:hAnsi="Arial" w:cs="Arial"/>
          <w:b/>
          <w:bCs/>
          <w:color w:val="auto"/>
          <w:kern w:val="0"/>
          <w:sz w:val="52"/>
          <w:szCs w:val="52"/>
          <w14:ligatures w14:val="none"/>
        </w:rPr>
        <w:t>CONSULTATION FOCUS GROUPS</w:t>
      </w:r>
    </w:p>
    <w:p w14:paraId="467170DF" w14:textId="77777777" w:rsidR="00FA1574" w:rsidRPr="00FA1574" w:rsidRDefault="00FA1574" w:rsidP="00FA1574">
      <w:pPr>
        <w:spacing w:after="160" w:line="259" w:lineRule="auto"/>
        <w:rPr>
          <w:rFonts w:ascii="Arial" w:hAnsi="Arial" w:cs="Arial"/>
          <w:color w:val="auto"/>
          <w:kern w:val="0"/>
          <w:sz w:val="20"/>
          <w:szCs w:val="20"/>
          <w14:ligatures w14:val="none"/>
        </w:rPr>
      </w:pPr>
    </w:p>
    <w:p w14:paraId="0903ECC3"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To enrich the feedback received on the draft plan, targeted Focus Groups were conducted to ensure diverse community voices were represented. These sessions allowed NFRS to explore the specific concerns, needs, and ideas of key demographic groups in a way that complemented the broader insights gathered through the online survey.</w:t>
      </w:r>
    </w:p>
    <w:p w14:paraId="769EAED5"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focus groups engaged participants from a range of communities and backgrounds, including:</w:t>
      </w:r>
    </w:p>
    <w:p w14:paraId="40A611D9" w14:textId="77777777" w:rsidR="00FA1574" w:rsidRPr="00FA1574" w:rsidRDefault="00FA1574" w:rsidP="00FA1574">
      <w:pPr>
        <w:numPr>
          <w:ilvl w:val="0"/>
          <w:numId w:val="26"/>
        </w:num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Older People (Forever Young Community Group) </w:t>
      </w:r>
    </w:p>
    <w:p w14:paraId="3E077E09" w14:textId="77777777" w:rsidR="00FA1574" w:rsidRPr="00FA1574" w:rsidRDefault="00FA1574" w:rsidP="00FA1574">
      <w:pPr>
        <w:numPr>
          <w:ilvl w:val="0"/>
          <w:numId w:val="26"/>
        </w:num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Disability (Pulp Friction) </w:t>
      </w:r>
    </w:p>
    <w:p w14:paraId="407AEEB2" w14:textId="77777777" w:rsidR="00FA1574" w:rsidRPr="00FA1574" w:rsidRDefault="00FA1574" w:rsidP="00FA1574">
      <w:pPr>
        <w:numPr>
          <w:ilvl w:val="0"/>
          <w:numId w:val="26"/>
        </w:num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Online (General Population) </w:t>
      </w:r>
    </w:p>
    <w:p w14:paraId="4723EAD2" w14:textId="77777777" w:rsidR="00FA1574" w:rsidRPr="00FA1574" w:rsidRDefault="00FA1574" w:rsidP="00FA1574">
      <w:pPr>
        <w:numPr>
          <w:ilvl w:val="0"/>
          <w:numId w:val="26"/>
        </w:num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Online (In2People Delegates) </w:t>
      </w:r>
    </w:p>
    <w:p w14:paraId="47F4510E" w14:textId="77777777" w:rsidR="00FA1574" w:rsidRPr="00FA1574" w:rsidRDefault="00FA1574" w:rsidP="00FA1574">
      <w:pPr>
        <w:numPr>
          <w:ilvl w:val="0"/>
          <w:numId w:val="26"/>
        </w:num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LGBTQ+ </w:t>
      </w:r>
    </w:p>
    <w:p w14:paraId="02D66CF7" w14:textId="77777777" w:rsidR="00FA1574" w:rsidRPr="00FA1574" w:rsidRDefault="00FA1574" w:rsidP="00FA1574">
      <w:pPr>
        <w:numPr>
          <w:ilvl w:val="0"/>
          <w:numId w:val="26"/>
        </w:num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Young People (West Notts College) </w:t>
      </w:r>
    </w:p>
    <w:p w14:paraId="771F0244" w14:textId="77777777" w:rsidR="00FA1574" w:rsidRPr="00FA1574" w:rsidRDefault="00FA1574" w:rsidP="00FA1574">
      <w:pPr>
        <w:rPr>
          <w:rFonts w:ascii="Arial" w:hAnsi="Arial" w:cs="Arial"/>
          <w:color w:val="auto"/>
          <w:kern w:val="0"/>
          <w:sz w:val="20"/>
          <w:szCs w:val="20"/>
          <w14:ligatures w14:val="none"/>
        </w:rPr>
      </w:pPr>
    </w:p>
    <w:p w14:paraId="7BA6CFEE"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In total, approximately 80 participants attended these focus groups, exceeding the target of an average of 10 attendees per session.</w:t>
      </w:r>
    </w:p>
    <w:p w14:paraId="4983DD83" w14:textId="77777777" w:rsidR="00FA1574" w:rsidRPr="00FA1574" w:rsidRDefault="00FA1574" w:rsidP="00FA1574">
      <w:pPr>
        <w:rPr>
          <w:rFonts w:ascii="Arial" w:hAnsi="Arial" w:cs="Arial"/>
          <w:color w:val="auto"/>
          <w:kern w:val="0"/>
          <w:sz w:val="20"/>
          <w:szCs w:val="20"/>
          <w14:ligatures w14:val="none"/>
        </w:rPr>
      </w:pPr>
    </w:p>
    <w:p w14:paraId="62D5D4C3"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Each session was tailored to create an open and supportive environment where participants felt encouraged to share their views. The discussions provided qualitative data that added depth to the quantitative findings of the online survey.</w:t>
      </w:r>
    </w:p>
    <w:p w14:paraId="40502571" w14:textId="77777777" w:rsidR="00FA1574" w:rsidRPr="00FA1574" w:rsidRDefault="00FA1574" w:rsidP="00FA1574">
      <w:pPr>
        <w:rPr>
          <w:rFonts w:ascii="Arial" w:hAnsi="Arial" w:cs="Arial"/>
          <w:color w:val="auto"/>
          <w:kern w:val="0"/>
          <w14:ligatures w14:val="none"/>
        </w:rPr>
      </w:pPr>
    </w:p>
    <w:p w14:paraId="5DB92967" w14:textId="77777777" w:rsidR="00FA1574" w:rsidRPr="00FA1574" w:rsidRDefault="00FA1574" w:rsidP="00FA1574">
      <w:pPr>
        <w:rPr>
          <w:rFonts w:ascii="Arial" w:hAnsi="Arial" w:cs="Arial"/>
          <w:color w:val="auto"/>
          <w:kern w:val="0"/>
          <w:sz w:val="20"/>
          <w:szCs w:val="20"/>
          <w14:ligatures w14:val="none"/>
        </w:rPr>
      </w:pPr>
    </w:p>
    <w:p w14:paraId="23764DF4" w14:textId="77777777" w:rsidR="00FA1574" w:rsidRPr="00FA1574" w:rsidRDefault="00FA1574" w:rsidP="00FA1574">
      <w:pPr>
        <w:rPr>
          <w:rFonts w:ascii="Arial" w:hAnsi="Arial" w:cs="Arial"/>
          <w:b/>
          <w:bCs/>
          <w:color w:val="auto"/>
          <w:kern w:val="0"/>
          <w:sz w:val="28"/>
          <w:szCs w:val="28"/>
          <w14:ligatures w14:val="none"/>
        </w:rPr>
      </w:pPr>
      <w:r w:rsidRPr="00FA1574">
        <w:rPr>
          <w:rFonts w:ascii="Arial" w:hAnsi="Arial" w:cs="Arial"/>
          <w:b/>
          <w:bCs/>
          <w:color w:val="auto"/>
          <w:kern w:val="0"/>
          <w:sz w:val="28"/>
          <w:szCs w:val="28"/>
          <w14:ligatures w14:val="none"/>
        </w:rPr>
        <w:t>Key Findings &amp; Themes</w:t>
      </w:r>
    </w:p>
    <w:p w14:paraId="0C9954F2" w14:textId="77777777" w:rsidR="00FA1574" w:rsidRPr="00FA1574" w:rsidRDefault="00FA1574" w:rsidP="00FA1574">
      <w:pPr>
        <w:spacing w:after="160" w:line="259" w:lineRule="auto"/>
        <w:ind w:left="720"/>
        <w:contextualSpacing/>
        <w:rPr>
          <w:rFonts w:ascii="Arial" w:hAnsi="Arial" w:cs="Arial"/>
          <w:b/>
          <w:bCs/>
          <w:color w:val="auto"/>
          <w:kern w:val="0"/>
          <w:sz w:val="22"/>
          <w:szCs w:val="22"/>
          <w14:ligatures w14:val="none"/>
        </w:rPr>
      </w:pPr>
    </w:p>
    <w:p w14:paraId="715C9071" w14:textId="0EB3CCB3" w:rsidR="00FA1574" w:rsidRDefault="00FA1574" w:rsidP="00FA1574">
      <w:pPr>
        <w:numPr>
          <w:ilvl w:val="0"/>
          <w:numId w:val="54"/>
        </w:numPr>
        <w:spacing w:after="160" w:line="259" w:lineRule="auto"/>
        <w:contextualSpacing/>
        <w:rPr>
          <w:rFonts w:ascii="Arial" w:hAnsi="Arial" w:cs="Arial"/>
          <w:b/>
          <w:bCs/>
          <w:color w:val="auto"/>
          <w:kern w:val="0"/>
          <w:sz w:val="28"/>
          <w:szCs w:val="28"/>
          <w14:ligatures w14:val="none"/>
        </w:rPr>
      </w:pPr>
      <w:r w:rsidRPr="00FA1574">
        <w:rPr>
          <w:rFonts w:ascii="Arial" w:hAnsi="Arial" w:cs="Arial"/>
          <w:b/>
          <w:bCs/>
          <w:color w:val="auto"/>
          <w:kern w:val="0"/>
          <w:sz w:val="28"/>
          <w:szCs w:val="28"/>
          <w14:ligatures w14:val="none"/>
        </w:rPr>
        <w:t>Prevention</w:t>
      </w:r>
    </w:p>
    <w:p w14:paraId="624330B2" w14:textId="77777777" w:rsidR="00A4164E" w:rsidRPr="00FA1574" w:rsidRDefault="00A4164E" w:rsidP="00A4164E">
      <w:pPr>
        <w:spacing w:after="160" w:line="259" w:lineRule="auto"/>
        <w:ind w:left="720"/>
        <w:contextualSpacing/>
        <w:rPr>
          <w:rFonts w:ascii="Arial" w:hAnsi="Arial" w:cs="Arial"/>
          <w:b/>
          <w:bCs/>
          <w:color w:val="auto"/>
          <w:kern w:val="0"/>
          <w:sz w:val="28"/>
          <w:szCs w:val="28"/>
          <w14:ligatures w14:val="none"/>
        </w:rPr>
      </w:pPr>
    </w:p>
    <w:p w14:paraId="071E38AA" w14:textId="77777777" w:rsidR="00FA1574" w:rsidRPr="00FA1574" w:rsidRDefault="00FA1574" w:rsidP="00FA1574">
      <w:pPr>
        <w:spacing w:after="160" w:line="259" w:lineRule="auto"/>
        <w:rPr>
          <w:rFonts w:ascii="Arial" w:hAnsi="Arial" w:cs="Arial"/>
          <w:b/>
          <w:bCs/>
          <w:color w:val="auto"/>
          <w:kern w:val="0"/>
          <w:sz w:val="22"/>
          <w:szCs w:val="22"/>
          <w14:ligatures w14:val="none"/>
        </w:rPr>
      </w:pPr>
      <w:r w:rsidRPr="00FA1574">
        <w:rPr>
          <w:rFonts w:ascii="Arial" w:hAnsi="Arial" w:cs="Arial"/>
          <w:b/>
          <w:bCs/>
          <w:color w:val="auto"/>
          <w:kern w:val="0"/>
          <w:sz w:val="22"/>
          <w:szCs w:val="22"/>
          <w14:ligatures w14:val="none"/>
        </w:rPr>
        <w:t>94% of Focus Group attendees feel confident in NFRS’ plans in relation to Strategic Goal One.</w:t>
      </w:r>
    </w:p>
    <w:p w14:paraId="2D707DBE"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6</w:t>
      </w:r>
      <w:r w:rsidRPr="00FA1574">
        <w:rPr>
          <w:rFonts w:ascii="Arial" w:hAnsi="Arial" w:cs="Arial"/>
          <w:b/>
          <w:bCs/>
          <w:color w:val="auto"/>
          <w:kern w:val="0"/>
          <w:sz w:val="20"/>
          <w:szCs w:val="20"/>
          <w14:ligatures w14:val="none"/>
        </w:rPr>
        <w:t>%</w:t>
      </w:r>
      <w:r w:rsidRPr="00FA1574">
        <w:rPr>
          <w:rFonts w:ascii="Arial" w:hAnsi="Arial" w:cs="Arial"/>
          <w:color w:val="auto"/>
          <w:kern w:val="0"/>
          <w:sz w:val="20"/>
          <w:szCs w:val="20"/>
          <w14:ligatures w14:val="none"/>
        </w:rPr>
        <w:t xml:space="preserve"> have reservations/concerns about the Service’s ability to deliver its plans. Reasons cited are relating to the financial envelope placing restrictions on ability to deliver services, and concerns that the task of identifying all vulnerable people is incredibly difficult.</w:t>
      </w:r>
    </w:p>
    <w:p w14:paraId="4F94AD67"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Delegates felt priorities in relation to improving Prevention activity should be focused on:</w:t>
      </w:r>
    </w:p>
    <w:p w14:paraId="15CD17EB" w14:textId="77777777" w:rsidR="00FA1574" w:rsidRPr="00FA1574" w:rsidRDefault="00FA1574" w:rsidP="00FA1574">
      <w:pPr>
        <w:numPr>
          <w:ilvl w:val="0"/>
          <w:numId w:val="36"/>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Increasing community engagement activities</w:t>
      </w:r>
    </w:p>
    <w:p w14:paraId="781B617E" w14:textId="77777777" w:rsidR="00FA1574" w:rsidRPr="00FA1574" w:rsidRDefault="00FA1574" w:rsidP="00FA1574">
      <w:pPr>
        <w:numPr>
          <w:ilvl w:val="0"/>
          <w:numId w:val="36"/>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Sharing fire safety messages/education, particularly targeting specific messages to those at risk</w:t>
      </w:r>
    </w:p>
    <w:p w14:paraId="4D7817C8" w14:textId="77777777" w:rsidR="00FA1574" w:rsidRPr="00FA1574" w:rsidRDefault="00FA1574" w:rsidP="00FA1574">
      <w:pPr>
        <w:numPr>
          <w:ilvl w:val="0"/>
          <w:numId w:val="36"/>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Ensuring services are accessible</w:t>
      </w:r>
    </w:p>
    <w:p w14:paraId="13353AFC" w14:textId="77777777" w:rsidR="00FA1574" w:rsidRPr="00FA1574" w:rsidRDefault="00FA1574" w:rsidP="00FA1574">
      <w:pPr>
        <w:numPr>
          <w:ilvl w:val="0"/>
          <w:numId w:val="36"/>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Diversity (both in relation to workforce and engaging with underrepresented groups).</w:t>
      </w:r>
    </w:p>
    <w:p w14:paraId="7C249B87" w14:textId="77777777" w:rsidR="00FA1574" w:rsidRPr="00FA1574" w:rsidRDefault="00FA1574" w:rsidP="00FA1574">
      <w:pPr>
        <w:spacing w:after="160" w:line="259" w:lineRule="auto"/>
        <w:rPr>
          <w:rFonts w:ascii="Arial" w:hAnsi="Arial" w:cs="Arial"/>
          <w:color w:val="auto"/>
          <w:kern w:val="0"/>
          <w:sz w:val="22"/>
          <w:szCs w:val="22"/>
          <w14:ligatures w14:val="none"/>
        </w:rPr>
      </w:pPr>
    </w:p>
    <w:p w14:paraId="236F7CE9" w14:textId="77777777" w:rsidR="00FA1574" w:rsidRDefault="00FA1574" w:rsidP="00FA1574">
      <w:pPr>
        <w:numPr>
          <w:ilvl w:val="0"/>
          <w:numId w:val="24"/>
        </w:numPr>
        <w:spacing w:after="160" w:line="259" w:lineRule="auto"/>
        <w:contextualSpacing/>
        <w:rPr>
          <w:rFonts w:ascii="Arial" w:hAnsi="Arial" w:cs="Arial"/>
          <w:b/>
          <w:bCs/>
          <w:color w:val="auto"/>
          <w:kern w:val="0"/>
          <w:sz w:val="28"/>
          <w:szCs w:val="28"/>
          <w14:ligatures w14:val="none"/>
        </w:rPr>
      </w:pPr>
      <w:r w:rsidRPr="00FA1574">
        <w:rPr>
          <w:rFonts w:ascii="Arial" w:hAnsi="Arial" w:cs="Arial"/>
          <w:b/>
          <w:bCs/>
          <w:color w:val="auto"/>
          <w:kern w:val="0"/>
          <w:sz w:val="28"/>
          <w:szCs w:val="28"/>
          <w14:ligatures w14:val="none"/>
        </w:rPr>
        <w:t>Protection</w:t>
      </w:r>
    </w:p>
    <w:p w14:paraId="6CE5E71A" w14:textId="77777777" w:rsidR="00A4164E" w:rsidRPr="00FA1574" w:rsidRDefault="00A4164E" w:rsidP="00A4164E">
      <w:pPr>
        <w:spacing w:after="160" w:line="259" w:lineRule="auto"/>
        <w:ind w:left="720"/>
        <w:contextualSpacing/>
        <w:rPr>
          <w:rFonts w:ascii="Arial" w:hAnsi="Arial" w:cs="Arial"/>
          <w:b/>
          <w:bCs/>
          <w:color w:val="auto"/>
          <w:kern w:val="0"/>
          <w:sz w:val="28"/>
          <w:szCs w:val="28"/>
          <w14:ligatures w14:val="none"/>
        </w:rPr>
      </w:pPr>
    </w:p>
    <w:p w14:paraId="0717BBA8" w14:textId="77777777" w:rsidR="00FA1574" w:rsidRPr="00FA1574" w:rsidRDefault="00FA1574" w:rsidP="00FA1574">
      <w:pPr>
        <w:spacing w:after="160" w:line="259" w:lineRule="auto"/>
        <w:rPr>
          <w:rFonts w:ascii="Arial" w:hAnsi="Arial" w:cs="Arial"/>
          <w:b/>
          <w:bCs/>
          <w:color w:val="auto"/>
          <w:kern w:val="0"/>
          <w:sz w:val="22"/>
          <w:szCs w:val="22"/>
          <w14:ligatures w14:val="none"/>
        </w:rPr>
      </w:pPr>
      <w:r w:rsidRPr="00FA1574">
        <w:rPr>
          <w:rFonts w:ascii="Arial" w:hAnsi="Arial" w:cs="Arial"/>
          <w:b/>
          <w:bCs/>
          <w:color w:val="auto"/>
          <w:kern w:val="0"/>
          <w:sz w:val="22"/>
          <w:szCs w:val="22"/>
          <w14:ligatures w14:val="none"/>
        </w:rPr>
        <w:t>84% of Focus Group attendees agree that NFRS should consider charging a call-out fee to businesses who are repeat offenders regarding false alarms.</w:t>
      </w:r>
    </w:p>
    <w:p w14:paraId="3486DAAC"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Feedback from delegates highlighted common themes, which, whilst supportive of the principle, the public feel NFRS should focus on if this process was implemented. These included:</w:t>
      </w:r>
    </w:p>
    <w:p w14:paraId="347FCCA1" w14:textId="77777777" w:rsidR="00FA1574" w:rsidRPr="00FA1574" w:rsidRDefault="00FA1574" w:rsidP="00FA1574">
      <w:pPr>
        <w:numPr>
          <w:ilvl w:val="0"/>
          <w:numId w:val="37"/>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importance of having a clear and fair process, which does not adversely affect partners such as the NHS and schools</w:t>
      </w:r>
    </w:p>
    <w:p w14:paraId="25DA15A8" w14:textId="77777777" w:rsidR="00FA1574" w:rsidRPr="00FA1574" w:rsidRDefault="00FA1574" w:rsidP="00FA1574">
      <w:pPr>
        <w:numPr>
          <w:ilvl w:val="0"/>
          <w:numId w:val="37"/>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Continuing engagement with businesses in the first instance to provide education and guidance</w:t>
      </w:r>
    </w:p>
    <w:p w14:paraId="3A7D875A" w14:textId="77777777" w:rsidR="00FA1574" w:rsidRPr="00FA1574" w:rsidRDefault="00FA1574" w:rsidP="00FA1574">
      <w:pPr>
        <w:numPr>
          <w:ilvl w:val="0"/>
          <w:numId w:val="37"/>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A robust process to ensure that reasonable opportunity has been given to businesses to resolve the issues prior to sanctions being applied</w:t>
      </w:r>
    </w:p>
    <w:p w14:paraId="7CBE5FCF" w14:textId="77777777" w:rsidR="00FA1574" w:rsidRPr="00FA1574" w:rsidRDefault="00FA1574" w:rsidP="00FA1574">
      <w:pPr>
        <w:numPr>
          <w:ilvl w:val="0"/>
          <w:numId w:val="37"/>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A cost-benefit analysis should be undertaken to establish whether it would be practicable in the first place.</w:t>
      </w:r>
    </w:p>
    <w:p w14:paraId="2E6E796B"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Focus Groups also highlighted a view that businesses should take responsibility to resolve faulty alarm systems, and concerns from those present that attending AFAs draws resources NFRS resources away from other areas.</w:t>
      </w:r>
    </w:p>
    <w:p w14:paraId="5F34C307" w14:textId="77777777" w:rsidR="00FA1574" w:rsidRPr="00FA1574" w:rsidRDefault="00FA1574" w:rsidP="00FA1574">
      <w:pPr>
        <w:spacing w:after="160" w:line="259" w:lineRule="auto"/>
        <w:rPr>
          <w:rFonts w:ascii="Arial" w:hAnsi="Arial" w:cs="Arial"/>
          <w:color w:val="auto"/>
          <w:kern w:val="0"/>
          <w:sz w:val="22"/>
          <w:szCs w:val="22"/>
          <w14:ligatures w14:val="none"/>
        </w:rPr>
      </w:pPr>
    </w:p>
    <w:p w14:paraId="062AD67D" w14:textId="77777777" w:rsidR="00FA1574" w:rsidRDefault="00FA1574" w:rsidP="00FA1574">
      <w:pPr>
        <w:numPr>
          <w:ilvl w:val="0"/>
          <w:numId w:val="24"/>
        </w:numPr>
        <w:spacing w:after="160" w:line="259" w:lineRule="auto"/>
        <w:contextualSpacing/>
        <w:rPr>
          <w:rFonts w:ascii="Arial" w:hAnsi="Arial" w:cs="Arial"/>
          <w:b/>
          <w:bCs/>
          <w:color w:val="auto"/>
          <w:kern w:val="0"/>
          <w:sz w:val="28"/>
          <w:szCs w:val="28"/>
          <w14:ligatures w14:val="none"/>
        </w:rPr>
      </w:pPr>
      <w:r w:rsidRPr="00FA1574">
        <w:rPr>
          <w:rFonts w:ascii="Arial" w:hAnsi="Arial" w:cs="Arial"/>
          <w:b/>
          <w:bCs/>
          <w:color w:val="auto"/>
          <w:kern w:val="0"/>
          <w:sz w:val="28"/>
          <w:szCs w:val="28"/>
          <w14:ligatures w14:val="none"/>
        </w:rPr>
        <w:t>Response</w:t>
      </w:r>
    </w:p>
    <w:p w14:paraId="071DA470" w14:textId="77777777" w:rsidR="00A4164E" w:rsidRPr="00FA1574" w:rsidRDefault="00A4164E" w:rsidP="00A4164E">
      <w:pPr>
        <w:spacing w:after="160" w:line="259" w:lineRule="auto"/>
        <w:ind w:left="720"/>
        <w:contextualSpacing/>
        <w:rPr>
          <w:rFonts w:ascii="Arial" w:hAnsi="Arial" w:cs="Arial"/>
          <w:b/>
          <w:bCs/>
          <w:color w:val="auto"/>
          <w:kern w:val="0"/>
          <w:sz w:val="28"/>
          <w:szCs w:val="28"/>
          <w14:ligatures w14:val="none"/>
        </w:rPr>
      </w:pPr>
    </w:p>
    <w:p w14:paraId="34731EF3" w14:textId="77777777" w:rsidR="00FA1574" w:rsidRPr="00FA1574" w:rsidRDefault="00FA1574" w:rsidP="00FA1574">
      <w:pPr>
        <w:spacing w:after="160" w:line="259" w:lineRule="auto"/>
        <w:rPr>
          <w:rFonts w:ascii="Arial" w:hAnsi="Arial" w:cs="Arial"/>
          <w:b/>
          <w:bCs/>
          <w:color w:val="auto"/>
          <w:kern w:val="0"/>
          <w:sz w:val="22"/>
          <w:szCs w:val="22"/>
          <w14:ligatures w14:val="none"/>
        </w:rPr>
      </w:pPr>
      <w:r w:rsidRPr="00FA1574">
        <w:rPr>
          <w:rFonts w:ascii="Arial" w:hAnsi="Arial" w:cs="Arial"/>
          <w:b/>
          <w:bCs/>
          <w:color w:val="auto"/>
          <w:kern w:val="0"/>
          <w:sz w:val="22"/>
          <w:szCs w:val="22"/>
          <w14:ligatures w14:val="none"/>
        </w:rPr>
        <w:t>91% of Focus Group attendees rated their confidence levels in NFRS’ plans to Respond to fires and other emergencies as 8/10 or higher. 60% gave a 10/10 rating.</w:t>
      </w:r>
    </w:p>
    <w:p w14:paraId="3F772A31"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9% rated their confidence levels between 5 and 7 out of 10, with no delegates rating their confidence levels lower than 5/10.</w:t>
      </w:r>
    </w:p>
    <w:p w14:paraId="599A7271"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There were no comments indicating concerns or suggesting areas for improvement in this area, with overwhelming support for NFRS in its Response capabilities and plans.</w:t>
      </w:r>
    </w:p>
    <w:p w14:paraId="15252E52" w14:textId="77777777" w:rsidR="00FA1574" w:rsidRPr="00FA1574" w:rsidRDefault="00FA1574" w:rsidP="00FA1574">
      <w:pPr>
        <w:spacing w:after="160" w:line="259" w:lineRule="auto"/>
        <w:rPr>
          <w:rFonts w:ascii="Arial" w:hAnsi="Arial" w:cs="Arial"/>
          <w:color w:val="auto"/>
          <w:kern w:val="0"/>
          <w:sz w:val="22"/>
          <w:szCs w:val="22"/>
          <w14:ligatures w14:val="none"/>
        </w:rPr>
      </w:pPr>
    </w:p>
    <w:p w14:paraId="0BF09A90" w14:textId="7F4F455C" w:rsidR="00FA1574" w:rsidRPr="00FA1574" w:rsidRDefault="00FA1574" w:rsidP="00FA1574">
      <w:pPr>
        <w:numPr>
          <w:ilvl w:val="0"/>
          <w:numId w:val="24"/>
        </w:numPr>
        <w:spacing w:after="160" w:line="259" w:lineRule="auto"/>
        <w:rPr>
          <w:rFonts w:ascii="Arial" w:hAnsi="Arial" w:cs="Arial"/>
          <w:b/>
          <w:bCs/>
          <w:color w:val="auto"/>
          <w:kern w:val="0"/>
          <w:sz w:val="28"/>
          <w:szCs w:val="28"/>
          <w14:ligatures w14:val="none"/>
        </w:rPr>
      </w:pPr>
      <w:r w:rsidRPr="00FA1574">
        <w:rPr>
          <w:rFonts w:ascii="Arial" w:hAnsi="Arial" w:cs="Arial"/>
          <w:b/>
          <w:bCs/>
          <w:color w:val="auto"/>
          <w:kern w:val="0"/>
          <w:sz w:val="28"/>
          <w:szCs w:val="28"/>
          <w14:ligatures w14:val="none"/>
        </w:rPr>
        <w:t>People &amp; Culture</w:t>
      </w:r>
    </w:p>
    <w:p w14:paraId="28663DB0" w14:textId="77777777" w:rsidR="00FA1574" w:rsidRPr="00FA1574" w:rsidRDefault="00FA1574" w:rsidP="00FA1574">
      <w:pPr>
        <w:rPr>
          <w:rFonts w:ascii="Arial" w:hAnsi="Arial" w:cs="Arial"/>
          <w:b/>
          <w:bCs/>
          <w:color w:val="auto"/>
          <w:kern w:val="0"/>
          <w:sz w:val="22"/>
          <w:szCs w:val="22"/>
          <w:lang w:eastAsia="en-GB"/>
          <w14:ligatures w14:val="none"/>
        </w:rPr>
      </w:pPr>
      <w:r w:rsidRPr="00FA1574">
        <w:rPr>
          <w:rFonts w:ascii="Arial" w:hAnsi="Arial" w:cs="Arial"/>
          <w:b/>
          <w:bCs/>
          <w:color w:val="auto"/>
          <w:kern w:val="0"/>
          <w:sz w:val="22"/>
          <w:szCs w:val="22"/>
          <w:lang w:eastAsia="en-GB"/>
          <w14:ligatures w14:val="none"/>
        </w:rPr>
        <w:t>The plans outlined within Strategic Goal 4 were endorsed by all Focus Groups.</w:t>
      </w:r>
    </w:p>
    <w:p w14:paraId="75594554" w14:textId="77777777" w:rsidR="00FA1574" w:rsidRPr="00FA1574" w:rsidRDefault="00FA1574" w:rsidP="00FA1574">
      <w:pPr>
        <w:rPr>
          <w:rFonts w:asciiTheme="minorHAnsi" w:hAnsiTheme="minorHAnsi" w:cstheme="minorBidi"/>
          <w:color w:val="auto"/>
          <w:kern w:val="0"/>
          <w:sz w:val="22"/>
          <w:szCs w:val="22"/>
          <w14:ligatures w14:val="none"/>
        </w:rPr>
      </w:pPr>
    </w:p>
    <w:p w14:paraId="7CC590C9"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Focus groups were asked, primarily based on Strategic Goal 4, but in combination with everything else they’ve heard during the workshop, what sort of organisation they believe NFRS to be striving to be. </w:t>
      </w:r>
    </w:p>
    <w:p w14:paraId="4250772A"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words with the highest number of responses are:</w:t>
      </w:r>
    </w:p>
    <w:p w14:paraId="23F861BF" w14:textId="77777777" w:rsidR="00FA1574" w:rsidRPr="00FA1574" w:rsidRDefault="00FA1574" w:rsidP="00FA1574">
      <w:pPr>
        <w:numPr>
          <w:ilvl w:val="0"/>
          <w:numId w:val="39"/>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Proactive</w:t>
      </w:r>
    </w:p>
    <w:p w14:paraId="0ACAADEA" w14:textId="77777777" w:rsidR="00FA1574" w:rsidRPr="00FA1574" w:rsidRDefault="00FA1574" w:rsidP="00FA1574">
      <w:pPr>
        <w:numPr>
          <w:ilvl w:val="0"/>
          <w:numId w:val="39"/>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Supportive</w:t>
      </w:r>
    </w:p>
    <w:p w14:paraId="1C7E8F1A" w14:textId="77777777" w:rsidR="00FA1574" w:rsidRPr="00FA1574" w:rsidRDefault="00FA1574" w:rsidP="00FA1574">
      <w:pPr>
        <w:numPr>
          <w:ilvl w:val="0"/>
          <w:numId w:val="39"/>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Inclusive</w:t>
      </w:r>
    </w:p>
    <w:p w14:paraId="3E44888D"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word cloud below outlines this as well as the other most prominent responses:</w:t>
      </w:r>
    </w:p>
    <w:p w14:paraId="66375439" w14:textId="77777777" w:rsidR="00FA1574" w:rsidRPr="00FA1574" w:rsidRDefault="00FA1574" w:rsidP="00FA1574">
      <w:pPr>
        <w:rPr>
          <w:rFonts w:ascii="Arial" w:hAnsi="Arial" w:cs="Arial"/>
          <w:color w:val="auto"/>
          <w:kern w:val="0"/>
          <w:sz w:val="22"/>
          <w:szCs w:val="22"/>
          <w:lang w:eastAsia="en-GB"/>
          <w14:ligatures w14:val="none"/>
        </w:rPr>
      </w:pPr>
      <w:r w:rsidRPr="00FA1574">
        <w:rPr>
          <w:rFonts w:ascii="Arial" w:hAnsi="Arial" w:cs="Arial"/>
          <w:noProof/>
          <w:color w:val="auto"/>
          <w:kern w:val="0"/>
          <w:sz w:val="22"/>
          <w:szCs w:val="22"/>
          <w:lang w:eastAsia="en-GB"/>
          <w14:ligatures w14:val="none"/>
        </w:rPr>
        <w:lastRenderedPageBreak/>
        <w:drawing>
          <wp:inline distT="0" distB="0" distL="0" distR="0" wp14:anchorId="0733B50F" wp14:editId="65B5A23D">
            <wp:extent cx="4443413" cy="2151989"/>
            <wp:effectExtent l="19050" t="19050" r="14605" b="20320"/>
            <wp:docPr id="805384656" name="Picture 1" descr="Word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84656" name="Picture 1" descr="Words on a white background&#10;&#10;Description automatically generated"/>
                    <pic:cNvPicPr/>
                  </pic:nvPicPr>
                  <pic:blipFill>
                    <a:blip r:embed="rId12"/>
                    <a:stretch>
                      <a:fillRect/>
                    </a:stretch>
                  </pic:blipFill>
                  <pic:spPr>
                    <a:xfrm>
                      <a:off x="0" y="0"/>
                      <a:ext cx="4466993" cy="2163409"/>
                    </a:xfrm>
                    <a:prstGeom prst="rect">
                      <a:avLst/>
                    </a:prstGeom>
                    <a:ln>
                      <a:solidFill>
                        <a:sysClr val="windowText" lastClr="000000"/>
                      </a:solidFill>
                    </a:ln>
                  </pic:spPr>
                </pic:pic>
              </a:graphicData>
            </a:graphic>
          </wp:inline>
        </w:drawing>
      </w:r>
    </w:p>
    <w:p w14:paraId="73A70817" w14:textId="77777777" w:rsidR="00FA1574" w:rsidRPr="00FA1574" w:rsidRDefault="00FA1574" w:rsidP="00FA1574">
      <w:pPr>
        <w:rPr>
          <w:rFonts w:ascii="Arial" w:hAnsi="Arial" w:cs="Arial"/>
          <w:color w:val="auto"/>
          <w:kern w:val="0"/>
          <w:sz w:val="22"/>
          <w:szCs w:val="22"/>
          <w:lang w:eastAsia="en-GB"/>
          <w14:ligatures w14:val="none"/>
        </w:rPr>
      </w:pPr>
    </w:p>
    <w:p w14:paraId="69EE3E15" w14:textId="77777777" w:rsidR="00FA1574" w:rsidRPr="00FA1574" w:rsidRDefault="00FA1574" w:rsidP="00FA1574">
      <w:pPr>
        <w:rPr>
          <w:rFonts w:ascii="Arial" w:hAnsi="Arial" w:cs="Arial"/>
          <w:color w:val="auto"/>
          <w:kern w:val="0"/>
          <w:sz w:val="20"/>
          <w:szCs w:val="20"/>
          <w:lang w:eastAsia="en-GB"/>
          <w14:ligatures w14:val="none"/>
        </w:rPr>
      </w:pPr>
      <w:r w:rsidRPr="00FA1574">
        <w:rPr>
          <w:rFonts w:ascii="Arial" w:hAnsi="Arial" w:cs="Arial"/>
          <w:color w:val="auto"/>
          <w:kern w:val="0"/>
          <w:sz w:val="20"/>
          <w:szCs w:val="20"/>
          <w:lang w:eastAsia="en-GB"/>
          <w14:ligatures w14:val="none"/>
        </w:rPr>
        <w:t>Generally, the perception of NFRS’ culture is positive. Below is a sample of comments provided:</w:t>
      </w:r>
    </w:p>
    <w:p w14:paraId="73D0A2D6" w14:textId="77777777" w:rsidR="00FA1574" w:rsidRPr="00FA1574" w:rsidRDefault="00FA1574" w:rsidP="00FA1574">
      <w:pPr>
        <w:rPr>
          <w:rFonts w:ascii="Arial" w:hAnsi="Arial" w:cs="Arial"/>
          <w:color w:val="auto"/>
          <w:kern w:val="0"/>
          <w:sz w:val="20"/>
          <w:szCs w:val="20"/>
          <w:lang w:eastAsia="en-GB"/>
          <w14:ligatures w14:val="none"/>
        </w:rPr>
      </w:pPr>
    </w:p>
    <w:p w14:paraId="2603EB92" w14:textId="77777777" w:rsidR="00FA1574" w:rsidRPr="00FA1574" w:rsidRDefault="00FA1574" w:rsidP="00FA1574">
      <w:pPr>
        <w:rPr>
          <w:rFonts w:ascii="Arial" w:hAnsi="Arial" w:cs="Arial"/>
          <w:i/>
          <w:iCs/>
          <w:color w:val="auto"/>
          <w:kern w:val="0"/>
          <w:sz w:val="20"/>
          <w:szCs w:val="20"/>
          <w:lang w:eastAsia="en-GB"/>
          <w14:ligatures w14:val="none"/>
        </w:rPr>
      </w:pPr>
      <w:r w:rsidRPr="00FA1574">
        <w:rPr>
          <w:rFonts w:ascii="Arial" w:hAnsi="Arial" w:cs="Arial"/>
          <w:i/>
          <w:iCs/>
          <w:color w:val="auto"/>
          <w:kern w:val="0"/>
          <w:sz w:val="20"/>
          <w:szCs w:val="20"/>
          <w:lang w:eastAsia="en-GB"/>
          <w14:ligatures w14:val="none"/>
        </w:rPr>
        <w:t>“Nottinghamshire Fire and Rescue Service sounds like an organization that values community safety and proactive engagement. They seem committed to continuous improvement and collaboration, focusing on prevention and education. It appears to be a supportive environment where employees can make a real difference in their communities, and where innovation and feedback are welcomed. Overall, it sounds like a fulfilling place to work.”</w:t>
      </w:r>
    </w:p>
    <w:p w14:paraId="7F711561" w14:textId="77777777" w:rsidR="00FA1574" w:rsidRPr="00FA1574" w:rsidRDefault="00FA1574" w:rsidP="00FA1574">
      <w:pPr>
        <w:ind w:left="720"/>
        <w:rPr>
          <w:rFonts w:ascii="Arial" w:hAnsi="Arial" w:cs="Arial"/>
          <w:i/>
          <w:iCs/>
          <w:color w:val="auto"/>
          <w:kern w:val="0"/>
          <w:sz w:val="20"/>
          <w:szCs w:val="20"/>
          <w:lang w:eastAsia="en-GB"/>
          <w14:ligatures w14:val="none"/>
        </w:rPr>
      </w:pPr>
    </w:p>
    <w:p w14:paraId="304E262C" w14:textId="77777777" w:rsidR="00FA1574" w:rsidRPr="00FA1574" w:rsidRDefault="00FA1574" w:rsidP="00FA1574">
      <w:pPr>
        <w:numPr>
          <w:ilvl w:val="0"/>
          <w:numId w:val="38"/>
        </w:numPr>
        <w:spacing w:after="160" w:line="259" w:lineRule="auto"/>
        <w:rPr>
          <w:rFonts w:ascii="Arial" w:hAnsi="Arial" w:cs="Arial"/>
          <w:i/>
          <w:iCs/>
          <w:color w:val="auto"/>
          <w:kern w:val="0"/>
          <w:sz w:val="20"/>
          <w:szCs w:val="20"/>
          <w:lang w:eastAsia="en-GB"/>
          <w14:ligatures w14:val="none"/>
        </w:rPr>
      </w:pPr>
      <w:r w:rsidRPr="00FA1574">
        <w:rPr>
          <w:rFonts w:ascii="Arial" w:hAnsi="Arial" w:cs="Arial"/>
          <w:i/>
          <w:iCs/>
          <w:color w:val="auto"/>
          <w:kern w:val="0"/>
          <w:sz w:val="20"/>
          <w:szCs w:val="20"/>
          <w:lang w:eastAsia="en-GB"/>
          <w14:ligatures w14:val="none"/>
        </w:rPr>
        <w:t>Disability Focus Group Attendee</w:t>
      </w:r>
    </w:p>
    <w:p w14:paraId="411B2A3F" w14:textId="77777777" w:rsidR="00FA1574" w:rsidRPr="00FA1574" w:rsidRDefault="00FA1574" w:rsidP="00FA1574">
      <w:pPr>
        <w:rPr>
          <w:rFonts w:ascii="Arial" w:hAnsi="Arial" w:cs="Arial"/>
          <w:i/>
          <w:iCs/>
          <w:color w:val="auto"/>
          <w:kern w:val="0"/>
          <w:sz w:val="20"/>
          <w:szCs w:val="20"/>
          <w:lang w:eastAsia="en-GB"/>
          <w14:ligatures w14:val="none"/>
        </w:rPr>
      </w:pPr>
    </w:p>
    <w:p w14:paraId="4A307892" w14:textId="77777777" w:rsidR="00FA1574" w:rsidRPr="00FA1574" w:rsidRDefault="00FA1574" w:rsidP="00FA1574">
      <w:pPr>
        <w:rPr>
          <w:rFonts w:ascii="Arial" w:hAnsi="Arial" w:cs="Arial"/>
          <w:i/>
          <w:iCs/>
          <w:color w:val="auto"/>
          <w:kern w:val="0"/>
          <w:sz w:val="20"/>
          <w:szCs w:val="20"/>
          <w:lang w:eastAsia="en-GB"/>
          <w14:ligatures w14:val="none"/>
        </w:rPr>
      </w:pPr>
      <w:r w:rsidRPr="00FA1574">
        <w:rPr>
          <w:rFonts w:ascii="Arial" w:hAnsi="Arial" w:cs="Arial"/>
          <w:i/>
          <w:iCs/>
          <w:color w:val="auto"/>
          <w:kern w:val="0"/>
          <w:sz w:val="20"/>
          <w:szCs w:val="20"/>
          <w:lang w:eastAsia="en-GB"/>
          <w14:ligatures w14:val="none"/>
        </w:rPr>
        <w:t>“I believe that NFRS sounds like an organisation that is committed to fostering a diverse and inclusive workforce, where the well-being of staff is a priority. The focus on aligning the culture of the service with public expectations also indicates a progressive organisation that values transparency and public trust. Moreover, with the emphasis on leadership development, it sounds like a place where employees have opportunities for growth and career progression while contributing meaningfully to their communities.”</w:t>
      </w:r>
    </w:p>
    <w:p w14:paraId="408E5008" w14:textId="77777777" w:rsidR="00FA1574" w:rsidRPr="00FA1574" w:rsidRDefault="00FA1574" w:rsidP="00FA1574">
      <w:pPr>
        <w:ind w:left="720"/>
        <w:rPr>
          <w:rFonts w:ascii="Arial" w:hAnsi="Arial" w:cs="Arial"/>
          <w:i/>
          <w:iCs/>
          <w:color w:val="auto"/>
          <w:kern w:val="0"/>
          <w:sz w:val="20"/>
          <w:szCs w:val="20"/>
          <w:lang w:eastAsia="en-GB"/>
          <w14:ligatures w14:val="none"/>
        </w:rPr>
      </w:pPr>
    </w:p>
    <w:p w14:paraId="2EA11853" w14:textId="77777777" w:rsidR="00FA1574" w:rsidRPr="00FA1574" w:rsidRDefault="00FA1574" w:rsidP="00FA1574">
      <w:pPr>
        <w:numPr>
          <w:ilvl w:val="0"/>
          <w:numId w:val="38"/>
        </w:numPr>
        <w:spacing w:after="160" w:line="259" w:lineRule="auto"/>
        <w:rPr>
          <w:rFonts w:ascii="Arial" w:hAnsi="Arial" w:cs="Arial"/>
          <w:i/>
          <w:iCs/>
          <w:color w:val="auto"/>
          <w:kern w:val="0"/>
          <w:sz w:val="20"/>
          <w:szCs w:val="20"/>
          <w:lang w:eastAsia="en-GB"/>
          <w14:ligatures w14:val="none"/>
        </w:rPr>
      </w:pPr>
      <w:r w:rsidRPr="00FA1574">
        <w:rPr>
          <w:rFonts w:ascii="Arial" w:hAnsi="Arial" w:cs="Arial"/>
          <w:i/>
          <w:iCs/>
          <w:color w:val="auto"/>
          <w:kern w:val="0"/>
          <w:sz w:val="20"/>
          <w:szCs w:val="20"/>
          <w:lang w:eastAsia="en-GB"/>
          <w14:ligatures w14:val="none"/>
        </w:rPr>
        <w:t>Disability Focus Group Attendee</w:t>
      </w:r>
    </w:p>
    <w:p w14:paraId="752F04B0" w14:textId="77777777" w:rsidR="00FA1574" w:rsidRPr="00FA1574" w:rsidRDefault="00FA1574" w:rsidP="00FA1574">
      <w:pPr>
        <w:rPr>
          <w:rFonts w:ascii="Arial" w:hAnsi="Arial" w:cs="Arial"/>
          <w:i/>
          <w:iCs/>
          <w:color w:val="auto"/>
          <w:kern w:val="0"/>
          <w:sz w:val="20"/>
          <w:szCs w:val="20"/>
          <w:lang w:eastAsia="en-GB"/>
          <w14:ligatures w14:val="none"/>
        </w:rPr>
      </w:pPr>
    </w:p>
    <w:p w14:paraId="27D3BA4B" w14:textId="77777777" w:rsidR="00FA1574" w:rsidRPr="00FA1574" w:rsidRDefault="00FA1574" w:rsidP="00FA1574">
      <w:pPr>
        <w:rPr>
          <w:rFonts w:ascii="Arial" w:hAnsi="Arial" w:cs="Arial"/>
          <w:i/>
          <w:iCs/>
          <w:color w:val="auto"/>
          <w:kern w:val="0"/>
          <w:sz w:val="20"/>
          <w:szCs w:val="20"/>
          <w:lang w:eastAsia="en-GB"/>
          <w14:ligatures w14:val="none"/>
        </w:rPr>
      </w:pPr>
      <w:r w:rsidRPr="00FA1574">
        <w:rPr>
          <w:rFonts w:ascii="Arial" w:hAnsi="Arial" w:cs="Arial"/>
          <w:i/>
          <w:iCs/>
          <w:color w:val="auto"/>
          <w:kern w:val="0"/>
          <w:sz w:val="20"/>
          <w:szCs w:val="20"/>
          <w:lang w:eastAsia="en-GB"/>
          <w14:ligatures w14:val="none"/>
        </w:rPr>
        <w:t>“Before today - quite masculine service, not very welcoming to 'others'. After today - a business actively looking to diversify, grow and better itself.”</w:t>
      </w:r>
    </w:p>
    <w:p w14:paraId="009E8785" w14:textId="77777777" w:rsidR="00FA1574" w:rsidRPr="00FA1574" w:rsidRDefault="00FA1574" w:rsidP="00FA1574">
      <w:pPr>
        <w:ind w:left="720"/>
        <w:rPr>
          <w:rFonts w:ascii="Arial" w:hAnsi="Arial" w:cs="Arial"/>
          <w:i/>
          <w:iCs/>
          <w:color w:val="auto"/>
          <w:kern w:val="0"/>
          <w:sz w:val="20"/>
          <w:szCs w:val="20"/>
          <w:lang w:eastAsia="en-GB"/>
          <w14:ligatures w14:val="none"/>
        </w:rPr>
      </w:pPr>
    </w:p>
    <w:p w14:paraId="5CC1BC9A" w14:textId="77777777" w:rsidR="00FA1574" w:rsidRPr="00FA1574" w:rsidRDefault="00FA1574" w:rsidP="00FA1574">
      <w:pPr>
        <w:numPr>
          <w:ilvl w:val="0"/>
          <w:numId w:val="38"/>
        </w:numPr>
        <w:spacing w:after="160" w:line="259" w:lineRule="auto"/>
        <w:rPr>
          <w:rFonts w:ascii="Arial" w:hAnsi="Arial" w:cs="Arial"/>
          <w:i/>
          <w:iCs/>
          <w:color w:val="auto"/>
          <w:kern w:val="0"/>
          <w:sz w:val="20"/>
          <w:szCs w:val="20"/>
          <w:lang w:eastAsia="en-GB"/>
          <w14:ligatures w14:val="none"/>
        </w:rPr>
      </w:pPr>
      <w:r w:rsidRPr="00FA1574">
        <w:rPr>
          <w:rFonts w:ascii="Arial" w:hAnsi="Arial" w:cs="Arial"/>
          <w:i/>
          <w:iCs/>
          <w:color w:val="auto"/>
          <w:kern w:val="0"/>
          <w:sz w:val="20"/>
          <w:szCs w:val="20"/>
          <w:lang w:eastAsia="en-GB"/>
          <w14:ligatures w14:val="none"/>
        </w:rPr>
        <w:t>LGBTQ+ Focus Group Attendee</w:t>
      </w:r>
    </w:p>
    <w:p w14:paraId="0F6D3E22" w14:textId="77777777" w:rsidR="00FA1574" w:rsidRPr="00FA1574" w:rsidRDefault="00FA1574" w:rsidP="00FA1574">
      <w:pPr>
        <w:rPr>
          <w:rFonts w:ascii="Arial" w:hAnsi="Arial" w:cs="Arial"/>
          <w:color w:val="auto"/>
          <w:kern w:val="0"/>
          <w:sz w:val="22"/>
          <w:szCs w:val="22"/>
          <w:lang w:eastAsia="en-GB"/>
          <w14:ligatures w14:val="none"/>
        </w:rPr>
      </w:pPr>
    </w:p>
    <w:p w14:paraId="6CF569A7" w14:textId="77777777" w:rsidR="00FA1574" w:rsidRPr="00FA1574" w:rsidRDefault="00FA1574" w:rsidP="00FA1574">
      <w:pPr>
        <w:rPr>
          <w:rFonts w:ascii="Arial" w:hAnsi="Arial" w:cs="Arial"/>
          <w:color w:val="auto"/>
          <w:kern w:val="0"/>
          <w:sz w:val="22"/>
          <w:szCs w:val="22"/>
          <w:lang w:eastAsia="en-GB"/>
          <w14:ligatures w14:val="none"/>
        </w:rPr>
      </w:pPr>
    </w:p>
    <w:p w14:paraId="1DE31A90" w14:textId="77777777" w:rsidR="00FA1574" w:rsidRPr="00FA1574" w:rsidRDefault="00FA1574" w:rsidP="00FA1574">
      <w:pPr>
        <w:numPr>
          <w:ilvl w:val="0"/>
          <w:numId w:val="24"/>
        </w:numPr>
        <w:spacing w:after="160" w:line="259" w:lineRule="auto"/>
        <w:rPr>
          <w:rFonts w:ascii="Arial" w:hAnsi="Arial" w:cs="Arial"/>
          <w:b/>
          <w:bCs/>
          <w:color w:val="auto"/>
          <w:kern w:val="0"/>
          <w:sz w:val="28"/>
          <w:szCs w:val="28"/>
          <w:lang w:eastAsia="en-GB"/>
          <w14:ligatures w14:val="none"/>
        </w:rPr>
      </w:pPr>
      <w:r w:rsidRPr="00FA1574">
        <w:rPr>
          <w:rFonts w:ascii="Arial" w:hAnsi="Arial" w:cs="Arial"/>
          <w:b/>
          <w:bCs/>
          <w:color w:val="auto"/>
          <w:kern w:val="0"/>
          <w:sz w:val="28"/>
          <w:szCs w:val="28"/>
          <w:lang w:eastAsia="en-GB"/>
          <w14:ligatures w14:val="none"/>
        </w:rPr>
        <w:t>Service Improvement</w:t>
      </w:r>
    </w:p>
    <w:p w14:paraId="2C7ED98F" w14:textId="77777777" w:rsidR="00FA1574" w:rsidRPr="00FA1574" w:rsidRDefault="00FA1574" w:rsidP="00FA1574">
      <w:pPr>
        <w:rPr>
          <w:rFonts w:ascii="Arial" w:hAnsi="Arial" w:cs="Arial"/>
          <w:color w:val="auto"/>
          <w:kern w:val="0"/>
          <w:sz w:val="22"/>
          <w:szCs w:val="22"/>
          <w:lang w:eastAsia="en-GB"/>
          <w14:ligatures w14:val="none"/>
        </w:rPr>
      </w:pPr>
    </w:p>
    <w:p w14:paraId="196D1539" w14:textId="77777777" w:rsidR="00FA1574" w:rsidRPr="00FA1574" w:rsidRDefault="00FA1574" w:rsidP="00FA1574">
      <w:pPr>
        <w:rPr>
          <w:rFonts w:ascii="Arial" w:hAnsi="Arial" w:cs="Arial"/>
          <w:b/>
          <w:bCs/>
          <w:color w:val="auto"/>
          <w:kern w:val="0"/>
          <w:sz w:val="22"/>
          <w:szCs w:val="22"/>
          <w:lang w:eastAsia="en-GB"/>
          <w14:ligatures w14:val="none"/>
        </w:rPr>
      </w:pPr>
      <w:r w:rsidRPr="00FA1574">
        <w:rPr>
          <w:rFonts w:ascii="Arial" w:hAnsi="Arial" w:cs="Arial"/>
          <w:b/>
          <w:bCs/>
          <w:color w:val="auto"/>
          <w:kern w:val="0"/>
          <w:sz w:val="22"/>
          <w:szCs w:val="22"/>
          <w:lang w:eastAsia="en-GB"/>
          <w14:ligatures w14:val="none"/>
        </w:rPr>
        <w:t xml:space="preserve">Focus Groups have been asked what they see as areas NFRS should seek to target to improve the Service’s efficiency and effectiveness. </w:t>
      </w:r>
    </w:p>
    <w:p w14:paraId="08D3F01F" w14:textId="77777777" w:rsidR="00FA1574" w:rsidRPr="00FA1574" w:rsidRDefault="00FA1574" w:rsidP="00FA1574">
      <w:pPr>
        <w:rPr>
          <w:rFonts w:ascii="Arial" w:hAnsi="Arial" w:cs="Arial"/>
          <w:b/>
          <w:bCs/>
          <w:color w:val="auto"/>
          <w:kern w:val="0"/>
          <w:sz w:val="22"/>
          <w:szCs w:val="22"/>
          <w:lang w:eastAsia="en-GB"/>
          <w14:ligatures w14:val="none"/>
        </w:rPr>
      </w:pPr>
    </w:p>
    <w:p w14:paraId="45AF8285" w14:textId="77777777" w:rsidR="00FA1574" w:rsidRPr="00FA1574" w:rsidRDefault="00FA1574" w:rsidP="00FA1574">
      <w:pPr>
        <w:rPr>
          <w:rFonts w:ascii="Arial" w:hAnsi="Arial" w:cs="Arial"/>
          <w:b/>
          <w:bCs/>
          <w:color w:val="auto"/>
          <w:kern w:val="0"/>
          <w:sz w:val="22"/>
          <w:szCs w:val="22"/>
          <w:lang w:eastAsia="en-GB"/>
          <w14:ligatures w14:val="none"/>
        </w:rPr>
      </w:pPr>
      <w:r w:rsidRPr="00FA1574">
        <w:rPr>
          <w:rFonts w:ascii="Arial" w:hAnsi="Arial" w:cs="Arial"/>
          <w:b/>
          <w:bCs/>
          <w:color w:val="auto"/>
          <w:kern w:val="0"/>
          <w:sz w:val="22"/>
          <w:szCs w:val="22"/>
          <w:lang w:eastAsia="en-GB"/>
          <w14:ligatures w14:val="none"/>
        </w:rPr>
        <w:t>The most popular themes outlined below:</w:t>
      </w:r>
    </w:p>
    <w:p w14:paraId="792EF710" w14:textId="77777777" w:rsidR="00FA1574" w:rsidRPr="00FA1574" w:rsidRDefault="00FA1574" w:rsidP="00FA1574">
      <w:pPr>
        <w:numPr>
          <w:ilvl w:val="0"/>
          <w:numId w:val="25"/>
        </w:numPr>
        <w:spacing w:after="160" w:line="259" w:lineRule="auto"/>
        <w:rPr>
          <w:rFonts w:ascii="Arial" w:hAnsi="Arial" w:cs="Arial"/>
          <w:b/>
          <w:bCs/>
          <w:color w:val="auto"/>
          <w:kern w:val="0"/>
          <w:sz w:val="22"/>
          <w:szCs w:val="22"/>
          <w:lang w:eastAsia="en-GB"/>
          <w14:ligatures w14:val="none"/>
        </w:rPr>
      </w:pPr>
      <w:r w:rsidRPr="00FA1574">
        <w:rPr>
          <w:rFonts w:ascii="Arial" w:hAnsi="Arial" w:cs="Arial"/>
          <w:b/>
          <w:bCs/>
          <w:color w:val="auto"/>
          <w:kern w:val="0"/>
          <w:sz w:val="22"/>
          <w:szCs w:val="22"/>
          <w:lang w:eastAsia="en-GB"/>
          <w14:ligatures w14:val="none"/>
        </w:rPr>
        <w:t>Community engagement &amp; Communications</w:t>
      </w:r>
    </w:p>
    <w:p w14:paraId="19C91D59" w14:textId="77777777" w:rsidR="00FA1574" w:rsidRPr="00FA1574" w:rsidRDefault="00FA1574" w:rsidP="00FA1574">
      <w:pPr>
        <w:numPr>
          <w:ilvl w:val="0"/>
          <w:numId w:val="25"/>
        </w:numPr>
        <w:spacing w:after="160" w:line="259" w:lineRule="auto"/>
        <w:rPr>
          <w:rFonts w:ascii="Arial" w:hAnsi="Arial" w:cs="Arial"/>
          <w:b/>
          <w:bCs/>
          <w:color w:val="auto"/>
          <w:kern w:val="0"/>
          <w:sz w:val="22"/>
          <w:szCs w:val="22"/>
          <w:lang w:eastAsia="en-GB"/>
          <w14:ligatures w14:val="none"/>
        </w:rPr>
      </w:pPr>
      <w:r w:rsidRPr="00FA1574">
        <w:rPr>
          <w:rFonts w:ascii="Arial" w:hAnsi="Arial" w:cs="Arial"/>
          <w:b/>
          <w:bCs/>
          <w:color w:val="auto"/>
          <w:kern w:val="0"/>
          <w:sz w:val="22"/>
          <w:szCs w:val="22"/>
          <w:lang w:eastAsia="en-GB"/>
          <w14:ligatures w14:val="none"/>
        </w:rPr>
        <w:t>Resourcing &amp; finances</w:t>
      </w:r>
    </w:p>
    <w:p w14:paraId="53778E9C" w14:textId="77777777" w:rsidR="00FA1574" w:rsidRPr="00FA1574" w:rsidRDefault="00FA1574" w:rsidP="00FA1574">
      <w:pPr>
        <w:numPr>
          <w:ilvl w:val="0"/>
          <w:numId w:val="25"/>
        </w:numPr>
        <w:spacing w:after="160" w:line="259" w:lineRule="auto"/>
        <w:rPr>
          <w:rFonts w:ascii="Arial" w:hAnsi="Arial" w:cs="Arial"/>
          <w:b/>
          <w:bCs/>
          <w:color w:val="auto"/>
          <w:kern w:val="0"/>
          <w:sz w:val="22"/>
          <w:szCs w:val="22"/>
          <w:lang w:eastAsia="en-GB"/>
          <w14:ligatures w14:val="none"/>
        </w:rPr>
      </w:pPr>
      <w:r w:rsidRPr="00FA1574">
        <w:rPr>
          <w:rFonts w:ascii="Arial" w:hAnsi="Arial" w:cs="Arial"/>
          <w:b/>
          <w:bCs/>
          <w:color w:val="auto"/>
          <w:kern w:val="0"/>
          <w:sz w:val="22"/>
          <w:szCs w:val="22"/>
          <w:lang w:eastAsia="en-GB"/>
          <w14:ligatures w14:val="none"/>
        </w:rPr>
        <w:t>Staff wellbeing</w:t>
      </w:r>
    </w:p>
    <w:p w14:paraId="2CA6E81D" w14:textId="77777777" w:rsidR="00FA1574" w:rsidRPr="00FA1574" w:rsidRDefault="00FA1574" w:rsidP="00FA1574">
      <w:pPr>
        <w:numPr>
          <w:ilvl w:val="0"/>
          <w:numId w:val="25"/>
        </w:numPr>
        <w:spacing w:after="160" w:line="259" w:lineRule="auto"/>
        <w:rPr>
          <w:rFonts w:ascii="Arial" w:hAnsi="Arial" w:cs="Arial"/>
          <w:b/>
          <w:bCs/>
          <w:color w:val="auto"/>
          <w:kern w:val="0"/>
          <w:sz w:val="22"/>
          <w:szCs w:val="22"/>
          <w:lang w:eastAsia="en-GB"/>
          <w14:ligatures w14:val="none"/>
        </w:rPr>
      </w:pPr>
      <w:r w:rsidRPr="00FA1574">
        <w:rPr>
          <w:rFonts w:ascii="Arial" w:hAnsi="Arial" w:cs="Arial"/>
          <w:b/>
          <w:bCs/>
          <w:color w:val="auto"/>
          <w:kern w:val="0"/>
          <w:sz w:val="22"/>
          <w:szCs w:val="22"/>
          <w:lang w:eastAsia="en-GB"/>
          <w14:ligatures w14:val="none"/>
        </w:rPr>
        <w:lastRenderedPageBreak/>
        <w:t>Digital, Data &amp; Technology systems</w:t>
      </w:r>
    </w:p>
    <w:p w14:paraId="1A237A87" w14:textId="77777777" w:rsidR="00FA1574" w:rsidRPr="00FA1574" w:rsidRDefault="00FA1574" w:rsidP="00FA1574">
      <w:pPr>
        <w:ind w:left="720"/>
        <w:rPr>
          <w:rFonts w:ascii="Arial" w:hAnsi="Arial" w:cs="Arial"/>
          <w:color w:val="auto"/>
          <w:kern w:val="0"/>
          <w:sz w:val="22"/>
          <w:szCs w:val="22"/>
          <w:lang w:eastAsia="en-GB"/>
          <w14:ligatures w14:val="none"/>
        </w:rPr>
      </w:pPr>
    </w:p>
    <w:p w14:paraId="5E204649" w14:textId="77777777" w:rsidR="00FA1574" w:rsidRPr="00FA1574" w:rsidRDefault="00FA1574" w:rsidP="00FA1574">
      <w:pPr>
        <w:rPr>
          <w:rFonts w:ascii="Arial" w:hAnsi="Arial" w:cs="Arial"/>
          <w:color w:val="auto"/>
          <w:kern w:val="0"/>
          <w:sz w:val="20"/>
          <w:szCs w:val="20"/>
          <w:lang w:eastAsia="en-GB"/>
          <w14:ligatures w14:val="none"/>
        </w:rPr>
      </w:pPr>
      <w:r w:rsidRPr="00FA1574">
        <w:rPr>
          <w:rFonts w:ascii="Arial" w:hAnsi="Arial" w:cs="Arial"/>
          <w:color w:val="auto"/>
          <w:kern w:val="0"/>
          <w:sz w:val="20"/>
          <w:szCs w:val="20"/>
          <w:lang w:eastAsia="en-GB"/>
          <w14:ligatures w14:val="none"/>
        </w:rPr>
        <w:t>Regarding the above, community engagement is identified within the plan as being a priority, with clear evidence of steps being taken to progress in this area (community befriending, Prevention restructure, CAG and so on).</w:t>
      </w:r>
    </w:p>
    <w:p w14:paraId="17355608" w14:textId="77777777" w:rsidR="00FA1574" w:rsidRPr="00FA1574" w:rsidRDefault="00FA1574" w:rsidP="00FA1574">
      <w:pPr>
        <w:rPr>
          <w:rFonts w:ascii="Arial" w:hAnsi="Arial" w:cs="Arial"/>
          <w:color w:val="auto"/>
          <w:kern w:val="0"/>
          <w:sz w:val="20"/>
          <w:szCs w:val="20"/>
          <w:lang w:eastAsia="en-GB"/>
          <w14:ligatures w14:val="none"/>
        </w:rPr>
      </w:pPr>
    </w:p>
    <w:p w14:paraId="74323FE1" w14:textId="77777777" w:rsidR="00FA1574" w:rsidRPr="00FA1574" w:rsidRDefault="00FA1574" w:rsidP="00FA1574">
      <w:pPr>
        <w:rPr>
          <w:rFonts w:ascii="Arial" w:hAnsi="Arial" w:cs="Arial"/>
          <w:color w:val="auto"/>
          <w:kern w:val="0"/>
          <w:sz w:val="20"/>
          <w:szCs w:val="20"/>
          <w:lang w:eastAsia="en-GB"/>
          <w14:ligatures w14:val="none"/>
        </w:rPr>
      </w:pPr>
      <w:r w:rsidRPr="00FA1574">
        <w:rPr>
          <w:rFonts w:ascii="Arial" w:hAnsi="Arial" w:cs="Arial"/>
          <w:color w:val="auto"/>
          <w:kern w:val="0"/>
          <w:sz w:val="20"/>
          <w:szCs w:val="20"/>
          <w:lang w:eastAsia="en-GB"/>
          <w14:ligatures w14:val="none"/>
        </w:rPr>
        <w:t>Resourcing &amp; finances comments were largely relating to a perception that NFRS is under-resourced/funded and requires additional finances to invest in the service. We have limited levers to pull in this area, but this is perhaps reflected in the support for charging for false alarms and a £5 council tax increase identified in the Consultation Survey, outlined earlier in this report.</w:t>
      </w:r>
    </w:p>
    <w:p w14:paraId="46C985D0" w14:textId="77777777" w:rsidR="00FA1574" w:rsidRPr="00FA1574" w:rsidRDefault="00FA1574" w:rsidP="00FA1574">
      <w:pPr>
        <w:rPr>
          <w:rFonts w:ascii="Arial" w:hAnsi="Arial" w:cs="Arial"/>
          <w:color w:val="auto"/>
          <w:kern w:val="0"/>
          <w:sz w:val="20"/>
          <w:szCs w:val="20"/>
          <w:lang w:eastAsia="en-GB"/>
          <w14:ligatures w14:val="none"/>
        </w:rPr>
      </w:pPr>
    </w:p>
    <w:p w14:paraId="3C1F45C5" w14:textId="77777777" w:rsidR="00FA1574" w:rsidRPr="00FA1574" w:rsidRDefault="00FA1574" w:rsidP="00FA1574">
      <w:pPr>
        <w:rPr>
          <w:rFonts w:ascii="Arial" w:hAnsi="Arial" w:cs="Arial"/>
          <w:color w:val="auto"/>
          <w:kern w:val="0"/>
          <w:sz w:val="20"/>
          <w:szCs w:val="20"/>
          <w:lang w:eastAsia="en-GB"/>
          <w14:ligatures w14:val="none"/>
        </w:rPr>
      </w:pPr>
      <w:r w:rsidRPr="00FA1574">
        <w:rPr>
          <w:rFonts w:ascii="Arial" w:hAnsi="Arial" w:cs="Arial"/>
          <w:color w:val="auto"/>
          <w:kern w:val="0"/>
          <w:sz w:val="20"/>
          <w:szCs w:val="20"/>
          <w:lang w:eastAsia="en-GB"/>
          <w14:ligatures w14:val="none"/>
        </w:rPr>
        <w:t>Staff wellbeing is a clear priority in Strategic Goal 5.</w:t>
      </w:r>
    </w:p>
    <w:p w14:paraId="16C45BCE" w14:textId="77777777" w:rsidR="00FA1574" w:rsidRPr="00FA1574" w:rsidRDefault="00FA1574" w:rsidP="00FA1574">
      <w:pPr>
        <w:rPr>
          <w:rFonts w:ascii="Arial" w:hAnsi="Arial" w:cs="Arial"/>
          <w:color w:val="auto"/>
          <w:kern w:val="0"/>
          <w:sz w:val="20"/>
          <w:szCs w:val="20"/>
          <w:lang w:eastAsia="en-GB"/>
          <w14:ligatures w14:val="none"/>
        </w:rPr>
      </w:pPr>
    </w:p>
    <w:p w14:paraId="06029B06" w14:textId="77777777" w:rsidR="00FA1574" w:rsidRPr="00FA1574" w:rsidRDefault="00FA1574" w:rsidP="00FA1574">
      <w:pPr>
        <w:rPr>
          <w:rFonts w:ascii="Arial" w:hAnsi="Arial" w:cs="Arial"/>
          <w:color w:val="auto"/>
          <w:kern w:val="0"/>
          <w:sz w:val="20"/>
          <w:szCs w:val="20"/>
          <w:lang w:eastAsia="en-GB"/>
          <w14:ligatures w14:val="none"/>
        </w:rPr>
      </w:pPr>
      <w:r w:rsidRPr="00FA1574">
        <w:rPr>
          <w:rFonts w:ascii="Arial" w:hAnsi="Arial" w:cs="Arial"/>
          <w:color w:val="auto"/>
          <w:kern w:val="0"/>
          <w:sz w:val="20"/>
          <w:szCs w:val="20"/>
          <w:lang w:eastAsia="en-GB"/>
          <w14:ligatures w14:val="none"/>
        </w:rPr>
        <w:t>Use of digital and data comments relate to use of analytics to identify high-risk areas. This is already referenced in the plan via the further development of the RBIP and the development of a risk-based prevention programme (the NTU CEAC project), however some comments also were made regarding investing in AI.</w:t>
      </w:r>
    </w:p>
    <w:p w14:paraId="2D01D699" w14:textId="77777777" w:rsidR="00FA1574" w:rsidRPr="00FA1574" w:rsidRDefault="00FA1574" w:rsidP="00FA1574">
      <w:pPr>
        <w:rPr>
          <w:rFonts w:ascii="Arial" w:hAnsi="Arial" w:cs="Arial"/>
          <w:color w:val="auto"/>
          <w:kern w:val="0"/>
          <w:sz w:val="44"/>
          <w:szCs w:val="44"/>
          <w:lang w:eastAsia="en-GB"/>
          <w14:ligatures w14:val="none"/>
        </w:rPr>
      </w:pPr>
    </w:p>
    <w:p w14:paraId="3A9285DF" w14:textId="77777777" w:rsidR="00FA1574" w:rsidRPr="00FA1574" w:rsidRDefault="00FA1574" w:rsidP="00FA1574">
      <w:pPr>
        <w:rPr>
          <w:rFonts w:ascii="Arial" w:hAnsi="Arial" w:cs="Arial"/>
          <w:color w:val="auto"/>
          <w:kern w:val="0"/>
          <w:sz w:val="44"/>
          <w:szCs w:val="44"/>
          <w:lang w:eastAsia="en-GB"/>
          <w14:ligatures w14:val="none"/>
        </w:rPr>
      </w:pPr>
    </w:p>
    <w:p w14:paraId="22269122" w14:textId="77777777" w:rsidR="00FA1574" w:rsidRPr="00FA1574" w:rsidRDefault="00FA1574" w:rsidP="00FA1574">
      <w:pPr>
        <w:rPr>
          <w:rFonts w:ascii="Arial" w:hAnsi="Arial" w:cs="Arial"/>
          <w:color w:val="auto"/>
          <w:kern w:val="0"/>
          <w:lang w:eastAsia="en-GB"/>
          <w14:ligatures w14:val="none"/>
        </w:rPr>
      </w:pPr>
    </w:p>
    <w:p w14:paraId="3C9A8604" w14:textId="77777777" w:rsidR="00FA1574" w:rsidRPr="00FA1574" w:rsidRDefault="00FA1574" w:rsidP="00FA1574">
      <w:pPr>
        <w:numPr>
          <w:ilvl w:val="0"/>
          <w:numId w:val="24"/>
        </w:numPr>
        <w:spacing w:after="160" w:line="259" w:lineRule="auto"/>
        <w:rPr>
          <w:rFonts w:ascii="Arial" w:hAnsi="Arial" w:cs="Arial"/>
          <w:b/>
          <w:bCs/>
          <w:color w:val="auto"/>
          <w:kern w:val="0"/>
          <w:sz w:val="28"/>
          <w:szCs w:val="28"/>
          <w:lang w:eastAsia="en-GB"/>
          <w14:ligatures w14:val="none"/>
        </w:rPr>
      </w:pPr>
      <w:r w:rsidRPr="00FA1574">
        <w:rPr>
          <w:rFonts w:ascii="Arial" w:hAnsi="Arial" w:cs="Arial"/>
          <w:b/>
          <w:bCs/>
          <w:color w:val="auto"/>
          <w:kern w:val="0"/>
          <w:sz w:val="28"/>
          <w:szCs w:val="28"/>
          <w:lang w:eastAsia="en-GB"/>
          <w14:ligatures w14:val="none"/>
        </w:rPr>
        <w:t>Sustainability</w:t>
      </w:r>
    </w:p>
    <w:p w14:paraId="0F1417EE" w14:textId="77777777" w:rsidR="00FA1574" w:rsidRPr="00FA1574" w:rsidRDefault="00FA1574" w:rsidP="00FA1574">
      <w:pPr>
        <w:ind w:left="720"/>
        <w:rPr>
          <w:rFonts w:ascii="Arial" w:hAnsi="Arial" w:cs="Arial"/>
          <w:b/>
          <w:bCs/>
          <w:color w:val="auto"/>
          <w:kern w:val="0"/>
          <w:sz w:val="28"/>
          <w:szCs w:val="28"/>
          <w:lang w:eastAsia="en-GB"/>
          <w14:ligatures w14:val="none"/>
        </w:rPr>
      </w:pPr>
    </w:p>
    <w:p w14:paraId="10E6BC16" w14:textId="77777777" w:rsidR="00FA1574" w:rsidRPr="00FA1574" w:rsidRDefault="00FA1574" w:rsidP="00FA1574">
      <w:pPr>
        <w:rPr>
          <w:rFonts w:ascii="Arial" w:hAnsi="Arial" w:cs="Arial"/>
          <w:b/>
          <w:bCs/>
          <w:color w:val="auto"/>
          <w:kern w:val="0"/>
          <w:sz w:val="22"/>
          <w:szCs w:val="22"/>
          <w:lang w:eastAsia="en-GB"/>
          <w14:ligatures w14:val="none"/>
        </w:rPr>
      </w:pPr>
      <w:r w:rsidRPr="00FA1574">
        <w:rPr>
          <w:rFonts w:ascii="Arial" w:hAnsi="Arial" w:cs="Arial"/>
          <w:b/>
          <w:bCs/>
          <w:color w:val="auto"/>
          <w:kern w:val="0"/>
          <w:sz w:val="22"/>
          <w:szCs w:val="22"/>
          <w:lang w:eastAsia="en-GB"/>
          <w14:ligatures w14:val="none"/>
        </w:rPr>
        <w:t>Focus groups were asked, based on everything they have heard in the workshops and their understanding of the three-year plan, how reasonable they feel a £5 increase in council tax per year would be.</w:t>
      </w:r>
    </w:p>
    <w:p w14:paraId="7ECA5B6D" w14:textId="77777777" w:rsidR="00FA1574" w:rsidRPr="00FA1574" w:rsidRDefault="00FA1574" w:rsidP="00FA1574">
      <w:pPr>
        <w:rPr>
          <w:rFonts w:ascii="Arial" w:hAnsi="Arial" w:cs="Arial"/>
          <w:color w:val="auto"/>
          <w:kern w:val="0"/>
          <w:sz w:val="22"/>
          <w:szCs w:val="22"/>
          <w:lang w:eastAsia="en-GB"/>
          <w14:ligatures w14:val="none"/>
        </w:rPr>
      </w:pPr>
    </w:p>
    <w:p w14:paraId="342250B8" w14:textId="77777777" w:rsidR="00FA1574" w:rsidRPr="00FA1574" w:rsidRDefault="00FA1574" w:rsidP="00FA1574">
      <w:pPr>
        <w:rPr>
          <w:rFonts w:ascii="Arial" w:hAnsi="Arial" w:cs="Arial"/>
          <w:b/>
          <w:bCs/>
          <w:color w:val="auto"/>
          <w:kern w:val="0"/>
          <w:sz w:val="22"/>
          <w:szCs w:val="22"/>
          <w:lang w:eastAsia="en-GB"/>
          <w14:ligatures w14:val="none"/>
        </w:rPr>
      </w:pPr>
      <w:r w:rsidRPr="00FA1574">
        <w:rPr>
          <w:rFonts w:ascii="Arial" w:hAnsi="Arial" w:cs="Arial"/>
          <w:b/>
          <w:bCs/>
          <w:color w:val="auto"/>
          <w:kern w:val="0"/>
          <w:sz w:val="22"/>
          <w:szCs w:val="22"/>
          <w:lang w:eastAsia="en-GB"/>
          <w14:ligatures w14:val="none"/>
        </w:rPr>
        <w:t>83% stated that they think it would be reasonable or very reasonable for council tax to increase to support the funding of the Fire Service.</w:t>
      </w:r>
    </w:p>
    <w:p w14:paraId="237F80E1" w14:textId="77777777" w:rsidR="00FA1574" w:rsidRPr="00FA1574" w:rsidRDefault="00FA1574" w:rsidP="00FA1574">
      <w:pPr>
        <w:rPr>
          <w:rFonts w:ascii="Arial" w:hAnsi="Arial" w:cs="Arial"/>
          <w:b/>
          <w:bCs/>
          <w:color w:val="auto"/>
          <w:kern w:val="0"/>
          <w:sz w:val="22"/>
          <w:szCs w:val="22"/>
          <w:lang w:eastAsia="en-GB"/>
          <w14:ligatures w14:val="none"/>
        </w:rPr>
      </w:pPr>
    </w:p>
    <w:p w14:paraId="6D801000" w14:textId="77777777" w:rsidR="00FA1574" w:rsidRPr="00FA1574" w:rsidRDefault="00FA1574" w:rsidP="00FA1574">
      <w:pPr>
        <w:rPr>
          <w:rFonts w:ascii="Arial" w:hAnsi="Arial" w:cs="Arial"/>
          <w:color w:val="auto"/>
          <w:kern w:val="0"/>
          <w:sz w:val="20"/>
          <w:szCs w:val="20"/>
          <w:lang w:eastAsia="en-GB"/>
          <w14:ligatures w14:val="none"/>
        </w:rPr>
      </w:pPr>
      <w:r w:rsidRPr="00FA1574">
        <w:rPr>
          <w:rFonts w:ascii="Arial" w:hAnsi="Arial" w:cs="Arial"/>
          <w:color w:val="auto"/>
          <w:kern w:val="0"/>
          <w:sz w:val="20"/>
          <w:szCs w:val="20"/>
          <w:lang w:eastAsia="en-GB"/>
          <w14:ligatures w14:val="none"/>
        </w:rPr>
        <w:t>14% stated that they felt it was unreasonable or very unreasonable, with 3% unsure.</w:t>
      </w:r>
    </w:p>
    <w:p w14:paraId="64F2CF27" w14:textId="77777777" w:rsidR="00FA1574" w:rsidRPr="00FA1574" w:rsidRDefault="00FA1574" w:rsidP="00FA1574">
      <w:pPr>
        <w:rPr>
          <w:rFonts w:ascii="Arial" w:hAnsi="Arial" w:cs="Arial"/>
          <w:color w:val="auto"/>
          <w:kern w:val="0"/>
          <w:sz w:val="20"/>
          <w:szCs w:val="20"/>
          <w:lang w:eastAsia="en-GB"/>
          <w14:ligatures w14:val="none"/>
        </w:rPr>
      </w:pPr>
    </w:p>
    <w:p w14:paraId="5201EE72" w14:textId="77777777" w:rsidR="00FA1574" w:rsidRPr="00FA1574" w:rsidRDefault="00FA1574" w:rsidP="00FA1574">
      <w:pPr>
        <w:rPr>
          <w:rFonts w:ascii="Arial" w:hAnsi="Arial" w:cs="Arial"/>
          <w:color w:val="auto"/>
          <w:kern w:val="0"/>
          <w:sz w:val="20"/>
          <w:szCs w:val="20"/>
          <w:lang w:eastAsia="en-GB"/>
          <w14:ligatures w14:val="none"/>
        </w:rPr>
      </w:pPr>
      <w:r w:rsidRPr="00FA1574">
        <w:rPr>
          <w:rFonts w:ascii="Arial" w:hAnsi="Arial" w:cs="Arial"/>
          <w:color w:val="auto"/>
          <w:kern w:val="0"/>
          <w:sz w:val="20"/>
          <w:szCs w:val="20"/>
          <w:lang w:eastAsia="en-GB"/>
          <w14:ligatures w14:val="none"/>
        </w:rPr>
        <w:t xml:space="preserve">Generally, the comments made were similar and clearly supportive. However, there were some concerns raised about affordability for some members of the community, and the requirement for any additional funding to be well managed and targeted at the priorities discussed elsewhere in this report. </w:t>
      </w:r>
    </w:p>
    <w:p w14:paraId="2F257F1B" w14:textId="77777777" w:rsidR="00FA1574" w:rsidRPr="00FA1574" w:rsidRDefault="00FA1574" w:rsidP="00FA1574">
      <w:pPr>
        <w:rPr>
          <w:rFonts w:ascii="Arial" w:hAnsi="Arial" w:cs="Arial"/>
          <w:i/>
          <w:iCs/>
          <w:color w:val="auto"/>
          <w:kern w:val="0"/>
          <w:sz w:val="20"/>
          <w:szCs w:val="20"/>
          <w:lang w:eastAsia="en-GB"/>
          <w14:ligatures w14:val="none"/>
        </w:rPr>
      </w:pPr>
    </w:p>
    <w:p w14:paraId="4C89F3AB" w14:textId="77777777" w:rsidR="00FA1574" w:rsidRPr="00FA1574" w:rsidRDefault="00FA1574" w:rsidP="00FA1574">
      <w:pPr>
        <w:rPr>
          <w:rFonts w:ascii="Arial" w:hAnsi="Arial" w:cs="Arial"/>
          <w:i/>
          <w:iCs/>
          <w:color w:val="auto"/>
          <w:kern w:val="0"/>
          <w:sz w:val="20"/>
          <w:szCs w:val="20"/>
          <w:lang w:eastAsia="en-GB"/>
          <w14:ligatures w14:val="none"/>
        </w:rPr>
      </w:pPr>
      <w:r w:rsidRPr="00FA1574">
        <w:rPr>
          <w:rFonts w:ascii="Arial" w:hAnsi="Arial" w:cs="Arial"/>
          <w:i/>
          <w:iCs/>
          <w:color w:val="auto"/>
          <w:kern w:val="0"/>
          <w:sz w:val="20"/>
          <w:szCs w:val="20"/>
          <w:lang w:eastAsia="en-GB"/>
          <w14:ligatures w14:val="none"/>
        </w:rPr>
        <w:t>“I believe that a £5 increase in council tax per year is a reasonable contribution if it directly supports essential improvements, such as renewing vehicles and equipment, building new stations, and enhancing environmental sustainability. These initiatives are necessary for maintaining and improving the service’s capability to respond efficiently and keep the community safe. However, it’s important that the public is clearly informed about how the funds will be used, ensuring transparency and accountability. If people can see the tangible benefits, I think they would be more likely to support the increase.”</w:t>
      </w:r>
    </w:p>
    <w:p w14:paraId="6355BE30" w14:textId="77777777" w:rsidR="00FA1574" w:rsidRPr="00FA1574" w:rsidRDefault="00FA1574" w:rsidP="00FA1574">
      <w:pPr>
        <w:ind w:left="720"/>
        <w:rPr>
          <w:rFonts w:ascii="Arial" w:hAnsi="Arial" w:cs="Arial"/>
          <w:color w:val="auto"/>
          <w:kern w:val="0"/>
          <w:sz w:val="20"/>
          <w:szCs w:val="20"/>
          <w:lang w:eastAsia="en-GB"/>
          <w14:ligatures w14:val="none"/>
        </w:rPr>
      </w:pPr>
    </w:p>
    <w:p w14:paraId="6B6E13D2" w14:textId="77777777" w:rsidR="00FA1574" w:rsidRPr="00FA1574" w:rsidRDefault="00FA1574" w:rsidP="00FA1574">
      <w:pPr>
        <w:numPr>
          <w:ilvl w:val="0"/>
          <w:numId w:val="38"/>
        </w:numPr>
        <w:spacing w:after="160" w:line="259" w:lineRule="auto"/>
        <w:rPr>
          <w:rFonts w:ascii="Arial" w:hAnsi="Arial" w:cs="Arial"/>
          <w:color w:val="auto"/>
          <w:kern w:val="0"/>
          <w:sz w:val="20"/>
          <w:szCs w:val="20"/>
          <w:lang w:eastAsia="en-GB"/>
          <w14:ligatures w14:val="none"/>
        </w:rPr>
      </w:pPr>
      <w:r w:rsidRPr="00FA1574">
        <w:rPr>
          <w:rFonts w:ascii="Arial" w:hAnsi="Arial" w:cs="Arial"/>
          <w:color w:val="auto"/>
          <w:kern w:val="0"/>
          <w:sz w:val="20"/>
          <w:szCs w:val="20"/>
          <w:lang w:eastAsia="en-GB"/>
          <w14:ligatures w14:val="none"/>
        </w:rPr>
        <w:t>General Population Focus Group Attendee</w:t>
      </w:r>
    </w:p>
    <w:p w14:paraId="78FB5E11" w14:textId="77777777" w:rsidR="00FA1574" w:rsidRPr="00FA1574" w:rsidRDefault="00FA1574" w:rsidP="00FA1574">
      <w:pPr>
        <w:rPr>
          <w:rFonts w:ascii="Arial" w:hAnsi="Arial" w:cs="Arial"/>
          <w:color w:val="auto"/>
          <w:kern w:val="0"/>
          <w:sz w:val="22"/>
          <w:szCs w:val="22"/>
          <w:lang w:eastAsia="en-GB"/>
          <w14:ligatures w14:val="none"/>
        </w:rPr>
      </w:pPr>
    </w:p>
    <w:p w14:paraId="5E5498E7" w14:textId="77777777" w:rsidR="00FA1574" w:rsidRPr="00FA1574" w:rsidRDefault="00FA1574" w:rsidP="00FA1574">
      <w:pPr>
        <w:rPr>
          <w:rFonts w:ascii="Arial" w:hAnsi="Arial" w:cs="Arial"/>
          <w:color w:val="auto"/>
          <w:kern w:val="0"/>
          <w:sz w:val="22"/>
          <w:szCs w:val="22"/>
          <w:lang w:eastAsia="en-GB"/>
          <w14:ligatures w14:val="none"/>
        </w:rPr>
      </w:pPr>
    </w:p>
    <w:p w14:paraId="151C2F36" w14:textId="6685AF7B" w:rsidR="00FA1574" w:rsidRPr="00FA1574" w:rsidRDefault="00FA1574" w:rsidP="00FA1574">
      <w:pPr>
        <w:spacing w:after="160" w:line="259" w:lineRule="auto"/>
        <w:rPr>
          <w:rFonts w:ascii="Arial" w:hAnsi="Arial" w:cs="Arial"/>
          <w:b/>
          <w:bCs/>
          <w:color w:val="auto"/>
          <w:kern w:val="0"/>
          <w:sz w:val="52"/>
          <w:szCs w:val="52"/>
          <w14:ligatures w14:val="none"/>
        </w:rPr>
      </w:pPr>
      <w:r w:rsidRPr="00FA1574">
        <w:rPr>
          <w:rFonts w:ascii="Arial" w:hAnsi="Arial" w:cs="Arial"/>
          <w:b/>
          <w:bCs/>
          <w:color w:val="auto"/>
          <w:kern w:val="0"/>
          <w:sz w:val="52"/>
          <w:szCs w:val="52"/>
          <w14:ligatures w14:val="none"/>
        </w:rPr>
        <w:lastRenderedPageBreak/>
        <w:t xml:space="preserve">PART </w:t>
      </w:r>
      <w:r w:rsidR="00A4164E">
        <w:rPr>
          <w:rFonts w:ascii="Arial" w:hAnsi="Arial" w:cs="Arial"/>
          <w:b/>
          <w:bCs/>
          <w:color w:val="auto"/>
          <w:kern w:val="0"/>
          <w:sz w:val="52"/>
          <w:szCs w:val="52"/>
          <w14:ligatures w14:val="none"/>
        </w:rPr>
        <w:t>FIVE:</w:t>
      </w:r>
    </w:p>
    <w:p w14:paraId="754BD819" w14:textId="77777777" w:rsidR="00FA1574" w:rsidRPr="00FA1574" w:rsidRDefault="00FA1574" w:rsidP="00FA1574">
      <w:pPr>
        <w:spacing w:after="160" w:line="259" w:lineRule="auto"/>
        <w:rPr>
          <w:rFonts w:ascii="Arial" w:hAnsi="Arial" w:cs="Arial"/>
          <w:b/>
          <w:bCs/>
          <w:color w:val="auto"/>
          <w:kern w:val="0"/>
          <w:sz w:val="52"/>
          <w:szCs w:val="52"/>
          <w14:ligatures w14:val="none"/>
        </w:rPr>
      </w:pPr>
      <w:r w:rsidRPr="00FA1574">
        <w:rPr>
          <w:rFonts w:ascii="Arial" w:hAnsi="Arial" w:cs="Arial"/>
          <w:b/>
          <w:bCs/>
          <w:color w:val="auto"/>
          <w:kern w:val="0"/>
          <w:sz w:val="52"/>
          <w:szCs w:val="52"/>
          <w14:ligatures w14:val="none"/>
        </w:rPr>
        <w:t>TECHNICAL PEER REVIEW FEEDBACK</w:t>
      </w:r>
    </w:p>
    <w:p w14:paraId="79AE1ABC" w14:textId="77777777" w:rsidR="00FA1574" w:rsidRPr="00FA1574" w:rsidRDefault="00FA1574" w:rsidP="00FA1574">
      <w:pPr>
        <w:spacing w:after="160" w:line="259" w:lineRule="auto"/>
        <w:rPr>
          <w:rFonts w:ascii="Arial" w:hAnsi="Arial" w:cs="Arial"/>
          <w:b/>
          <w:bCs/>
          <w:color w:val="auto"/>
          <w:kern w:val="0"/>
          <w14:ligatures w14:val="none"/>
        </w:rPr>
      </w:pPr>
    </w:p>
    <w:p w14:paraId="27448E9E"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feedback provided by critical friends from other services highlights significant strengths in the CRMP, while offering valuable insights for improvement. The assessments reflect the robust and credible nature of the CRMP, while also identifying areas where refinements could enhance its impact and accessibility.</w:t>
      </w:r>
    </w:p>
    <w:p w14:paraId="0C2001AB"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Reviewers commended the CRMP for its well-considered structure, effective visual design, and the ability to present complex information in an accessible manner. The clear articulation of challenges, priorities, and risks faced by the county is noted as a major strength, offering readers understanding of the local context which sets NFRS’s strategic direction. The inclusion of our achievements was praised for instilling confidence in the service’s competence and credibility, while it was felt that the use of infographics, QR codes, and succinct content ensures the document is engaging and easy to navigate.</w:t>
      </w:r>
    </w:p>
    <w:p w14:paraId="42ECAE6D"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The decision to adopt a three-year timespan for the CRMP is well-supported. This timeframe strikes an effective balance between futureproofing and maintaining agility in response to year-by-year funding challenges. It is seen as a pragmatic approach that aligns well with the legislative framework and the Fire Standards Board’s requirements. </w:t>
      </w:r>
    </w:p>
    <w:p w14:paraId="0CEC5302"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Notably, the inclusion of a "Plan on a Page" format was celebrated as a </w:t>
      </w:r>
      <w:r w:rsidRPr="00FA1574">
        <w:rPr>
          <w:rFonts w:ascii="Arial" w:hAnsi="Arial" w:cs="Arial"/>
          <w:i/>
          <w:iCs/>
          <w:color w:val="auto"/>
          <w:kern w:val="0"/>
          <w:sz w:val="20"/>
          <w:szCs w:val="20"/>
          <w14:ligatures w14:val="none"/>
        </w:rPr>
        <w:t>sector-leading practice</w:t>
      </w:r>
      <w:r w:rsidRPr="00FA1574">
        <w:rPr>
          <w:rFonts w:ascii="Arial" w:hAnsi="Arial" w:cs="Arial"/>
          <w:color w:val="auto"/>
          <w:kern w:val="0"/>
          <w:sz w:val="20"/>
          <w:szCs w:val="20"/>
          <w14:ligatures w14:val="none"/>
        </w:rPr>
        <w:t>, providing tangible and measurable goals that resonate with public expectations and regulatory standards.</w:t>
      </w:r>
    </w:p>
    <w:p w14:paraId="61392B2C"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Reviewers did suggest opportunities for refinement to further elevate the CRMP’s effectiveness; the need for a more prominent presentation of financial information, particularly regarding future resource allocation to mitigate risks would be beneficial. This addition would ensure clarity on how resources are aligned to identified risks. Similarly, they suggested enhancing the Community Risk Assessment by categorising risks as current, emerging, or future to reflect the dynamic nature of the three-year plan.</w:t>
      </w:r>
    </w:p>
    <w:p w14:paraId="693A20B5"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Additional suggestions included emphasising cultural improvement initiatives like the development of a cultural dashboard. The governance section could also benefit from a clearer articulation of how good governance ensures accountability, robust decision-making, and public interest alignment, potentially referencing the International Framework for Good Governance in the Public Sector.</w:t>
      </w:r>
    </w:p>
    <w:p w14:paraId="7605A4E7"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Reviewers endorsed the strategic goals, though they suggested providing succinct summaries or “headlines” to clarify how each goal reduces risk and aligns with the overall CRMP priorities. For example, linking prevention efforts directly to reduced fire risk among vulnerable populations would underscore the tangible benefits of these initiatives.</w:t>
      </w:r>
    </w:p>
    <w:p w14:paraId="51943A5D"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In conclusion, the feedback from these critical friend partners underscores the CRMP’s status as a strong and credible document, reflecting sector-wide best practice. While some refinements were suggested, it is the view of sector partners that the CRMP is already positioned as an exemplary plan that effectively communicates NFRS’s strategic vision and commitment to serving the community.</w:t>
      </w:r>
    </w:p>
    <w:p w14:paraId="7570F13E" w14:textId="6BBE0127" w:rsidR="00FA1574" w:rsidRPr="00FA1574" w:rsidRDefault="00FA1574" w:rsidP="00FA1574">
      <w:pPr>
        <w:spacing w:after="160" w:line="259" w:lineRule="auto"/>
        <w:rPr>
          <w:rFonts w:ascii="Arial" w:hAnsi="Arial" w:cs="Arial"/>
          <w:b/>
          <w:bCs/>
          <w:color w:val="auto"/>
          <w:kern w:val="0"/>
          <w:sz w:val="52"/>
          <w:szCs w:val="52"/>
          <w14:ligatures w14:val="none"/>
        </w:rPr>
      </w:pPr>
      <w:r w:rsidRPr="00FA1574">
        <w:rPr>
          <w:rFonts w:ascii="Arial" w:hAnsi="Arial" w:cs="Arial"/>
          <w:b/>
          <w:bCs/>
          <w:color w:val="auto"/>
          <w:kern w:val="0"/>
          <w:sz w:val="52"/>
          <w:szCs w:val="52"/>
          <w14:ligatures w14:val="none"/>
        </w:rPr>
        <w:lastRenderedPageBreak/>
        <w:t xml:space="preserve">PART </w:t>
      </w:r>
      <w:r w:rsidR="00A4164E">
        <w:rPr>
          <w:rFonts w:ascii="Arial" w:hAnsi="Arial" w:cs="Arial"/>
          <w:b/>
          <w:bCs/>
          <w:color w:val="auto"/>
          <w:kern w:val="0"/>
          <w:sz w:val="52"/>
          <w:szCs w:val="52"/>
          <w14:ligatures w14:val="none"/>
        </w:rPr>
        <w:t>SIX:</w:t>
      </w:r>
    </w:p>
    <w:p w14:paraId="08E3C885" w14:textId="77777777" w:rsidR="00FA1574" w:rsidRPr="00FA1574" w:rsidRDefault="00FA1574" w:rsidP="00FA1574">
      <w:pPr>
        <w:spacing w:after="160" w:line="259" w:lineRule="auto"/>
        <w:rPr>
          <w:rFonts w:ascii="Arial" w:hAnsi="Arial" w:cs="Arial"/>
          <w:b/>
          <w:bCs/>
          <w:color w:val="auto"/>
          <w:kern w:val="0"/>
          <w:sz w:val="52"/>
          <w:szCs w:val="52"/>
          <w14:ligatures w14:val="none"/>
        </w:rPr>
      </w:pPr>
      <w:r w:rsidRPr="00FA1574">
        <w:rPr>
          <w:rFonts w:ascii="Arial" w:hAnsi="Arial" w:cs="Arial"/>
          <w:b/>
          <w:bCs/>
          <w:color w:val="auto"/>
          <w:kern w:val="0"/>
          <w:sz w:val="52"/>
          <w:szCs w:val="52"/>
          <w14:ligatures w14:val="none"/>
        </w:rPr>
        <w:t>RECOMMENDATIONS</w:t>
      </w:r>
    </w:p>
    <w:p w14:paraId="2590467F" w14:textId="77777777" w:rsidR="00FA1574" w:rsidRPr="00FA1574" w:rsidRDefault="00FA1574" w:rsidP="00FA1574">
      <w:pPr>
        <w:spacing w:after="160" w:line="259" w:lineRule="auto"/>
        <w:rPr>
          <w:rFonts w:ascii="Arial" w:hAnsi="Arial" w:cs="Arial"/>
          <w:color w:val="auto"/>
          <w:kern w:val="0"/>
          <w:sz w:val="22"/>
          <w:szCs w:val="22"/>
          <w14:ligatures w14:val="none"/>
        </w:rPr>
      </w:pPr>
    </w:p>
    <w:p w14:paraId="2AED481C"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The consultation process has yielded a comprehensive understanding of public, partner, and staff perceptions of the CRMP, its strategic priorities, risk assessment and plans. </w:t>
      </w:r>
    </w:p>
    <w:p w14:paraId="6BF42912" w14:textId="77777777" w:rsidR="00FA1574" w:rsidRPr="00FA1574" w:rsidRDefault="00FA1574" w:rsidP="00FA1574">
      <w:pPr>
        <w:rPr>
          <w:rFonts w:ascii="Arial" w:hAnsi="Arial" w:cs="Arial"/>
          <w:color w:val="auto"/>
          <w:kern w:val="0"/>
          <w:sz w:val="20"/>
          <w:szCs w:val="20"/>
          <w14:ligatures w14:val="none"/>
        </w:rPr>
      </w:pPr>
    </w:p>
    <w:p w14:paraId="10D87BA5"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The findings consistently demonstrate high levels of agreement and confidence in NFRS’s approach and resource allocation. </w:t>
      </w:r>
    </w:p>
    <w:p w14:paraId="5C0C3631" w14:textId="77777777" w:rsidR="00FA1574" w:rsidRPr="00FA1574" w:rsidRDefault="00FA1574" w:rsidP="00FA1574">
      <w:pPr>
        <w:rPr>
          <w:rFonts w:ascii="Arial" w:hAnsi="Arial" w:cs="Arial"/>
          <w:color w:val="auto"/>
          <w:kern w:val="0"/>
          <w:sz w:val="20"/>
          <w:szCs w:val="20"/>
          <w14:ligatures w14:val="none"/>
        </w:rPr>
      </w:pPr>
    </w:p>
    <w:p w14:paraId="5B87DA0E"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These are summarised below:</w:t>
      </w:r>
    </w:p>
    <w:p w14:paraId="05C52647" w14:textId="77777777" w:rsidR="00FA1574" w:rsidRPr="00FA1574" w:rsidRDefault="00FA1574" w:rsidP="00FA1574">
      <w:pPr>
        <w:spacing w:after="160" w:line="259" w:lineRule="auto"/>
        <w:rPr>
          <w:rFonts w:ascii="Arial" w:hAnsi="Arial" w:cs="Arial"/>
          <w:b/>
          <w:bCs/>
          <w:color w:val="auto"/>
          <w:kern w:val="0"/>
          <w:sz w:val="32"/>
          <w:szCs w:val="32"/>
          <w14:ligatures w14:val="none"/>
        </w:rPr>
      </w:pPr>
    </w:p>
    <w:p w14:paraId="775A2770" w14:textId="77777777" w:rsidR="00FA1574" w:rsidRPr="00FA1574" w:rsidRDefault="00FA1574" w:rsidP="00FA1574">
      <w:pPr>
        <w:spacing w:after="160" w:line="259" w:lineRule="auto"/>
        <w:rPr>
          <w:rFonts w:ascii="Arial" w:hAnsi="Arial" w:cs="Arial"/>
          <w:b/>
          <w:bCs/>
          <w:color w:val="auto"/>
          <w:kern w:val="0"/>
          <w:sz w:val="32"/>
          <w:szCs w:val="32"/>
          <w14:ligatures w14:val="none"/>
        </w:rPr>
      </w:pPr>
      <w:r w:rsidRPr="00FA1574">
        <w:rPr>
          <w:rFonts w:ascii="Arial" w:hAnsi="Arial" w:cs="Arial"/>
          <w:b/>
          <w:bCs/>
          <w:color w:val="auto"/>
          <w:kern w:val="0"/>
          <w:sz w:val="32"/>
          <w:szCs w:val="32"/>
          <w14:ligatures w14:val="none"/>
        </w:rPr>
        <w:t>Strategic Goals</w:t>
      </w:r>
    </w:p>
    <w:p w14:paraId="58A7F5FD" w14:textId="77777777" w:rsidR="00FA1574" w:rsidRPr="00FA1574" w:rsidRDefault="00FA1574" w:rsidP="00FA1574">
      <w:pPr>
        <w:spacing w:after="160" w:line="259" w:lineRule="auto"/>
        <w:rPr>
          <w:rFonts w:ascii="Arial" w:hAnsi="Arial" w:cs="Arial"/>
          <w:b/>
          <w:bCs/>
          <w:color w:val="auto"/>
          <w:kern w:val="0"/>
          <w14:ligatures w14:val="none"/>
        </w:rPr>
      </w:pPr>
      <w:r w:rsidRPr="00FA1574">
        <w:rPr>
          <w:rFonts w:ascii="Arial" w:hAnsi="Arial" w:cs="Arial"/>
          <w:b/>
          <w:bCs/>
          <w:color w:val="auto"/>
          <w:kern w:val="0"/>
          <w14:ligatures w14:val="none"/>
        </w:rPr>
        <w:t>Across the focus groups and survey, there was a strong endorsement of NFRS’s strategic goals.</w:t>
      </w:r>
    </w:p>
    <w:p w14:paraId="3E94BFF4"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Survey data showed strong agreement with the goals, echoed in focus groups where participants appreciated the balance between Prevention, Protection, and Response in combination with strategic goals 4, 5 and 6.</w:t>
      </w:r>
    </w:p>
    <w:p w14:paraId="6B94D3B2"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Peer review feedback was supportive, with the plan on the page section described as “sector leading”. However, they suggested that greater emphasis should be placed on how the strategic goals will reduce risk.</w:t>
      </w:r>
    </w:p>
    <w:p w14:paraId="478A4E9F" w14:textId="77777777" w:rsidR="00FA1574" w:rsidRPr="00FA1574" w:rsidRDefault="00FA1574" w:rsidP="00FA1574">
      <w:pPr>
        <w:spacing w:after="160" w:line="259" w:lineRule="auto"/>
        <w:rPr>
          <w:rFonts w:ascii="Arial" w:hAnsi="Arial" w:cs="Arial"/>
          <w:b/>
          <w:bCs/>
          <w:color w:val="auto"/>
          <w:kern w:val="0"/>
          <w:sz w:val="20"/>
          <w:szCs w:val="20"/>
          <w14:ligatures w14:val="none"/>
        </w:rPr>
      </w:pPr>
      <w:r w:rsidRPr="00FA1574">
        <w:rPr>
          <w:rFonts w:ascii="Arial" w:hAnsi="Arial" w:cs="Arial"/>
          <w:b/>
          <w:bCs/>
          <w:color w:val="auto"/>
          <w:kern w:val="0"/>
          <w:sz w:val="20"/>
          <w:szCs w:val="20"/>
          <w14:ligatures w14:val="none"/>
        </w:rPr>
        <w:t xml:space="preserve">Recommendations: </w:t>
      </w:r>
    </w:p>
    <w:p w14:paraId="1FF70673" w14:textId="77777777" w:rsidR="00FA1574" w:rsidRPr="00FA1574" w:rsidRDefault="00FA1574" w:rsidP="00FA1574">
      <w:pPr>
        <w:numPr>
          <w:ilvl w:val="0"/>
          <w:numId w:val="38"/>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Continue the current path regarding the Strategic Goals. They are well supported.</w:t>
      </w:r>
    </w:p>
    <w:p w14:paraId="62BF37B3" w14:textId="77777777" w:rsidR="00FA1574" w:rsidRPr="00FA1574" w:rsidRDefault="00FA1574" w:rsidP="00FA1574">
      <w:pPr>
        <w:numPr>
          <w:ilvl w:val="0"/>
          <w:numId w:val="38"/>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Maintain clear communication around the goals throughout the life of the plan, highlighting progress in future updates to sustain evident public confidence.</w:t>
      </w:r>
    </w:p>
    <w:p w14:paraId="5CC8CAA2" w14:textId="77777777" w:rsidR="00FA1574" w:rsidRPr="00FA1574" w:rsidRDefault="00FA1574" w:rsidP="00FA1574">
      <w:pPr>
        <w:spacing w:after="160" w:line="259" w:lineRule="auto"/>
        <w:rPr>
          <w:rFonts w:ascii="Arial" w:hAnsi="Arial" w:cs="Arial"/>
          <w:color w:val="auto"/>
          <w:kern w:val="0"/>
          <w14:ligatures w14:val="none"/>
        </w:rPr>
      </w:pPr>
    </w:p>
    <w:p w14:paraId="1E128551" w14:textId="77777777" w:rsidR="00FA1574" w:rsidRPr="00FA1574" w:rsidRDefault="00FA1574" w:rsidP="00FA1574">
      <w:pPr>
        <w:spacing w:after="160" w:line="259" w:lineRule="auto"/>
        <w:rPr>
          <w:rFonts w:ascii="Arial" w:hAnsi="Arial" w:cs="Arial"/>
          <w:b/>
          <w:bCs/>
          <w:color w:val="auto"/>
          <w:kern w:val="0"/>
          <w:sz w:val="32"/>
          <w:szCs w:val="32"/>
          <w14:ligatures w14:val="none"/>
        </w:rPr>
      </w:pPr>
      <w:r w:rsidRPr="00FA1574">
        <w:rPr>
          <w:rFonts w:ascii="Arial" w:hAnsi="Arial" w:cs="Arial"/>
          <w:b/>
          <w:bCs/>
          <w:color w:val="auto"/>
          <w:kern w:val="0"/>
          <w:sz w:val="32"/>
          <w:szCs w:val="32"/>
          <w14:ligatures w14:val="none"/>
        </w:rPr>
        <w:t>Risk Identification</w:t>
      </w:r>
    </w:p>
    <w:p w14:paraId="47912D72" w14:textId="77777777" w:rsidR="00FA1574" w:rsidRPr="00FA1574" w:rsidRDefault="00FA1574" w:rsidP="00FA1574">
      <w:pPr>
        <w:spacing w:after="160" w:line="259" w:lineRule="auto"/>
        <w:rPr>
          <w:rFonts w:ascii="Arial" w:hAnsi="Arial" w:cs="Arial"/>
          <w:b/>
          <w:bCs/>
          <w:color w:val="auto"/>
          <w:kern w:val="0"/>
          <w14:ligatures w14:val="none"/>
        </w:rPr>
      </w:pPr>
      <w:r w:rsidRPr="00FA1574">
        <w:rPr>
          <w:rFonts w:ascii="Arial" w:hAnsi="Arial" w:cs="Arial"/>
          <w:b/>
          <w:bCs/>
          <w:color w:val="auto"/>
          <w:kern w:val="0"/>
          <w14:ligatures w14:val="none"/>
        </w:rPr>
        <w:t>Both the focus groups and survey participants agreed that NFRS have accurately identified and prioritized key risks.</w:t>
      </w:r>
    </w:p>
    <w:p w14:paraId="27895106"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91% of survey respondents agreed or strongly agreed with this statement. Focus group participants valued the detail and proactive nature of risk assessments but suggested continued engagement to adapt to emerging risks.</w:t>
      </w:r>
    </w:p>
    <w:p w14:paraId="59F60827"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Peer review feedback suggested refinements to the presentation of how resources are allocated/aligned to mitigate risks. Similarly, they suggested grading risks and categorising them as current, emerging, or future to reflect the dynamic nature of the three-year plan. </w:t>
      </w:r>
    </w:p>
    <w:p w14:paraId="4EA3AA1E"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b/>
          <w:bCs/>
          <w:color w:val="auto"/>
          <w:kern w:val="0"/>
          <w:sz w:val="20"/>
          <w:szCs w:val="20"/>
          <w14:ligatures w14:val="none"/>
        </w:rPr>
        <w:t>Recommendations:</w:t>
      </w:r>
      <w:r w:rsidRPr="00FA1574">
        <w:rPr>
          <w:rFonts w:ascii="Arial" w:hAnsi="Arial" w:cs="Arial"/>
          <w:color w:val="auto"/>
          <w:kern w:val="0"/>
          <w:sz w:val="20"/>
          <w:szCs w:val="20"/>
          <w14:ligatures w14:val="none"/>
        </w:rPr>
        <w:t xml:space="preserve"> </w:t>
      </w:r>
    </w:p>
    <w:p w14:paraId="77C21497" w14:textId="77777777" w:rsidR="00FA1574" w:rsidRPr="00FA1574" w:rsidRDefault="00FA1574" w:rsidP="00FA1574">
      <w:pPr>
        <w:numPr>
          <w:ilvl w:val="0"/>
          <w:numId w:val="40"/>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Review the Strategic Assessment of Risk with more regularity, ensuring alignment with public and stakeholder expectations.</w:t>
      </w:r>
    </w:p>
    <w:p w14:paraId="6B9CE0EF" w14:textId="77777777" w:rsidR="00FA1574" w:rsidRPr="00FA1574" w:rsidRDefault="00FA1574" w:rsidP="00FA1574">
      <w:pPr>
        <w:spacing w:after="160" w:line="259" w:lineRule="auto"/>
        <w:rPr>
          <w:rFonts w:ascii="Arial" w:hAnsi="Arial" w:cs="Arial"/>
          <w:color w:val="auto"/>
          <w:kern w:val="0"/>
          <w14:ligatures w14:val="none"/>
        </w:rPr>
      </w:pPr>
    </w:p>
    <w:p w14:paraId="7C6E293B" w14:textId="77777777" w:rsidR="00FA1574" w:rsidRPr="00FA1574" w:rsidRDefault="00FA1574" w:rsidP="00FA1574">
      <w:pPr>
        <w:spacing w:after="160" w:line="259" w:lineRule="auto"/>
        <w:rPr>
          <w:rFonts w:ascii="Arial" w:hAnsi="Arial" w:cs="Arial"/>
          <w:b/>
          <w:bCs/>
          <w:color w:val="auto"/>
          <w:kern w:val="0"/>
          <w:sz w:val="32"/>
          <w:szCs w:val="32"/>
          <w14:ligatures w14:val="none"/>
        </w:rPr>
      </w:pPr>
      <w:r w:rsidRPr="00FA1574">
        <w:rPr>
          <w:rFonts w:ascii="Arial" w:hAnsi="Arial" w:cs="Arial"/>
          <w:b/>
          <w:bCs/>
          <w:color w:val="auto"/>
          <w:kern w:val="0"/>
          <w:sz w:val="32"/>
          <w:szCs w:val="32"/>
          <w14:ligatures w14:val="none"/>
        </w:rPr>
        <w:t>Community Safety and Emergency Response</w:t>
      </w:r>
    </w:p>
    <w:p w14:paraId="2930B8BE" w14:textId="77777777" w:rsidR="00FA1574" w:rsidRPr="00FA1574" w:rsidRDefault="00FA1574" w:rsidP="00FA1574">
      <w:pPr>
        <w:spacing w:after="160" w:line="259" w:lineRule="auto"/>
        <w:rPr>
          <w:rFonts w:ascii="Arial" w:hAnsi="Arial" w:cs="Arial"/>
          <w:b/>
          <w:bCs/>
          <w:color w:val="auto"/>
          <w:kern w:val="0"/>
          <w14:ligatures w14:val="none"/>
        </w:rPr>
      </w:pPr>
      <w:r w:rsidRPr="00FA1574">
        <w:rPr>
          <w:rFonts w:ascii="Arial" w:hAnsi="Arial" w:cs="Arial"/>
          <w:b/>
          <w:bCs/>
          <w:color w:val="auto"/>
          <w:kern w:val="0"/>
          <w14:ligatures w14:val="none"/>
        </w:rPr>
        <w:t>High confidence in NFRS’s ability to protect the community was a recurring theme.</w:t>
      </w:r>
    </w:p>
    <w:p w14:paraId="4D2C11B0"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Survey results indicated 91% agreement that plans would keep the community safe, with similar confidence expressed regarding emergency response. Focus group participants particularly value the visibility and preparedness of response teams.</w:t>
      </w:r>
    </w:p>
    <w:p w14:paraId="2EAF5D69" w14:textId="77777777" w:rsidR="00FA1574" w:rsidRPr="00FA1574" w:rsidRDefault="00FA1574" w:rsidP="00FA1574">
      <w:pPr>
        <w:spacing w:after="160" w:line="259" w:lineRule="auto"/>
        <w:rPr>
          <w:rFonts w:ascii="Arial" w:hAnsi="Arial" w:cs="Arial"/>
          <w:b/>
          <w:bCs/>
          <w:color w:val="auto"/>
          <w:kern w:val="0"/>
          <w:sz w:val="20"/>
          <w:szCs w:val="20"/>
          <w14:ligatures w14:val="none"/>
        </w:rPr>
      </w:pPr>
      <w:r w:rsidRPr="00FA1574">
        <w:rPr>
          <w:rFonts w:ascii="Arial" w:hAnsi="Arial" w:cs="Arial"/>
          <w:b/>
          <w:bCs/>
          <w:color w:val="auto"/>
          <w:kern w:val="0"/>
          <w:sz w:val="20"/>
          <w:szCs w:val="20"/>
          <w14:ligatures w14:val="none"/>
        </w:rPr>
        <w:t xml:space="preserve">Recommendations: </w:t>
      </w:r>
    </w:p>
    <w:p w14:paraId="189F6222" w14:textId="77777777" w:rsidR="00FA1574" w:rsidRPr="00FA1574" w:rsidRDefault="00FA1574" w:rsidP="00FA1574">
      <w:pPr>
        <w:numPr>
          <w:ilvl w:val="0"/>
          <w:numId w:val="40"/>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Continue showcasing emergency response capabilities through public engagement activities to reinforce confidence.</w:t>
      </w:r>
    </w:p>
    <w:p w14:paraId="358475CA" w14:textId="77777777" w:rsidR="00FA1574" w:rsidRPr="00FA1574" w:rsidRDefault="00FA1574" w:rsidP="00FA1574">
      <w:pPr>
        <w:numPr>
          <w:ilvl w:val="0"/>
          <w:numId w:val="40"/>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Consider opportunities where technologies can support NFRS in data analysis, forecasting, optimising resource allocation, and improving community engagement.</w:t>
      </w:r>
    </w:p>
    <w:p w14:paraId="35A78C24" w14:textId="77777777" w:rsidR="00FA1574" w:rsidRPr="00FA1574" w:rsidRDefault="00FA1574" w:rsidP="00FA1574">
      <w:pPr>
        <w:spacing w:after="160" w:line="259" w:lineRule="auto"/>
        <w:rPr>
          <w:rFonts w:ascii="Arial" w:hAnsi="Arial" w:cs="Arial"/>
          <w:color w:val="auto"/>
          <w:kern w:val="0"/>
          <w14:ligatures w14:val="none"/>
        </w:rPr>
      </w:pPr>
    </w:p>
    <w:p w14:paraId="77B81F09" w14:textId="77777777" w:rsidR="00FA1574" w:rsidRPr="00FA1574" w:rsidRDefault="00FA1574" w:rsidP="00FA1574">
      <w:pPr>
        <w:spacing w:after="160" w:line="259" w:lineRule="auto"/>
        <w:rPr>
          <w:rFonts w:ascii="Arial" w:hAnsi="Arial" w:cs="Arial"/>
          <w:b/>
          <w:bCs/>
          <w:color w:val="auto"/>
          <w:kern w:val="0"/>
          <w:sz w:val="32"/>
          <w:szCs w:val="32"/>
          <w14:ligatures w14:val="none"/>
        </w:rPr>
      </w:pPr>
      <w:r w:rsidRPr="00FA1574">
        <w:rPr>
          <w:rFonts w:ascii="Arial" w:hAnsi="Arial" w:cs="Arial"/>
          <w:b/>
          <w:bCs/>
          <w:color w:val="auto"/>
          <w:kern w:val="0"/>
          <w:sz w:val="32"/>
          <w:szCs w:val="32"/>
          <w14:ligatures w14:val="none"/>
        </w:rPr>
        <w:t>Accessibility</w:t>
      </w:r>
    </w:p>
    <w:p w14:paraId="6D8B93ED" w14:textId="77777777" w:rsidR="00FA1574" w:rsidRPr="00FA1574" w:rsidRDefault="00FA1574" w:rsidP="00FA1574">
      <w:pPr>
        <w:spacing w:after="160" w:line="259" w:lineRule="auto"/>
        <w:rPr>
          <w:rFonts w:ascii="Arial" w:hAnsi="Arial" w:cs="Arial"/>
          <w:b/>
          <w:bCs/>
          <w:color w:val="auto"/>
          <w:kern w:val="0"/>
          <w14:ligatures w14:val="none"/>
        </w:rPr>
      </w:pPr>
      <w:r w:rsidRPr="00FA1574">
        <w:rPr>
          <w:rFonts w:ascii="Arial" w:hAnsi="Arial" w:cs="Arial"/>
          <w:b/>
          <w:bCs/>
          <w:color w:val="auto"/>
          <w:kern w:val="0"/>
          <w14:ligatures w14:val="none"/>
        </w:rPr>
        <w:t>While most respondents (81%) found the CRMP accessible, the focus groups highlighted potential barriers, particularly for certain community segments.</w:t>
      </w:r>
    </w:p>
    <w:p w14:paraId="1EB6EE73"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Survey results also indicated more neutrality or disagreement on this question than on others, with 14% unsure about accessibility – but overall, there is still a high level of endorsement in this area.</w:t>
      </w:r>
    </w:p>
    <w:p w14:paraId="6AE67549" w14:textId="77777777" w:rsidR="00FA1574" w:rsidRPr="00FA1574" w:rsidRDefault="00FA1574" w:rsidP="00FA1574">
      <w:pPr>
        <w:spacing w:after="160" w:line="259" w:lineRule="auto"/>
        <w:rPr>
          <w:rFonts w:ascii="Arial" w:hAnsi="Arial" w:cs="Arial"/>
          <w:b/>
          <w:bCs/>
          <w:color w:val="auto"/>
          <w:kern w:val="0"/>
          <w:sz w:val="20"/>
          <w:szCs w:val="20"/>
          <w14:ligatures w14:val="none"/>
        </w:rPr>
      </w:pPr>
      <w:r w:rsidRPr="00FA1574">
        <w:rPr>
          <w:rFonts w:ascii="Arial" w:hAnsi="Arial" w:cs="Arial"/>
          <w:b/>
          <w:bCs/>
          <w:color w:val="auto"/>
          <w:kern w:val="0"/>
          <w:sz w:val="20"/>
          <w:szCs w:val="20"/>
          <w14:ligatures w14:val="none"/>
        </w:rPr>
        <w:t xml:space="preserve">Recommendations: </w:t>
      </w:r>
    </w:p>
    <w:p w14:paraId="262E649C" w14:textId="77777777" w:rsidR="00FA1574" w:rsidRPr="00FA1574" w:rsidRDefault="00FA1574" w:rsidP="00FA1574">
      <w:pPr>
        <w:numPr>
          <w:ilvl w:val="0"/>
          <w:numId w:val="40"/>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online version of the CRMP was identified as being the most popular, but there was still a reasonable percentage of people who preferred the PDF version. Retain both.</w:t>
      </w:r>
    </w:p>
    <w:p w14:paraId="5CD68E82" w14:textId="77777777" w:rsidR="00FA1574" w:rsidRPr="00FA1574" w:rsidRDefault="00FA1574" w:rsidP="00FA1574">
      <w:pPr>
        <w:numPr>
          <w:ilvl w:val="0"/>
          <w:numId w:val="40"/>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Continue to engage with underrepresented groups, potentially supporting staff in how to do so.</w:t>
      </w:r>
    </w:p>
    <w:p w14:paraId="2E260943" w14:textId="77777777" w:rsidR="00FA1574" w:rsidRPr="00FA1574" w:rsidRDefault="00FA1574" w:rsidP="00FA1574">
      <w:pPr>
        <w:spacing w:after="160" w:line="259" w:lineRule="auto"/>
        <w:ind w:left="720"/>
        <w:contextualSpacing/>
        <w:rPr>
          <w:rFonts w:ascii="Arial" w:hAnsi="Arial" w:cs="Arial"/>
          <w:color w:val="auto"/>
          <w:kern w:val="0"/>
          <w14:ligatures w14:val="none"/>
        </w:rPr>
      </w:pPr>
    </w:p>
    <w:p w14:paraId="043E28BC" w14:textId="77777777" w:rsidR="00FA1574" w:rsidRPr="00FA1574" w:rsidRDefault="00FA1574" w:rsidP="00FA1574">
      <w:pPr>
        <w:spacing w:after="160" w:line="259" w:lineRule="auto"/>
        <w:rPr>
          <w:rFonts w:ascii="Arial" w:hAnsi="Arial" w:cs="Arial"/>
          <w:b/>
          <w:bCs/>
          <w:color w:val="auto"/>
          <w:kern w:val="0"/>
          <w:sz w:val="32"/>
          <w:szCs w:val="32"/>
          <w14:ligatures w14:val="none"/>
        </w:rPr>
      </w:pPr>
      <w:r w:rsidRPr="00FA1574">
        <w:rPr>
          <w:rFonts w:ascii="Arial" w:hAnsi="Arial" w:cs="Arial"/>
          <w:b/>
          <w:bCs/>
          <w:color w:val="auto"/>
          <w:kern w:val="0"/>
          <w:sz w:val="32"/>
          <w:szCs w:val="32"/>
          <w14:ligatures w14:val="none"/>
        </w:rPr>
        <w:t>Charging for False Alarms</w:t>
      </w:r>
    </w:p>
    <w:p w14:paraId="5FAD5C28" w14:textId="77777777" w:rsidR="00FA1574" w:rsidRPr="00FA1574" w:rsidRDefault="00FA1574" w:rsidP="00FA1574">
      <w:pPr>
        <w:spacing w:after="160" w:line="259" w:lineRule="auto"/>
        <w:rPr>
          <w:rFonts w:ascii="Arial" w:hAnsi="Arial" w:cs="Arial"/>
          <w:b/>
          <w:bCs/>
          <w:color w:val="auto"/>
          <w:kern w:val="0"/>
          <w14:ligatures w14:val="none"/>
        </w:rPr>
      </w:pPr>
      <w:r w:rsidRPr="00FA1574">
        <w:rPr>
          <w:rFonts w:ascii="Arial" w:hAnsi="Arial" w:cs="Arial"/>
          <w:b/>
          <w:bCs/>
          <w:color w:val="auto"/>
          <w:kern w:val="0"/>
          <w14:ligatures w14:val="none"/>
        </w:rPr>
        <w:t>Both focus group discussions and survey responses indicated strong support (90% survey agreement) for charging a call-out fee for unnecessary false alarms at business premises after other mitigation efforts.</w:t>
      </w:r>
    </w:p>
    <w:p w14:paraId="18B55CA6"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Focus groups recognized the potential for financial and operational efficiency, provided businesses are well-informed and supported.</w:t>
      </w:r>
    </w:p>
    <w:p w14:paraId="00B01849" w14:textId="77777777" w:rsidR="00FA1574" w:rsidRPr="00FA1574" w:rsidRDefault="00FA1574" w:rsidP="00FA1574">
      <w:pPr>
        <w:spacing w:after="160" w:line="259" w:lineRule="auto"/>
        <w:rPr>
          <w:rFonts w:ascii="Arial" w:hAnsi="Arial" w:cs="Arial"/>
          <w:b/>
          <w:bCs/>
          <w:color w:val="auto"/>
          <w:kern w:val="0"/>
          <w:sz w:val="20"/>
          <w:szCs w:val="20"/>
          <w14:ligatures w14:val="none"/>
        </w:rPr>
      </w:pPr>
      <w:r w:rsidRPr="00FA1574">
        <w:rPr>
          <w:rFonts w:ascii="Arial" w:hAnsi="Arial" w:cs="Arial"/>
          <w:b/>
          <w:bCs/>
          <w:color w:val="auto"/>
          <w:kern w:val="0"/>
          <w:sz w:val="20"/>
          <w:szCs w:val="20"/>
          <w14:ligatures w14:val="none"/>
        </w:rPr>
        <w:t xml:space="preserve">Recommendations: </w:t>
      </w:r>
    </w:p>
    <w:p w14:paraId="7EA06309" w14:textId="77777777" w:rsidR="00FA1574" w:rsidRPr="00FA1574" w:rsidRDefault="00FA1574" w:rsidP="00FA1574">
      <w:pPr>
        <w:numPr>
          <w:ilvl w:val="0"/>
          <w:numId w:val="41"/>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Further explore implementing a charge for excessive and repeated False Alarm calls to Businesses.</w:t>
      </w:r>
    </w:p>
    <w:p w14:paraId="6A044B27" w14:textId="77777777" w:rsidR="00FA1574" w:rsidRPr="00FA1574" w:rsidRDefault="00FA1574" w:rsidP="00FA1574">
      <w:pPr>
        <w:numPr>
          <w:ilvl w:val="0"/>
          <w:numId w:val="41"/>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Exclude partners such as the NHS.</w:t>
      </w:r>
    </w:p>
    <w:p w14:paraId="41C3F85A" w14:textId="77777777" w:rsidR="00FA1574" w:rsidRPr="00FA1574" w:rsidRDefault="00FA1574" w:rsidP="00FA1574">
      <w:pPr>
        <w:numPr>
          <w:ilvl w:val="0"/>
          <w:numId w:val="41"/>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Develop a clear and transparent framework for implementing charges, including communication and education for businesses.</w:t>
      </w:r>
    </w:p>
    <w:p w14:paraId="161B5EBA" w14:textId="77777777" w:rsidR="00FA1574" w:rsidRPr="00FA1574" w:rsidRDefault="00FA1574" w:rsidP="00FA1574">
      <w:pPr>
        <w:spacing w:after="160" w:line="259" w:lineRule="auto"/>
        <w:rPr>
          <w:rFonts w:ascii="Arial" w:hAnsi="Arial" w:cs="Arial"/>
          <w:color w:val="auto"/>
          <w:kern w:val="0"/>
          <w14:ligatures w14:val="none"/>
        </w:rPr>
      </w:pPr>
    </w:p>
    <w:p w14:paraId="330DCABB" w14:textId="77777777" w:rsidR="00FA1574" w:rsidRPr="00FA1574" w:rsidRDefault="00FA1574" w:rsidP="00FA1574">
      <w:pPr>
        <w:spacing w:after="160" w:line="259" w:lineRule="auto"/>
        <w:rPr>
          <w:rFonts w:ascii="Arial" w:hAnsi="Arial" w:cs="Arial"/>
          <w:color w:val="auto"/>
          <w:kern w:val="0"/>
          <w14:ligatures w14:val="none"/>
        </w:rPr>
      </w:pPr>
    </w:p>
    <w:p w14:paraId="33273483" w14:textId="77777777" w:rsidR="00FA1574" w:rsidRPr="00FA1574" w:rsidRDefault="00FA1574" w:rsidP="00FA1574">
      <w:pPr>
        <w:spacing w:after="160" w:line="259" w:lineRule="auto"/>
        <w:rPr>
          <w:rFonts w:ascii="Arial" w:hAnsi="Arial" w:cs="Arial"/>
          <w:b/>
          <w:bCs/>
          <w:color w:val="auto"/>
          <w:kern w:val="0"/>
          <w:sz w:val="32"/>
          <w:szCs w:val="32"/>
          <w14:ligatures w14:val="none"/>
        </w:rPr>
      </w:pPr>
      <w:r w:rsidRPr="00FA1574">
        <w:rPr>
          <w:rFonts w:ascii="Arial" w:hAnsi="Arial" w:cs="Arial"/>
          <w:b/>
          <w:bCs/>
          <w:color w:val="auto"/>
          <w:kern w:val="0"/>
          <w:sz w:val="32"/>
          <w:szCs w:val="32"/>
          <w14:ligatures w14:val="none"/>
        </w:rPr>
        <w:lastRenderedPageBreak/>
        <w:t>Funding and Council Tax Increase</w:t>
      </w:r>
    </w:p>
    <w:p w14:paraId="0216517F" w14:textId="77777777" w:rsidR="00FA1574" w:rsidRPr="00FA1574" w:rsidRDefault="00FA1574" w:rsidP="00FA1574">
      <w:pPr>
        <w:spacing w:after="160" w:line="259" w:lineRule="auto"/>
        <w:rPr>
          <w:rFonts w:ascii="Arial" w:hAnsi="Arial" w:cs="Arial"/>
          <w:b/>
          <w:bCs/>
          <w:color w:val="auto"/>
          <w:kern w:val="0"/>
          <w14:ligatures w14:val="none"/>
        </w:rPr>
      </w:pPr>
      <w:r w:rsidRPr="00FA1574">
        <w:rPr>
          <w:rFonts w:ascii="Arial" w:hAnsi="Arial" w:cs="Arial"/>
          <w:b/>
          <w:bCs/>
          <w:color w:val="auto"/>
          <w:kern w:val="0"/>
          <w14:ligatures w14:val="none"/>
        </w:rPr>
        <w:t>The proposal for a £5 annual Council Tax increase saw 77% support in the survey, with focus group participants expressing cautious agreement.</w:t>
      </w:r>
    </w:p>
    <w:p w14:paraId="2D4128B0"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above is caveated by ensuring that provided funds are transparently allocated to frontline services.</w:t>
      </w:r>
    </w:p>
    <w:p w14:paraId="37C2C095" w14:textId="77777777" w:rsidR="00FA1574" w:rsidRPr="00FA1574" w:rsidRDefault="00FA1574" w:rsidP="00FA1574">
      <w:pPr>
        <w:spacing w:after="160" w:line="259" w:lineRule="auto"/>
        <w:rPr>
          <w:rFonts w:ascii="Arial" w:hAnsi="Arial" w:cs="Arial"/>
          <w:b/>
          <w:bCs/>
          <w:color w:val="auto"/>
          <w:kern w:val="0"/>
          <w:sz w:val="22"/>
          <w:szCs w:val="22"/>
          <w14:ligatures w14:val="none"/>
        </w:rPr>
      </w:pPr>
      <w:r w:rsidRPr="00FA1574">
        <w:rPr>
          <w:rFonts w:ascii="Arial" w:hAnsi="Arial" w:cs="Arial"/>
          <w:b/>
          <w:bCs/>
          <w:color w:val="auto"/>
          <w:kern w:val="0"/>
          <w:sz w:val="22"/>
          <w:szCs w:val="22"/>
          <w14:ligatures w14:val="none"/>
        </w:rPr>
        <w:t xml:space="preserve">Recommendations: </w:t>
      </w:r>
    </w:p>
    <w:p w14:paraId="4562DA09" w14:textId="77777777" w:rsidR="00FA1574" w:rsidRPr="00FA1574" w:rsidRDefault="00FA1574" w:rsidP="00FA1574">
      <w:pPr>
        <w:numPr>
          <w:ilvl w:val="0"/>
          <w:numId w:val="42"/>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Explore the possibility of a £5 annual Council Tax increase.</w:t>
      </w:r>
    </w:p>
    <w:p w14:paraId="7C53772A" w14:textId="77777777" w:rsidR="00FA1574" w:rsidRPr="00FA1574" w:rsidRDefault="00FA1574" w:rsidP="00FA1574">
      <w:pPr>
        <w:numPr>
          <w:ilvl w:val="0"/>
          <w:numId w:val="42"/>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Communicate specific benefits of the additional funding and how it will directly support service improvements </w:t>
      </w:r>
    </w:p>
    <w:p w14:paraId="290F75AE" w14:textId="77777777" w:rsidR="00FA1574" w:rsidRPr="00FA1574" w:rsidRDefault="00FA1574" w:rsidP="00FA1574">
      <w:pPr>
        <w:spacing w:after="160" w:line="259" w:lineRule="auto"/>
        <w:rPr>
          <w:rFonts w:ascii="Arial" w:hAnsi="Arial" w:cs="Arial"/>
          <w:color w:val="auto"/>
          <w:kern w:val="0"/>
          <w14:ligatures w14:val="none"/>
        </w:rPr>
      </w:pPr>
    </w:p>
    <w:p w14:paraId="51224B95" w14:textId="77777777" w:rsidR="00FA1574" w:rsidRPr="00FA1574" w:rsidRDefault="00FA1574" w:rsidP="00FA1574">
      <w:pPr>
        <w:spacing w:after="160" w:line="259" w:lineRule="auto"/>
        <w:rPr>
          <w:rFonts w:ascii="Arial" w:hAnsi="Arial" w:cs="Arial"/>
          <w:b/>
          <w:bCs/>
          <w:color w:val="auto"/>
          <w:kern w:val="0"/>
          <w:sz w:val="52"/>
          <w:szCs w:val="52"/>
          <w14:ligatures w14:val="none"/>
        </w:rPr>
      </w:pPr>
    </w:p>
    <w:p w14:paraId="6C886291" w14:textId="77777777" w:rsidR="00A30C20" w:rsidRDefault="00A30C20" w:rsidP="00FA1574">
      <w:pPr>
        <w:spacing w:after="160" w:line="259" w:lineRule="auto"/>
        <w:rPr>
          <w:rFonts w:ascii="Arial" w:hAnsi="Arial" w:cs="Arial"/>
          <w:b/>
          <w:bCs/>
          <w:color w:val="auto"/>
          <w:kern w:val="0"/>
          <w:sz w:val="52"/>
          <w:szCs w:val="52"/>
          <w14:ligatures w14:val="none"/>
        </w:rPr>
      </w:pPr>
    </w:p>
    <w:p w14:paraId="21DA4474" w14:textId="77777777" w:rsidR="00A30C20" w:rsidRDefault="00A30C20" w:rsidP="00FA1574">
      <w:pPr>
        <w:spacing w:after="160" w:line="259" w:lineRule="auto"/>
        <w:rPr>
          <w:rFonts w:ascii="Arial" w:hAnsi="Arial" w:cs="Arial"/>
          <w:b/>
          <w:bCs/>
          <w:color w:val="auto"/>
          <w:kern w:val="0"/>
          <w:sz w:val="52"/>
          <w:szCs w:val="52"/>
          <w14:ligatures w14:val="none"/>
        </w:rPr>
      </w:pPr>
    </w:p>
    <w:p w14:paraId="62DD0BE2" w14:textId="77777777" w:rsidR="00A30C20" w:rsidRDefault="00A30C20" w:rsidP="00FA1574">
      <w:pPr>
        <w:spacing w:after="160" w:line="259" w:lineRule="auto"/>
        <w:rPr>
          <w:rFonts w:ascii="Arial" w:hAnsi="Arial" w:cs="Arial"/>
          <w:b/>
          <w:bCs/>
          <w:color w:val="auto"/>
          <w:kern w:val="0"/>
          <w:sz w:val="52"/>
          <w:szCs w:val="52"/>
          <w14:ligatures w14:val="none"/>
        </w:rPr>
      </w:pPr>
    </w:p>
    <w:p w14:paraId="752D319A" w14:textId="77777777" w:rsidR="00A30C20" w:rsidRDefault="00A30C20" w:rsidP="00FA1574">
      <w:pPr>
        <w:spacing w:after="160" w:line="259" w:lineRule="auto"/>
        <w:rPr>
          <w:rFonts w:ascii="Arial" w:hAnsi="Arial" w:cs="Arial"/>
          <w:b/>
          <w:bCs/>
          <w:color w:val="auto"/>
          <w:kern w:val="0"/>
          <w:sz w:val="52"/>
          <w:szCs w:val="52"/>
          <w14:ligatures w14:val="none"/>
        </w:rPr>
      </w:pPr>
    </w:p>
    <w:p w14:paraId="3BBD83EF" w14:textId="77777777" w:rsidR="00A30C20" w:rsidRDefault="00A30C20" w:rsidP="00FA1574">
      <w:pPr>
        <w:spacing w:after="160" w:line="259" w:lineRule="auto"/>
        <w:rPr>
          <w:rFonts w:ascii="Arial" w:hAnsi="Arial" w:cs="Arial"/>
          <w:b/>
          <w:bCs/>
          <w:color w:val="auto"/>
          <w:kern w:val="0"/>
          <w:sz w:val="52"/>
          <w:szCs w:val="52"/>
          <w14:ligatures w14:val="none"/>
        </w:rPr>
      </w:pPr>
    </w:p>
    <w:p w14:paraId="41B89DC5" w14:textId="77777777" w:rsidR="00A30C20" w:rsidRDefault="00A30C20" w:rsidP="00FA1574">
      <w:pPr>
        <w:spacing w:after="160" w:line="259" w:lineRule="auto"/>
        <w:rPr>
          <w:rFonts w:ascii="Arial" w:hAnsi="Arial" w:cs="Arial"/>
          <w:b/>
          <w:bCs/>
          <w:color w:val="auto"/>
          <w:kern w:val="0"/>
          <w:sz w:val="52"/>
          <w:szCs w:val="52"/>
          <w14:ligatures w14:val="none"/>
        </w:rPr>
      </w:pPr>
    </w:p>
    <w:p w14:paraId="4AD38256" w14:textId="77777777" w:rsidR="00A30C20" w:rsidRDefault="00A30C20" w:rsidP="00FA1574">
      <w:pPr>
        <w:spacing w:after="160" w:line="259" w:lineRule="auto"/>
        <w:rPr>
          <w:rFonts w:ascii="Arial" w:hAnsi="Arial" w:cs="Arial"/>
          <w:b/>
          <w:bCs/>
          <w:color w:val="auto"/>
          <w:kern w:val="0"/>
          <w:sz w:val="52"/>
          <w:szCs w:val="52"/>
          <w14:ligatures w14:val="none"/>
        </w:rPr>
      </w:pPr>
    </w:p>
    <w:p w14:paraId="289FC807" w14:textId="77777777" w:rsidR="00A30C20" w:rsidRDefault="00A30C20" w:rsidP="00FA1574">
      <w:pPr>
        <w:spacing w:after="160" w:line="259" w:lineRule="auto"/>
        <w:rPr>
          <w:rFonts w:ascii="Arial" w:hAnsi="Arial" w:cs="Arial"/>
          <w:b/>
          <w:bCs/>
          <w:color w:val="auto"/>
          <w:kern w:val="0"/>
          <w:sz w:val="52"/>
          <w:szCs w:val="52"/>
          <w14:ligatures w14:val="none"/>
        </w:rPr>
      </w:pPr>
    </w:p>
    <w:p w14:paraId="139BD4F3" w14:textId="77777777" w:rsidR="00A30C20" w:rsidRDefault="00A30C20" w:rsidP="00FA1574">
      <w:pPr>
        <w:spacing w:after="160" w:line="259" w:lineRule="auto"/>
        <w:rPr>
          <w:rFonts w:ascii="Arial" w:hAnsi="Arial" w:cs="Arial"/>
          <w:b/>
          <w:bCs/>
          <w:color w:val="auto"/>
          <w:kern w:val="0"/>
          <w:sz w:val="52"/>
          <w:szCs w:val="52"/>
          <w14:ligatures w14:val="none"/>
        </w:rPr>
      </w:pPr>
    </w:p>
    <w:p w14:paraId="637D372A" w14:textId="77777777" w:rsidR="00A30C20" w:rsidRDefault="00A30C20" w:rsidP="00FA1574">
      <w:pPr>
        <w:spacing w:after="160" w:line="259" w:lineRule="auto"/>
        <w:rPr>
          <w:rFonts w:ascii="Arial" w:hAnsi="Arial" w:cs="Arial"/>
          <w:b/>
          <w:bCs/>
          <w:color w:val="auto"/>
          <w:kern w:val="0"/>
          <w:sz w:val="52"/>
          <w:szCs w:val="52"/>
          <w14:ligatures w14:val="none"/>
        </w:rPr>
      </w:pPr>
    </w:p>
    <w:p w14:paraId="2BBA75E3" w14:textId="733DBE3F" w:rsidR="00FA1574" w:rsidRPr="00FA1574" w:rsidRDefault="00FA1574" w:rsidP="00FA1574">
      <w:pPr>
        <w:spacing w:after="160" w:line="259" w:lineRule="auto"/>
        <w:rPr>
          <w:rFonts w:ascii="Arial" w:hAnsi="Arial" w:cs="Arial"/>
          <w:b/>
          <w:bCs/>
          <w:color w:val="auto"/>
          <w:kern w:val="0"/>
          <w:sz w:val="52"/>
          <w:szCs w:val="52"/>
          <w14:ligatures w14:val="none"/>
        </w:rPr>
      </w:pPr>
      <w:r w:rsidRPr="00FA1574">
        <w:rPr>
          <w:rFonts w:ascii="Arial" w:hAnsi="Arial" w:cs="Arial"/>
          <w:b/>
          <w:bCs/>
          <w:color w:val="auto"/>
          <w:kern w:val="0"/>
          <w:sz w:val="52"/>
          <w:szCs w:val="52"/>
          <w14:ligatures w14:val="none"/>
        </w:rPr>
        <w:lastRenderedPageBreak/>
        <w:t xml:space="preserve">PART </w:t>
      </w:r>
      <w:r w:rsidR="00A4164E">
        <w:rPr>
          <w:rFonts w:ascii="Arial" w:hAnsi="Arial" w:cs="Arial"/>
          <w:b/>
          <w:bCs/>
          <w:color w:val="auto"/>
          <w:kern w:val="0"/>
          <w:sz w:val="52"/>
          <w:szCs w:val="52"/>
          <w14:ligatures w14:val="none"/>
        </w:rPr>
        <w:t>SEVEN</w:t>
      </w:r>
      <w:r w:rsidRPr="00FA1574">
        <w:rPr>
          <w:rFonts w:ascii="Arial" w:hAnsi="Arial" w:cs="Arial"/>
          <w:b/>
          <w:bCs/>
          <w:color w:val="auto"/>
          <w:kern w:val="0"/>
          <w:sz w:val="52"/>
          <w:szCs w:val="52"/>
          <w14:ligatures w14:val="none"/>
        </w:rPr>
        <w:t xml:space="preserve">: </w:t>
      </w:r>
    </w:p>
    <w:p w14:paraId="2B494861" w14:textId="77777777" w:rsidR="00FA1574" w:rsidRPr="00FA1574" w:rsidRDefault="00FA1574" w:rsidP="00FA1574">
      <w:pPr>
        <w:spacing w:after="160" w:line="259" w:lineRule="auto"/>
        <w:rPr>
          <w:rFonts w:ascii="Arial" w:hAnsi="Arial" w:cs="Arial"/>
          <w:b/>
          <w:bCs/>
          <w:color w:val="auto"/>
          <w:kern w:val="0"/>
          <w:sz w:val="52"/>
          <w:szCs w:val="52"/>
          <w14:ligatures w14:val="none"/>
        </w:rPr>
      </w:pPr>
      <w:r w:rsidRPr="00FA1574">
        <w:rPr>
          <w:rFonts w:ascii="Arial" w:hAnsi="Arial" w:cs="Arial"/>
          <w:b/>
          <w:bCs/>
          <w:color w:val="auto"/>
          <w:kern w:val="0"/>
          <w:sz w:val="52"/>
          <w:szCs w:val="52"/>
          <w14:ligatures w14:val="none"/>
        </w:rPr>
        <w:t>CLOSING SUMMARY</w:t>
      </w:r>
    </w:p>
    <w:p w14:paraId="356A6C95"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consultation process undertaken by NFRS in support of the development of NFRS’ new Community Risk Management Plan was effective, with the draft CRMP itself being broadly supported by most participants.</w:t>
      </w:r>
    </w:p>
    <w:p w14:paraId="4ED46493" w14:textId="77777777" w:rsidR="00FA1574" w:rsidRPr="00FA1574" w:rsidRDefault="00FA1574" w:rsidP="00FA1574">
      <w:pPr>
        <w:rPr>
          <w:rFonts w:ascii="Arial" w:hAnsi="Arial" w:cs="Arial"/>
          <w:color w:val="auto"/>
          <w:kern w:val="0"/>
          <w:sz w:val="20"/>
          <w:szCs w:val="20"/>
          <w14:ligatures w14:val="none"/>
        </w:rPr>
      </w:pPr>
    </w:p>
    <w:p w14:paraId="45232A14"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Engagement with the public, staff, and key stakeholders, was delivered with transparency, inclusivity, and collaboration at its heart, with the results of the consultation providing valuable insights that affirm the robustness of NFRS’s strategic direction while offering guidance for further refinement and improvement. </w:t>
      </w:r>
    </w:p>
    <w:p w14:paraId="71121076" w14:textId="77777777" w:rsidR="00FA1574" w:rsidRPr="00FA1574" w:rsidRDefault="00FA1574" w:rsidP="00FA1574">
      <w:pPr>
        <w:rPr>
          <w:rFonts w:ascii="Arial" w:hAnsi="Arial" w:cs="Arial"/>
          <w:color w:val="auto"/>
          <w:kern w:val="0"/>
          <w:sz w:val="20"/>
          <w:szCs w:val="20"/>
          <w14:ligatures w14:val="none"/>
        </w:rPr>
      </w:pPr>
    </w:p>
    <w:p w14:paraId="5D0E7ED8"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This consultation process, in terms of responses from the public, partners, and staff, has been the most successful that NFRS has undertaken in terms of response rates across all areas. </w:t>
      </w:r>
    </w:p>
    <w:p w14:paraId="1025079A" w14:textId="77777777" w:rsidR="00FA1574" w:rsidRPr="00FA1574" w:rsidRDefault="00FA1574" w:rsidP="00FA1574">
      <w:pPr>
        <w:rPr>
          <w:rFonts w:ascii="Arial" w:hAnsi="Arial" w:cs="Arial"/>
          <w:color w:val="auto"/>
          <w:kern w:val="0"/>
          <w:sz w:val="20"/>
          <w:szCs w:val="20"/>
          <w14:ligatures w14:val="none"/>
        </w:rPr>
      </w:pPr>
    </w:p>
    <w:p w14:paraId="77A15E55"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The consultation process adhered closely to national guidance, the Consultation Framework and the National Framework; confidence can be assured regarding consistency with both internal and external expectations. </w:t>
      </w:r>
    </w:p>
    <w:p w14:paraId="04ACD659" w14:textId="77777777" w:rsidR="00FA1574" w:rsidRPr="00FA1574" w:rsidRDefault="00FA1574" w:rsidP="00FA1574">
      <w:pPr>
        <w:rPr>
          <w:rFonts w:ascii="Arial" w:hAnsi="Arial" w:cs="Arial"/>
          <w:color w:val="auto"/>
          <w:kern w:val="0"/>
          <w:sz w:val="20"/>
          <w:szCs w:val="20"/>
          <w14:ligatures w14:val="none"/>
        </w:rPr>
      </w:pPr>
    </w:p>
    <w:p w14:paraId="75A7C45C"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A strength of the consultation was reaching a broad spectrum of people, including traditionally underrepresented groups. Under 35s saw an increase in responses in this consultation, from 11 in 2021 to 143 this time around compared to the last consultation. 57.5% of responses were from female respondents. Sexual orientation demographics were representative of the community of Nottinghamshire. Non-white British responses increased by 925% compared with 2021, making up 19% of the total responses received in this consultation. Responses from individuals with a disability or long-term health condition increased by 13.2% compared with 2021. Participation by most religions and beliefs was representative of the community of Nottinghamshire.</w:t>
      </w:r>
    </w:p>
    <w:p w14:paraId="4024E7D2" w14:textId="77777777" w:rsidR="00FA1574" w:rsidRPr="00FA1574" w:rsidRDefault="00FA1574" w:rsidP="00FA1574">
      <w:pPr>
        <w:rPr>
          <w:rFonts w:ascii="Arial" w:hAnsi="Arial" w:cs="Arial"/>
          <w:color w:val="auto"/>
          <w:kern w:val="0"/>
          <w:sz w:val="20"/>
          <w:szCs w:val="20"/>
          <w14:ligatures w14:val="none"/>
        </w:rPr>
      </w:pPr>
    </w:p>
    <w:p w14:paraId="62DE3A6E"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diversity of the respondents, supplemented by Focus Groups, indicates that feedback received will encompass a wide range of community perspectives. This has allowed NFRS to gain a holistic understanding of public sentiment.</w:t>
      </w:r>
    </w:p>
    <w:p w14:paraId="02747152" w14:textId="77777777" w:rsidR="00FA1574" w:rsidRPr="00FA1574" w:rsidRDefault="00FA1574" w:rsidP="00FA1574">
      <w:pPr>
        <w:rPr>
          <w:rFonts w:ascii="Arial" w:hAnsi="Arial" w:cs="Arial"/>
          <w:color w:val="auto"/>
          <w:kern w:val="0"/>
          <w:sz w:val="20"/>
          <w:szCs w:val="20"/>
          <w14:ligatures w14:val="none"/>
        </w:rPr>
      </w:pPr>
    </w:p>
    <w:p w14:paraId="482C04B8"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CRMP’s strategic goals, including those focusing on Prevention, Protection, and Response, were broadly supported by participants across various demographics. This alignment is not only consistent with NFRS’s responsibility to the communities it serves but also ensures compliance with the statutory duties outlined within the National Frameworks as well as the expectations of strategic leaders.</w:t>
      </w:r>
    </w:p>
    <w:p w14:paraId="5BBDEDF2" w14:textId="77777777" w:rsidR="00FA1574" w:rsidRPr="00FA1574" w:rsidRDefault="00FA1574" w:rsidP="00FA1574">
      <w:pPr>
        <w:rPr>
          <w:rFonts w:ascii="Arial" w:hAnsi="Arial" w:cs="Arial"/>
          <w:color w:val="auto"/>
          <w:kern w:val="0"/>
          <w:sz w:val="20"/>
          <w:szCs w:val="20"/>
          <w14:ligatures w14:val="none"/>
        </w:rPr>
      </w:pPr>
    </w:p>
    <w:p w14:paraId="205E4B5C"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This support underscores public confidence in NFRS’s approach. Moreover, the focus on fostering partnerships and targeting vulnerable populations resonated strongly with those in the focus groups, highlighting the importance of collaboration in building community trust.</w:t>
      </w:r>
    </w:p>
    <w:p w14:paraId="5C7DD838" w14:textId="77777777" w:rsidR="00FA1574" w:rsidRPr="00FA1574" w:rsidRDefault="00FA1574" w:rsidP="00FA1574">
      <w:pPr>
        <w:rPr>
          <w:rFonts w:ascii="Arial" w:hAnsi="Arial" w:cs="Arial"/>
          <w:color w:val="auto"/>
          <w:kern w:val="0"/>
          <w:sz w:val="20"/>
          <w:szCs w:val="20"/>
          <w14:ligatures w14:val="none"/>
        </w:rPr>
      </w:pPr>
    </w:p>
    <w:p w14:paraId="62DCC757"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 xml:space="preserve">The proposition of charging businesses for false alarms received broad support, though the consultation results reinforced the need for clear, transparent communication regarding its implementation, and a robust and fair process. This finding highlights an understanding by the public of the need for the Fire Service to creatively address operational efficiency without compromising service delivery. </w:t>
      </w:r>
    </w:p>
    <w:p w14:paraId="4AD83D21" w14:textId="77777777" w:rsidR="00FA1574" w:rsidRPr="00FA1574" w:rsidRDefault="00FA1574" w:rsidP="00FA1574">
      <w:pPr>
        <w:rPr>
          <w:rFonts w:ascii="Arial" w:hAnsi="Arial" w:cs="Arial"/>
          <w:color w:val="auto"/>
          <w:kern w:val="0"/>
          <w:sz w:val="20"/>
          <w:szCs w:val="20"/>
          <w14:ligatures w14:val="none"/>
        </w:rPr>
      </w:pPr>
    </w:p>
    <w:p w14:paraId="64AE03BC"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discussions around the proposed Council Tax increase similarly demonstrated public receptiveness, albeit with the necessary caveat of ensuring that the funds would directly support frontline services. These insights confirm the legitimacy of the proposals and their alignment with public sentiment.</w:t>
      </w:r>
    </w:p>
    <w:p w14:paraId="02D240F5" w14:textId="77777777" w:rsidR="00FA1574" w:rsidRPr="00FA1574" w:rsidRDefault="00FA1574" w:rsidP="00FA1574">
      <w:pPr>
        <w:rPr>
          <w:rFonts w:ascii="Arial" w:hAnsi="Arial" w:cs="Arial"/>
          <w:color w:val="auto"/>
          <w:kern w:val="0"/>
          <w:sz w:val="20"/>
          <w:szCs w:val="20"/>
          <w14:ligatures w14:val="none"/>
        </w:rPr>
      </w:pPr>
    </w:p>
    <w:p w14:paraId="57129B91"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lastRenderedPageBreak/>
        <w:t xml:space="preserve">While the service could have chosen to utilise the same budget as previous years, it instead made the conscious decision to prioritise efficiency by conducting the consultation in-house. The consultation process not only generated results exceeding previous consultations but also demonstrated the Service’s ability to leverage its available resources without sacrificing the quality or authenticity of the outcomes. </w:t>
      </w:r>
    </w:p>
    <w:p w14:paraId="7FE6FC17" w14:textId="77777777" w:rsidR="00FA1574" w:rsidRPr="00FA1574" w:rsidRDefault="00FA1574" w:rsidP="00FA1574">
      <w:pPr>
        <w:rPr>
          <w:rFonts w:ascii="Arial" w:hAnsi="Arial" w:cs="Arial"/>
          <w:color w:val="auto"/>
          <w:kern w:val="0"/>
          <w:sz w:val="20"/>
          <w:szCs w:val="20"/>
          <w14:ligatures w14:val="none"/>
        </w:rPr>
      </w:pPr>
    </w:p>
    <w:p w14:paraId="5B61FD35" w14:textId="77777777" w:rsidR="00FA1574" w:rsidRPr="00FA1574" w:rsidRDefault="00FA1574" w:rsidP="00FA1574">
      <w:pPr>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Feedback received about the Focus Groups was positive, providing community groups with in-depth insights; the ability to discuss and examine topics resulted in insightful feedback, as well as building relationships which can be revisited in the future to maintain on-going dialogue.</w:t>
      </w:r>
    </w:p>
    <w:p w14:paraId="593BC806" w14:textId="77777777" w:rsidR="00FA1574" w:rsidRPr="00FA1574" w:rsidRDefault="00FA1574" w:rsidP="00FA1574">
      <w:pPr>
        <w:rPr>
          <w:rFonts w:ascii="Arial" w:hAnsi="Arial" w:cs="Arial"/>
          <w:color w:val="auto"/>
          <w:kern w:val="0"/>
          <w:sz w:val="20"/>
          <w:szCs w:val="20"/>
          <w14:ligatures w14:val="none"/>
        </w:rPr>
      </w:pPr>
    </w:p>
    <w:p w14:paraId="65756BFD" w14:textId="77777777" w:rsidR="00FA1574" w:rsidRPr="00FA1574" w:rsidRDefault="00FA1574" w:rsidP="00FA1574">
      <w:pPr>
        <w:spacing w:after="160" w:line="259" w:lineRule="auto"/>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The process has been successful not only in achieving its immediate objectives but also in reinforcing NFRS’s commitment to ongoing engagement with the communities it serves. The feedback gathered through this consultation has been invaluable in confirming the service’s strategic priorities and in providing direction for future planning. The support for NFRS’s approach, coupled with actionable insights from participants, reinforces the credibility and legitimacy of the process. The consultation has played a critical role in ensuring that the CRMP is a living document, reflective of public needs and responsive to emerging challenges.</w:t>
      </w:r>
    </w:p>
    <w:p w14:paraId="64BCB2A2" w14:textId="77777777" w:rsidR="00FA1574" w:rsidRPr="00FA1574" w:rsidRDefault="00FA1574" w:rsidP="00FA1574">
      <w:pPr>
        <w:spacing w:after="160" w:line="259" w:lineRule="auto"/>
        <w:rPr>
          <w:rFonts w:ascii="Arial" w:hAnsi="Arial" w:cs="Arial"/>
          <w:color w:val="auto"/>
          <w:kern w:val="0"/>
          <w14:ligatures w14:val="none"/>
        </w:rPr>
      </w:pPr>
    </w:p>
    <w:p w14:paraId="361DD601" w14:textId="77777777" w:rsidR="00FA1574" w:rsidRPr="00FA1574" w:rsidRDefault="00FA1574" w:rsidP="00FA1574">
      <w:pPr>
        <w:spacing w:after="160" w:line="259" w:lineRule="auto"/>
        <w:rPr>
          <w:rFonts w:ascii="Arial" w:hAnsi="Arial" w:cs="Arial"/>
          <w:b/>
          <w:bCs/>
          <w:color w:val="auto"/>
          <w:kern w:val="0"/>
          <w:sz w:val="32"/>
          <w:szCs w:val="32"/>
          <w14:ligatures w14:val="none"/>
        </w:rPr>
      </w:pPr>
    </w:p>
    <w:p w14:paraId="31A7C672" w14:textId="77777777" w:rsidR="00FA1574" w:rsidRPr="00FA1574" w:rsidRDefault="00FA1574" w:rsidP="00FA1574">
      <w:pPr>
        <w:spacing w:after="160" w:line="259" w:lineRule="auto"/>
        <w:rPr>
          <w:rFonts w:ascii="Arial" w:hAnsi="Arial" w:cs="Arial"/>
          <w:b/>
          <w:bCs/>
          <w:color w:val="auto"/>
          <w:kern w:val="0"/>
          <w:sz w:val="52"/>
          <w:szCs w:val="52"/>
          <w14:ligatures w14:val="none"/>
        </w:rPr>
      </w:pPr>
    </w:p>
    <w:p w14:paraId="0C74D457" w14:textId="77777777" w:rsidR="00FA1574" w:rsidRPr="00FA1574" w:rsidRDefault="00FA1574" w:rsidP="00FA1574">
      <w:pPr>
        <w:spacing w:after="160" w:line="259" w:lineRule="auto"/>
        <w:rPr>
          <w:rFonts w:ascii="Arial" w:hAnsi="Arial" w:cs="Arial"/>
          <w:b/>
          <w:bCs/>
          <w:color w:val="auto"/>
          <w:kern w:val="0"/>
          <w:sz w:val="52"/>
          <w:szCs w:val="52"/>
          <w14:ligatures w14:val="none"/>
        </w:rPr>
      </w:pPr>
    </w:p>
    <w:p w14:paraId="7902C7AC" w14:textId="77777777" w:rsidR="00FA1574" w:rsidRPr="00FA1574" w:rsidRDefault="00FA1574" w:rsidP="00FA1574">
      <w:pPr>
        <w:spacing w:after="160" w:line="259" w:lineRule="auto"/>
        <w:rPr>
          <w:rFonts w:ascii="Arial" w:hAnsi="Arial" w:cs="Arial"/>
          <w:b/>
          <w:bCs/>
          <w:color w:val="auto"/>
          <w:kern w:val="0"/>
          <w:sz w:val="52"/>
          <w:szCs w:val="52"/>
          <w14:ligatures w14:val="none"/>
        </w:rPr>
      </w:pPr>
    </w:p>
    <w:p w14:paraId="7AB308EB" w14:textId="77777777" w:rsidR="00FA1574" w:rsidRPr="00FA1574" w:rsidRDefault="00FA1574" w:rsidP="00FA1574">
      <w:pPr>
        <w:spacing w:after="160" w:line="259" w:lineRule="auto"/>
        <w:rPr>
          <w:rFonts w:ascii="Arial" w:hAnsi="Arial" w:cs="Arial"/>
          <w:b/>
          <w:bCs/>
          <w:color w:val="auto"/>
          <w:kern w:val="0"/>
          <w:sz w:val="52"/>
          <w:szCs w:val="52"/>
          <w14:ligatures w14:val="none"/>
        </w:rPr>
      </w:pPr>
    </w:p>
    <w:p w14:paraId="416A0DE4" w14:textId="77777777" w:rsidR="00FA1574" w:rsidRPr="00FA1574" w:rsidRDefault="00FA1574" w:rsidP="00FA1574">
      <w:pPr>
        <w:spacing w:after="160" w:line="259" w:lineRule="auto"/>
        <w:rPr>
          <w:rFonts w:ascii="Arial" w:hAnsi="Arial" w:cs="Arial"/>
          <w:b/>
          <w:bCs/>
          <w:color w:val="auto"/>
          <w:kern w:val="0"/>
          <w:sz w:val="52"/>
          <w:szCs w:val="52"/>
          <w14:ligatures w14:val="none"/>
        </w:rPr>
      </w:pPr>
    </w:p>
    <w:p w14:paraId="1CA3BAAC" w14:textId="77777777" w:rsidR="00FA1574" w:rsidRPr="00FA1574" w:rsidRDefault="00FA1574" w:rsidP="00FA1574">
      <w:pPr>
        <w:spacing w:after="160" w:line="259" w:lineRule="auto"/>
        <w:rPr>
          <w:rFonts w:ascii="Arial" w:hAnsi="Arial" w:cs="Arial"/>
          <w:b/>
          <w:bCs/>
          <w:color w:val="auto"/>
          <w:kern w:val="0"/>
          <w:sz w:val="52"/>
          <w:szCs w:val="52"/>
          <w14:ligatures w14:val="none"/>
        </w:rPr>
      </w:pPr>
    </w:p>
    <w:p w14:paraId="503D1FF7" w14:textId="77777777" w:rsidR="00FA1574" w:rsidRPr="00FA1574" w:rsidRDefault="00FA1574" w:rsidP="00FA1574">
      <w:pPr>
        <w:spacing w:after="160" w:line="259" w:lineRule="auto"/>
        <w:rPr>
          <w:rFonts w:ascii="Arial" w:hAnsi="Arial" w:cs="Arial"/>
          <w:b/>
          <w:bCs/>
          <w:color w:val="auto"/>
          <w:kern w:val="0"/>
          <w:sz w:val="52"/>
          <w:szCs w:val="52"/>
          <w14:ligatures w14:val="none"/>
        </w:rPr>
      </w:pPr>
    </w:p>
    <w:p w14:paraId="54002B82" w14:textId="77777777" w:rsidR="00FA1574" w:rsidRPr="00FA1574" w:rsidRDefault="00FA1574" w:rsidP="00FA1574">
      <w:pPr>
        <w:spacing w:after="160" w:line="259" w:lineRule="auto"/>
        <w:rPr>
          <w:rFonts w:ascii="Arial" w:hAnsi="Arial" w:cs="Arial"/>
          <w:b/>
          <w:bCs/>
          <w:color w:val="auto"/>
          <w:kern w:val="0"/>
          <w:sz w:val="52"/>
          <w:szCs w:val="52"/>
          <w14:ligatures w14:val="none"/>
        </w:rPr>
      </w:pPr>
    </w:p>
    <w:p w14:paraId="6051720C" w14:textId="77777777" w:rsidR="00A30C20" w:rsidRDefault="00A30C20" w:rsidP="00FA1574">
      <w:pPr>
        <w:spacing w:after="160" w:line="259" w:lineRule="auto"/>
        <w:rPr>
          <w:rFonts w:ascii="Arial" w:hAnsi="Arial" w:cs="Arial"/>
          <w:b/>
          <w:bCs/>
          <w:color w:val="auto"/>
          <w:kern w:val="0"/>
          <w:sz w:val="52"/>
          <w:szCs w:val="52"/>
          <w14:ligatures w14:val="none"/>
        </w:rPr>
      </w:pPr>
    </w:p>
    <w:p w14:paraId="148477EB" w14:textId="5D1BEC9C" w:rsidR="00FA1574" w:rsidRPr="00FA1574" w:rsidRDefault="00FA1574" w:rsidP="00FA1574">
      <w:pPr>
        <w:spacing w:after="160" w:line="259" w:lineRule="auto"/>
        <w:rPr>
          <w:rFonts w:ascii="Arial" w:hAnsi="Arial" w:cs="Arial"/>
          <w:b/>
          <w:bCs/>
          <w:color w:val="auto"/>
          <w:kern w:val="0"/>
          <w:sz w:val="52"/>
          <w:szCs w:val="52"/>
          <w14:ligatures w14:val="none"/>
        </w:rPr>
      </w:pPr>
      <w:r w:rsidRPr="00FA1574">
        <w:rPr>
          <w:rFonts w:ascii="Arial" w:hAnsi="Arial" w:cs="Arial"/>
          <w:b/>
          <w:bCs/>
          <w:color w:val="auto"/>
          <w:kern w:val="0"/>
          <w:sz w:val="52"/>
          <w:szCs w:val="52"/>
          <w14:ligatures w14:val="none"/>
        </w:rPr>
        <w:lastRenderedPageBreak/>
        <w:t xml:space="preserve">PART </w:t>
      </w:r>
      <w:r w:rsidR="00A4164E">
        <w:rPr>
          <w:rFonts w:ascii="Arial" w:hAnsi="Arial" w:cs="Arial"/>
          <w:b/>
          <w:bCs/>
          <w:color w:val="auto"/>
          <w:kern w:val="0"/>
          <w:sz w:val="52"/>
          <w:szCs w:val="52"/>
          <w14:ligatures w14:val="none"/>
        </w:rPr>
        <w:t>EIGHT</w:t>
      </w:r>
      <w:r w:rsidRPr="00FA1574">
        <w:rPr>
          <w:rFonts w:ascii="Arial" w:hAnsi="Arial" w:cs="Arial"/>
          <w:b/>
          <w:bCs/>
          <w:color w:val="auto"/>
          <w:kern w:val="0"/>
          <w:sz w:val="52"/>
          <w:szCs w:val="52"/>
          <w14:ligatures w14:val="none"/>
        </w:rPr>
        <w:t>: NOTABLE QUOTES</w:t>
      </w:r>
    </w:p>
    <w:p w14:paraId="38F93C40" w14:textId="77777777" w:rsidR="00FA1574" w:rsidRPr="00FA1574" w:rsidRDefault="00FA1574" w:rsidP="00FA1574">
      <w:pPr>
        <w:spacing w:after="160" w:line="259" w:lineRule="auto"/>
        <w:rPr>
          <w:rFonts w:ascii="Arial" w:hAnsi="Arial" w:cs="Arial"/>
          <w:b/>
          <w:bCs/>
          <w:color w:val="auto"/>
          <w:kern w:val="0"/>
          <w:sz w:val="28"/>
          <w:szCs w:val="28"/>
          <w14:ligatures w14:val="none"/>
        </w:rPr>
      </w:pPr>
      <w:r w:rsidRPr="00FA1574">
        <w:rPr>
          <w:rFonts w:ascii="Arial" w:hAnsi="Arial" w:cs="Arial"/>
          <w:b/>
          <w:bCs/>
          <w:color w:val="auto"/>
          <w:kern w:val="0"/>
          <w:sz w:val="28"/>
          <w:szCs w:val="28"/>
          <w14:ligatures w14:val="none"/>
        </w:rPr>
        <w:t>On Strategic Goal 1:</w:t>
      </w:r>
    </w:p>
    <w:p w14:paraId="4C8940D6" w14:textId="77777777" w:rsidR="00FA1574" w:rsidRPr="00FA1574" w:rsidRDefault="00FA1574" w:rsidP="00FA1574">
      <w:pPr>
        <w:spacing w:after="160" w:line="259" w:lineRule="auto"/>
        <w:rPr>
          <w:rFonts w:ascii="Arial" w:hAnsi="Arial" w:cs="Arial"/>
          <w:i/>
          <w:iCs/>
          <w:color w:val="auto"/>
          <w:kern w:val="0"/>
          <w:sz w:val="20"/>
          <w:szCs w:val="20"/>
          <w14:ligatures w14:val="none"/>
        </w:rPr>
      </w:pPr>
      <w:r w:rsidRPr="00FA1574">
        <w:rPr>
          <w:rFonts w:ascii="Arial" w:hAnsi="Arial" w:cs="Arial"/>
          <w:i/>
          <w:iCs/>
          <w:color w:val="auto"/>
          <w:kern w:val="0"/>
          <w:sz w:val="20"/>
          <w:szCs w:val="20"/>
          <w14:ligatures w14:val="none"/>
        </w:rPr>
        <w:t>“I feel confident that NFRS is dedicated to keeping our community safe from fires and other emergencies based off their proactive approach in the community risk management plan which emphasizes prevention, education, and collaboration with local organizations. This shows a strong commitment to understanding and addressing the unique risks we face. However, I think it's important for the service to continue fostering open communication with residents. Ensuring that community members are informed and engaged in safety initiatives can enhance trust and effectiveness.”</w:t>
      </w:r>
    </w:p>
    <w:p w14:paraId="48892690" w14:textId="77777777" w:rsidR="00FA1574" w:rsidRPr="00FA1574" w:rsidRDefault="00FA1574" w:rsidP="00FA1574">
      <w:pPr>
        <w:numPr>
          <w:ilvl w:val="0"/>
          <w:numId w:val="43"/>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General Population Focus Group Attendee, on Strategic Goal 1</w:t>
      </w:r>
    </w:p>
    <w:p w14:paraId="50992D77" w14:textId="77777777" w:rsidR="00FA1574" w:rsidRPr="00FA1574" w:rsidRDefault="00FA1574" w:rsidP="00FA1574">
      <w:pPr>
        <w:spacing w:after="160" w:line="259" w:lineRule="auto"/>
        <w:rPr>
          <w:rFonts w:ascii="Arial" w:hAnsi="Arial" w:cs="Arial"/>
          <w:i/>
          <w:iCs/>
          <w:color w:val="auto"/>
          <w:kern w:val="0"/>
          <w:sz w:val="20"/>
          <w:szCs w:val="20"/>
          <w14:ligatures w14:val="none"/>
        </w:rPr>
      </w:pPr>
    </w:p>
    <w:p w14:paraId="1F720F31" w14:textId="77777777" w:rsidR="00FA1574" w:rsidRPr="00FA1574" w:rsidRDefault="00FA1574" w:rsidP="00FA1574">
      <w:pPr>
        <w:spacing w:after="160" w:line="259" w:lineRule="auto"/>
        <w:rPr>
          <w:rFonts w:ascii="Arial" w:hAnsi="Arial" w:cs="Arial"/>
          <w:i/>
          <w:iCs/>
          <w:color w:val="auto"/>
          <w:kern w:val="0"/>
          <w:sz w:val="20"/>
          <w:szCs w:val="20"/>
          <w14:ligatures w14:val="none"/>
        </w:rPr>
      </w:pPr>
      <w:r w:rsidRPr="00FA1574">
        <w:rPr>
          <w:rFonts w:ascii="Arial" w:hAnsi="Arial" w:cs="Arial"/>
          <w:i/>
          <w:iCs/>
          <w:color w:val="auto"/>
          <w:kern w:val="0"/>
          <w:sz w:val="20"/>
          <w:szCs w:val="20"/>
          <w14:ligatures w14:val="none"/>
        </w:rPr>
        <w:t>“I feel confident that NFRS is committed to keeping our community safe from fires and other emergencies. Their focus on prevention, education, and community engagement is key. The community risk management plan highlights proactive measures like fire safety campaigns, partnerships with local organizations, and targeted interventions for vulnerable groups.”</w:t>
      </w:r>
    </w:p>
    <w:p w14:paraId="75BD7FEC" w14:textId="77777777" w:rsidR="00FA1574" w:rsidRPr="00FA1574" w:rsidRDefault="00FA1574" w:rsidP="00FA1574">
      <w:pPr>
        <w:numPr>
          <w:ilvl w:val="0"/>
          <w:numId w:val="43"/>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General Population Focus Group Attendee, on Strategic Goal 1</w:t>
      </w:r>
    </w:p>
    <w:p w14:paraId="01E178A0" w14:textId="77777777" w:rsidR="00FA1574" w:rsidRPr="00FA1574" w:rsidRDefault="00FA1574" w:rsidP="00FA1574">
      <w:pPr>
        <w:spacing w:after="160" w:line="259" w:lineRule="auto"/>
        <w:rPr>
          <w:rFonts w:ascii="Arial" w:hAnsi="Arial" w:cs="Arial"/>
          <w:i/>
          <w:iCs/>
          <w:color w:val="auto"/>
          <w:kern w:val="0"/>
          <w:sz w:val="20"/>
          <w:szCs w:val="20"/>
          <w14:ligatures w14:val="none"/>
        </w:rPr>
      </w:pPr>
    </w:p>
    <w:p w14:paraId="41DD3737" w14:textId="77777777" w:rsidR="00FA1574" w:rsidRPr="00FA1574" w:rsidRDefault="00FA1574" w:rsidP="00FA1574">
      <w:pPr>
        <w:spacing w:after="160" w:line="259" w:lineRule="auto"/>
        <w:rPr>
          <w:rFonts w:ascii="Arial" w:hAnsi="Arial" w:cs="Arial"/>
          <w:i/>
          <w:iCs/>
          <w:color w:val="auto"/>
          <w:kern w:val="0"/>
          <w:sz w:val="20"/>
          <w:szCs w:val="20"/>
          <w14:ligatures w14:val="none"/>
        </w:rPr>
      </w:pPr>
      <w:r w:rsidRPr="00FA1574">
        <w:rPr>
          <w:rFonts w:ascii="Arial" w:hAnsi="Arial" w:cs="Arial"/>
          <w:i/>
          <w:iCs/>
          <w:color w:val="auto"/>
          <w:kern w:val="0"/>
          <w:sz w:val="20"/>
          <w:szCs w:val="20"/>
          <w14:ligatures w14:val="none"/>
        </w:rPr>
        <w:t>“You're doing well, but fundamentally the question is what *more* can you do. Constraints seem to be keeping you from adding folks to "at risk" lists - the Severn Trent / priority services idea sounded useful. A specific focus on allowing the fire service more access to council and utilities data could help.”</w:t>
      </w:r>
    </w:p>
    <w:p w14:paraId="5E9C0F73" w14:textId="77777777" w:rsidR="00FA1574" w:rsidRPr="00FA1574" w:rsidRDefault="00FA1574" w:rsidP="00FA1574">
      <w:pPr>
        <w:numPr>
          <w:ilvl w:val="0"/>
          <w:numId w:val="43"/>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In2People Focus Group Attendee, on Strategic Goal 1</w:t>
      </w:r>
    </w:p>
    <w:p w14:paraId="240990C9" w14:textId="77777777" w:rsidR="00FA1574" w:rsidRPr="00FA1574" w:rsidRDefault="00FA1574" w:rsidP="00FA1574">
      <w:pPr>
        <w:spacing w:after="160" w:line="259" w:lineRule="auto"/>
        <w:rPr>
          <w:rFonts w:ascii="Arial" w:hAnsi="Arial" w:cs="Arial"/>
          <w:i/>
          <w:iCs/>
          <w:color w:val="auto"/>
          <w:kern w:val="0"/>
          <w:sz w:val="20"/>
          <w:szCs w:val="20"/>
          <w14:ligatures w14:val="none"/>
        </w:rPr>
      </w:pPr>
    </w:p>
    <w:p w14:paraId="1E0438FA" w14:textId="77777777" w:rsidR="00FA1574" w:rsidRPr="00FA1574" w:rsidRDefault="00FA1574" w:rsidP="00FA1574">
      <w:pPr>
        <w:spacing w:after="160" w:line="259" w:lineRule="auto"/>
        <w:rPr>
          <w:rFonts w:ascii="Arial" w:hAnsi="Arial" w:cs="Arial"/>
          <w:i/>
          <w:iCs/>
          <w:color w:val="auto"/>
          <w:kern w:val="0"/>
          <w:sz w:val="20"/>
          <w:szCs w:val="20"/>
          <w14:ligatures w14:val="none"/>
        </w:rPr>
      </w:pPr>
      <w:r w:rsidRPr="00FA1574">
        <w:rPr>
          <w:rFonts w:ascii="Arial" w:hAnsi="Arial" w:cs="Arial"/>
          <w:i/>
          <w:iCs/>
          <w:color w:val="auto"/>
          <w:kern w:val="0"/>
          <w:sz w:val="20"/>
          <w:szCs w:val="20"/>
          <w14:ligatures w14:val="none"/>
        </w:rPr>
        <w:t>“Happy that areas of prevention are being considered. Partnership working is key as very often people with vulnerabilities do not want to become involved with “authorities”. Sharing of information key. Housing Associations have lists of their vulnerable residents. Following today I have now a greater understanding of what you can do.”</w:t>
      </w:r>
    </w:p>
    <w:p w14:paraId="230A8D03" w14:textId="77777777" w:rsidR="00FA1574" w:rsidRPr="00FA1574" w:rsidRDefault="00FA1574" w:rsidP="00FA1574">
      <w:pPr>
        <w:numPr>
          <w:ilvl w:val="0"/>
          <w:numId w:val="43"/>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In2People Focus Group Attendee, on Strategic Goal 1</w:t>
      </w:r>
    </w:p>
    <w:p w14:paraId="66D07CC9" w14:textId="77777777" w:rsidR="00FA1574" w:rsidRPr="00FA1574" w:rsidRDefault="00FA1574" w:rsidP="00FA1574">
      <w:pPr>
        <w:spacing w:after="160" w:line="259" w:lineRule="auto"/>
        <w:rPr>
          <w:rFonts w:ascii="Arial" w:hAnsi="Arial" w:cs="Arial"/>
          <w:i/>
          <w:iCs/>
          <w:color w:val="auto"/>
          <w:kern w:val="0"/>
          <w:sz w:val="20"/>
          <w:szCs w:val="20"/>
          <w14:ligatures w14:val="none"/>
        </w:rPr>
      </w:pPr>
    </w:p>
    <w:p w14:paraId="67501CE9" w14:textId="77777777" w:rsidR="00FA1574" w:rsidRPr="00FA1574" w:rsidRDefault="00FA1574" w:rsidP="00FA1574">
      <w:pPr>
        <w:spacing w:after="160" w:line="259" w:lineRule="auto"/>
        <w:rPr>
          <w:rFonts w:ascii="Arial" w:hAnsi="Arial" w:cs="Arial"/>
          <w:i/>
          <w:iCs/>
          <w:color w:val="auto"/>
          <w:kern w:val="0"/>
          <w:sz w:val="20"/>
          <w:szCs w:val="20"/>
          <w14:ligatures w14:val="none"/>
        </w:rPr>
      </w:pPr>
      <w:r w:rsidRPr="00FA1574">
        <w:rPr>
          <w:rFonts w:ascii="Arial" w:hAnsi="Arial" w:cs="Arial"/>
          <w:i/>
          <w:iCs/>
          <w:color w:val="auto"/>
          <w:kern w:val="0"/>
          <w:sz w:val="20"/>
          <w:szCs w:val="20"/>
          <w14:ligatures w14:val="none"/>
        </w:rPr>
        <w:t>“The plan gives me confidence in NFRS ability to keep our communities safe. I already feel they do an amazing job in keeping us safe, so it fills me with confidence to see their plan for constant improvement.”</w:t>
      </w:r>
    </w:p>
    <w:p w14:paraId="0771F415" w14:textId="77777777" w:rsidR="00FA1574" w:rsidRPr="00FA1574" w:rsidRDefault="00FA1574" w:rsidP="00FA1574">
      <w:pPr>
        <w:numPr>
          <w:ilvl w:val="0"/>
          <w:numId w:val="43"/>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In2People Focus Group Attendee on Strategic Goal 1</w:t>
      </w:r>
    </w:p>
    <w:p w14:paraId="39AD9083" w14:textId="77777777" w:rsidR="00FA1574" w:rsidRPr="00FA1574" w:rsidRDefault="00FA1574" w:rsidP="00FA1574">
      <w:pPr>
        <w:spacing w:after="160" w:line="259" w:lineRule="auto"/>
        <w:rPr>
          <w:rFonts w:ascii="Arial" w:hAnsi="Arial" w:cs="Arial"/>
          <w:i/>
          <w:iCs/>
          <w:color w:val="auto"/>
          <w:kern w:val="0"/>
          <w:sz w:val="20"/>
          <w:szCs w:val="20"/>
          <w14:ligatures w14:val="none"/>
        </w:rPr>
      </w:pPr>
    </w:p>
    <w:p w14:paraId="528DC4FC" w14:textId="77777777" w:rsidR="00FA1574" w:rsidRPr="00FA1574" w:rsidRDefault="00FA1574" w:rsidP="00FA1574">
      <w:pPr>
        <w:spacing w:after="160" w:line="259" w:lineRule="auto"/>
        <w:rPr>
          <w:rFonts w:ascii="Arial" w:hAnsi="Arial" w:cs="Arial"/>
          <w:i/>
          <w:iCs/>
          <w:color w:val="auto"/>
          <w:kern w:val="0"/>
          <w:sz w:val="20"/>
          <w:szCs w:val="20"/>
          <w14:ligatures w14:val="none"/>
        </w:rPr>
      </w:pPr>
      <w:r w:rsidRPr="00FA1574">
        <w:rPr>
          <w:rFonts w:ascii="Arial" w:hAnsi="Arial" w:cs="Arial"/>
          <w:i/>
          <w:iCs/>
          <w:color w:val="auto"/>
          <w:kern w:val="0"/>
          <w:sz w:val="20"/>
          <w:szCs w:val="20"/>
          <w14:ligatures w14:val="none"/>
        </w:rPr>
        <w:t>“The plan gives confidence because more people will get smoke alarms fitted within their homes.”</w:t>
      </w:r>
    </w:p>
    <w:p w14:paraId="23CAD7C2" w14:textId="77777777" w:rsidR="00FA1574" w:rsidRPr="00FA1574" w:rsidRDefault="00FA1574" w:rsidP="00FA1574">
      <w:pPr>
        <w:numPr>
          <w:ilvl w:val="0"/>
          <w:numId w:val="43"/>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Young People Focus Group Attendee, on Strategic Goal 1</w:t>
      </w:r>
    </w:p>
    <w:p w14:paraId="37C3E9A5" w14:textId="77777777" w:rsidR="00FA1574" w:rsidRPr="00FA1574" w:rsidRDefault="00FA1574" w:rsidP="00FA1574">
      <w:pPr>
        <w:spacing w:after="160" w:line="259" w:lineRule="auto"/>
        <w:rPr>
          <w:rFonts w:ascii="Arial" w:hAnsi="Arial" w:cs="Arial"/>
          <w:i/>
          <w:iCs/>
          <w:color w:val="auto"/>
          <w:kern w:val="0"/>
          <w:sz w:val="20"/>
          <w:szCs w:val="20"/>
          <w14:ligatures w14:val="none"/>
        </w:rPr>
      </w:pPr>
    </w:p>
    <w:p w14:paraId="71E7334F" w14:textId="77777777" w:rsidR="00FA1574" w:rsidRPr="00FA1574" w:rsidRDefault="00FA1574" w:rsidP="00FA1574">
      <w:pPr>
        <w:spacing w:after="160" w:line="259" w:lineRule="auto"/>
        <w:rPr>
          <w:rFonts w:ascii="Arial" w:hAnsi="Arial" w:cs="Arial"/>
          <w:i/>
          <w:iCs/>
          <w:color w:val="auto"/>
          <w:kern w:val="0"/>
          <w:sz w:val="20"/>
          <w:szCs w:val="20"/>
          <w14:ligatures w14:val="none"/>
        </w:rPr>
      </w:pPr>
      <w:r w:rsidRPr="00FA1574">
        <w:rPr>
          <w:rFonts w:ascii="Arial" w:hAnsi="Arial" w:cs="Arial"/>
          <w:i/>
          <w:iCs/>
          <w:color w:val="auto"/>
          <w:kern w:val="0"/>
          <w:sz w:val="20"/>
          <w:szCs w:val="20"/>
          <w14:ligatures w14:val="none"/>
        </w:rPr>
        <w:t>“I am confident, I feel like you have a grasp of your own weaknesses and are actively trying to combat them.”</w:t>
      </w:r>
    </w:p>
    <w:p w14:paraId="4DA84BC5" w14:textId="77777777" w:rsidR="00FA1574" w:rsidRPr="00FA1574" w:rsidRDefault="00FA1574" w:rsidP="00FA1574">
      <w:pPr>
        <w:numPr>
          <w:ilvl w:val="0"/>
          <w:numId w:val="43"/>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LGBTQ+ Focus Group Attendee, on Strategic Goal 1</w:t>
      </w:r>
    </w:p>
    <w:p w14:paraId="4C6F97F6" w14:textId="77777777" w:rsidR="00FA1574" w:rsidRPr="00FA1574" w:rsidRDefault="00FA1574" w:rsidP="00FA1574">
      <w:pPr>
        <w:spacing w:after="160" w:line="259" w:lineRule="auto"/>
        <w:rPr>
          <w:rFonts w:ascii="Arial" w:hAnsi="Arial" w:cs="Arial"/>
          <w:color w:val="auto"/>
          <w:kern w:val="0"/>
          <w14:ligatures w14:val="none"/>
        </w:rPr>
      </w:pPr>
    </w:p>
    <w:p w14:paraId="70259893" w14:textId="77777777" w:rsidR="00FA1574" w:rsidRPr="00FA1574" w:rsidRDefault="00FA1574" w:rsidP="00FA1574">
      <w:pPr>
        <w:spacing w:after="160" w:line="259" w:lineRule="auto"/>
        <w:rPr>
          <w:rFonts w:ascii="Arial" w:hAnsi="Arial" w:cs="Arial"/>
          <w:b/>
          <w:bCs/>
          <w:color w:val="auto"/>
          <w:kern w:val="0"/>
          <w:sz w:val="28"/>
          <w:szCs w:val="28"/>
          <w14:ligatures w14:val="none"/>
        </w:rPr>
      </w:pPr>
      <w:r w:rsidRPr="00FA1574">
        <w:rPr>
          <w:rFonts w:ascii="Arial" w:hAnsi="Arial" w:cs="Arial"/>
          <w:b/>
          <w:bCs/>
          <w:color w:val="auto"/>
          <w:kern w:val="0"/>
          <w:sz w:val="28"/>
          <w:szCs w:val="28"/>
          <w14:ligatures w14:val="none"/>
        </w:rPr>
        <w:lastRenderedPageBreak/>
        <w:t>On Strategic Goal 2:</w:t>
      </w:r>
    </w:p>
    <w:p w14:paraId="6D5B21EE" w14:textId="77777777" w:rsidR="00FA1574" w:rsidRPr="00FA1574" w:rsidRDefault="00FA1574" w:rsidP="00FA1574">
      <w:pPr>
        <w:spacing w:after="160" w:line="259" w:lineRule="auto"/>
        <w:rPr>
          <w:rFonts w:ascii="Arial" w:hAnsi="Arial" w:cs="Arial"/>
          <w:i/>
          <w:iCs/>
          <w:color w:val="auto"/>
          <w:kern w:val="0"/>
          <w:sz w:val="20"/>
          <w:szCs w:val="20"/>
          <w14:ligatures w14:val="none"/>
        </w:rPr>
      </w:pPr>
      <w:r w:rsidRPr="00FA1574">
        <w:rPr>
          <w:rFonts w:ascii="Arial" w:hAnsi="Arial" w:cs="Arial"/>
          <w:i/>
          <w:iCs/>
          <w:color w:val="auto"/>
          <w:kern w:val="0"/>
          <w:sz w:val="20"/>
          <w:szCs w:val="20"/>
          <w14:ligatures w14:val="none"/>
        </w:rPr>
        <w:t>“I think charging a call-out fee for unnecessary false alarms at business premises could be a fair approach, particularly if efforts to address these alarms through other means have not been effective. However, it's essential that the fire service ensures businesses are well-informed about how to prevent false alarms and that they have support in upgrading their systems. A clear explanation of the rationale behind the fee, along with proper education on how to avoid false alarms, could encourage businesses to be more proactive in maintaining effective alarm systems. This would also help maintain a positive relationship between the fire service and the business community.”</w:t>
      </w:r>
    </w:p>
    <w:p w14:paraId="5C31A244" w14:textId="77777777" w:rsidR="00FA1574" w:rsidRPr="00FA1574" w:rsidRDefault="00FA1574" w:rsidP="00FA1574">
      <w:pPr>
        <w:numPr>
          <w:ilvl w:val="0"/>
          <w:numId w:val="43"/>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General Population Focus Group Attendee, on Strategic Goal 2</w:t>
      </w:r>
    </w:p>
    <w:p w14:paraId="772AFFD0" w14:textId="77777777" w:rsidR="00FA1574" w:rsidRPr="00FA1574" w:rsidRDefault="00FA1574" w:rsidP="00FA1574">
      <w:pPr>
        <w:spacing w:after="160" w:line="259" w:lineRule="auto"/>
        <w:rPr>
          <w:rFonts w:ascii="Arial" w:hAnsi="Arial" w:cs="Arial"/>
          <w:b/>
          <w:bCs/>
          <w:color w:val="auto"/>
          <w:kern w:val="0"/>
          <w14:ligatures w14:val="none"/>
        </w:rPr>
      </w:pPr>
    </w:p>
    <w:p w14:paraId="47A4CB18" w14:textId="77777777" w:rsidR="00FA1574" w:rsidRPr="00FA1574" w:rsidRDefault="00FA1574" w:rsidP="00FA1574">
      <w:pPr>
        <w:spacing w:after="160" w:line="259" w:lineRule="auto"/>
        <w:rPr>
          <w:rFonts w:ascii="Arial" w:hAnsi="Arial" w:cs="Arial"/>
          <w:i/>
          <w:iCs/>
          <w:color w:val="auto"/>
          <w:kern w:val="0"/>
          <w:sz w:val="20"/>
          <w:szCs w:val="20"/>
          <w14:ligatures w14:val="none"/>
        </w:rPr>
      </w:pPr>
      <w:r w:rsidRPr="00FA1574">
        <w:rPr>
          <w:rFonts w:ascii="Arial" w:hAnsi="Arial" w:cs="Arial"/>
          <w:i/>
          <w:iCs/>
          <w:color w:val="auto"/>
          <w:kern w:val="0"/>
          <w:sz w:val="20"/>
          <w:szCs w:val="20"/>
          <w14:ligatures w14:val="none"/>
        </w:rPr>
        <w:t>“I think that providing that protocols are put in place, so that we have done as much as we can. Make sure all incidents, recommendations are taken than yes! I think that you should also consider the impact of collecting the debt once it has been raised. We must keep good records in case it has to go to court if nonpayment.”</w:t>
      </w:r>
    </w:p>
    <w:p w14:paraId="18102D5D" w14:textId="77777777" w:rsidR="00FA1574" w:rsidRPr="00FA1574" w:rsidRDefault="00FA1574" w:rsidP="00FA1574">
      <w:pPr>
        <w:numPr>
          <w:ilvl w:val="0"/>
          <w:numId w:val="43"/>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In2People Focus Group Attendee, on Strategic Goal 2</w:t>
      </w:r>
    </w:p>
    <w:p w14:paraId="3FA913DD" w14:textId="77777777" w:rsidR="00FA1574" w:rsidRPr="00FA1574" w:rsidRDefault="00FA1574" w:rsidP="00FA1574">
      <w:pPr>
        <w:spacing w:after="160" w:line="259" w:lineRule="auto"/>
        <w:rPr>
          <w:rFonts w:ascii="Arial" w:hAnsi="Arial" w:cs="Arial"/>
          <w:b/>
          <w:bCs/>
          <w:color w:val="auto"/>
          <w:kern w:val="0"/>
          <w14:ligatures w14:val="none"/>
        </w:rPr>
      </w:pPr>
    </w:p>
    <w:p w14:paraId="546BDF46" w14:textId="77777777" w:rsidR="00FA1574" w:rsidRPr="00FA1574" w:rsidRDefault="00FA1574" w:rsidP="00FA1574">
      <w:pPr>
        <w:spacing w:after="160" w:line="259" w:lineRule="auto"/>
        <w:rPr>
          <w:rFonts w:ascii="Arial" w:hAnsi="Arial" w:cs="Arial"/>
          <w:i/>
          <w:iCs/>
          <w:color w:val="auto"/>
          <w:kern w:val="0"/>
          <w:sz w:val="20"/>
          <w:szCs w:val="20"/>
          <w14:ligatures w14:val="none"/>
        </w:rPr>
      </w:pPr>
      <w:r w:rsidRPr="00FA1574">
        <w:rPr>
          <w:rFonts w:ascii="Arial" w:hAnsi="Arial" w:cs="Arial"/>
          <w:i/>
          <w:iCs/>
          <w:color w:val="auto"/>
          <w:kern w:val="0"/>
          <w:sz w:val="20"/>
          <w:szCs w:val="20"/>
          <w14:ligatures w14:val="none"/>
        </w:rPr>
        <w:t>“I worry that the messaging that it is business only might not be strong enough and may lead to people be discouraged from calling. If the messaging is clear, it may encourage university halls with faulty alarm systems to fix their systems. I think it would decrease the number of callouts, but it highlights the commercialisation of our public services.”</w:t>
      </w:r>
    </w:p>
    <w:p w14:paraId="4961600A" w14:textId="77777777" w:rsidR="00FA1574" w:rsidRPr="00FA1574" w:rsidRDefault="00FA1574" w:rsidP="00FA1574">
      <w:pPr>
        <w:numPr>
          <w:ilvl w:val="0"/>
          <w:numId w:val="43"/>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General Population Focus Group Attendee, on Strategic Goal 2</w:t>
      </w:r>
    </w:p>
    <w:p w14:paraId="37AE30C8" w14:textId="77777777" w:rsidR="00FA1574" w:rsidRPr="00FA1574" w:rsidRDefault="00FA1574" w:rsidP="00FA1574">
      <w:pPr>
        <w:spacing w:after="160" w:line="259" w:lineRule="auto"/>
        <w:rPr>
          <w:rFonts w:ascii="Arial" w:hAnsi="Arial" w:cs="Arial"/>
          <w:color w:val="auto"/>
          <w:kern w:val="0"/>
          <w:sz w:val="20"/>
          <w:szCs w:val="20"/>
          <w14:ligatures w14:val="none"/>
        </w:rPr>
      </w:pPr>
    </w:p>
    <w:p w14:paraId="309237A2" w14:textId="77777777" w:rsidR="00FA1574" w:rsidRPr="00FA1574" w:rsidRDefault="00FA1574" w:rsidP="00FA1574">
      <w:pPr>
        <w:spacing w:after="160" w:line="259" w:lineRule="auto"/>
        <w:rPr>
          <w:rFonts w:ascii="Arial" w:hAnsi="Arial" w:cs="Arial"/>
          <w:i/>
          <w:iCs/>
          <w:color w:val="auto"/>
          <w:kern w:val="0"/>
          <w:sz w:val="20"/>
          <w:szCs w:val="20"/>
          <w14:ligatures w14:val="none"/>
        </w:rPr>
      </w:pPr>
      <w:r w:rsidRPr="00FA1574">
        <w:rPr>
          <w:rFonts w:ascii="Arial" w:hAnsi="Arial" w:cs="Arial"/>
          <w:i/>
          <w:iCs/>
          <w:color w:val="auto"/>
          <w:kern w:val="0"/>
          <w:sz w:val="20"/>
          <w:szCs w:val="20"/>
          <w14:ligatures w14:val="none"/>
        </w:rPr>
        <w:t>“It's very complicated and needs nuance. A simple warehouse with a dodgy wire would be easy to hit with "third call in X weeks and you get a charge". A massive, and massively busy campus like QMC or Kings Mill would prove almost impossible to reign in. You would need a solid marketing campaign to explain why, and why some sites are being omitted.”</w:t>
      </w:r>
    </w:p>
    <w:p w14:paraId="746D068F" w14:textId="77777777" w:rsidR="00FA1574" w:rsidRPr="00FA1574" w:rsidRDefault="00FA1574" w:rsidP="00FA1574">
      <w:pPr>
        <w:numPr>
          <w:ilvl w:val="0"/>
          <w:numId w:val="43"/>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General Population Focus Group Attendee, on Strategic Goal 2</w:t>
      </w:r>
    </w:p>
    <w:p w14:paraId="403D6B29" w14:textId="77777777" w:rsidR="00A30C20" w:rsidRDefault="00A30C20" w:rsidP="00FA1574">
      <w:pPr>
        <w:spacing w:after="160" w:line="259" w:lineRule="auto"/>
        <w:rPr>
          <w:rFonts w:ascii="Arial" w:hAnsi="Arial" w:cs="Arial"/>
          <w:b/>
          <w:bCs/>
          <w:color w:val="auto"/>
          <w:kern w:val="0"/>
          <w:sz w:val="28"/>
          <w:szCs w:val="28"/>
          <w14:ligatures w14:val="none"/>
        </w:rPr>
      </w:pPr>
    </w:p>
    <w:p w14:paraId="15A18B72" w14:textId="258A286C" w:rsidR="00FA1574" w:rsidRPr="00FA1574" w:rsidRDefault="00FA1574" w:rsidP="00FA1574">
      <w:pPr>
        <w:spacing w:after="160" w:line="259" w:lineRule="auto"/>
        <w:rPr>
          <w:rFonts w:ascii="Arial" w:hAnsi="Arial" w:cs="Arial"/>
          <w:b/>
          <w:bCs/>
          <w:color w:val="auto"/>
          <w:kern w:val="0"/>
          <w:sz w:val="28"/>
          <w:szCs w:val="28"/>
          <w14:ligatures w14:val="none"/>
        </w:rPr>
      </w:pPr>
      <w:r w:rsidRPr="00FA1574">
        <w:rPr>
          <w:rFonts w:ascii="Arial" w:hAnsi="Arial" w:cs="Arial"/>
          <w:b/>
          <w:bCs/>
          <w:color w:val="auto"/>
          <w:kern w:val="0"/>
          <w:sz w:val="28"/>
          <w:szCs w:val="28"/>
          <w14:ligatures w14:val="none"/>
        </w:rPr>
        <w:t>On Strategic Goal 4:</w:t>
      </w:r>
    </w:p>
    <w:p w14:paraId="716F52AD" w14:textId="77777777" w:rsidR="00FA1574" w:rsidRPr="00FA1574" w:rsidRDefault="00FA1574" w:rsidP="00FA1574">
      <w:pPr>
        <w:spacing w:after="160" w:line="259" w:lineRule="auto"/>
        <w:rPr>
          <w:rFonts w:ascii="Arial" w:hAnsi="Arial" w:cs="Arial"/>
          <w:i/>
          <w:iCs/>
          <w:color w:val="auto"/>
          <w:kern w:val="0"/>
          <w:sz w:val="20"/>
          <w:szCs w:val="20"/>
          <w14:ligatures w14:val="none"/>
        </w:rPr>
      </w:pPr>
      <w:r w:rsidRPr="00FA1574">
        <w:rPr>
          <w:rFonts w:ascii="Arial" w:hAnsi="Arial" w:cs="Arial"/>
          <w:i/>
          <w:iCs/>
          <w:color w:val="auto"/>
          <w:kern w:val="0"/>
          <w:sz w:val="20"/>
          <w:szCs w:val="20"/>
          <w14:ligatures w14:val="none"/>
        </w:rPr>
        <w:t>“I believe that NFRS sounds like an organisation that is committed to fostering a diverse and inclusive workforce, where the well-being of staff is a priority. The focus on aligning the culture of the service with public expectations also indicates a progressive organisation that values transparency and public trust. Moreover, with the emphasis on leadership development, it sounds like a place where employees have opportunities for growth and career progression while contributing meaningfully to their communities.”</w:t>
      </w:r>
    </w:p>
    <w:p w14:paraId="56C3B4E0" w14:textId="77777777" w:rsidR="00FA1574" w:rsidRPr="00FA1574" w:rsidRDefault="00FA1574" w:rsidP="00FA1574">
      <w:pPr>
        <w:numPr>
          <w:ilvl w:val="0"/>
          <w:numId w:val="43"/>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Disability Focus Group Attendee, on Strategic Goal 4</w:t>
      </w:r>
    </w:p>
    <w:p w14:paraId="2CFEE34C" w14:textId="77777777" w:rsidR="00FA1574" w:rsidRPr="00FA1574" w:rsidRDefault="00FA1574" w:rsidP="00FA1574">
      <w:pPr>
        <w:spacing w:after="160" w:line="259" w:lineRule="auto"/>
        <w:rPr>
          <w:rFonts w:ascii="Arial" w:hAnsi="Arial" w:cs="Arial"/>
          <w:b/>
          <w:bCs/>
          <w:color w:val="auto"/>
          <w:kern w:val="0"/>
          <w14:ligatures w14:val="none"/>
        </w:rPr>
      </w:pPr>
    </w:p>
    <w:p w14:paraId="49629FFE" w14:textId="77777777" w:rsidR="00FA1574" w:rsidRPr="00FA1574" w:rsidRDefault="00FA1574" w:rsidP="00FA1574">
      <w:pPr>
        <w:spacing w:after="160" w:line="259" w:lineRule="auto"/>
        <w:rPr>
          <w:rFonts w:ascii="Arial" w:hAnsi="Arial" w:cs="Arial"/>
          <w:i/>
          <w:iCs/>
          <w:color w:val="auto"/>
          <w:kern w:val="0"/>
          <w:sz w:val="20"/>
          <w:szCs w:val="20"/>
          <w14:ligatures w14:val="none"/>
        </w:rPr>
      </w:pPr>
      <w:r w:rsidRPr="00FA1574">
        <w:rPr>
          <w:rFonts w:ascii="Arial" w:hAnsi="Arial" w:cs="Arial"/>
          <w:i/>
          <w:iCs/>
          <w:color w:val="auto"/>
          <w:kern w:val="0"/>
          <w:sz w:val="20"/>
          <w:szCs w:val="20"/>
          <w14:ligatures w14:val="none"/>
        </w:rPr>
        <w:t>“From what I’ve heard today, Nottinghamshire Fire and Rescue Service sounds like an organization that values community safety and proactive engagement. They seem committed to continuous improvement and collaboration, focusing on prevention and education. It appears to be a supportive environment where employees can make a real difference in their communities, and where innovation and feedback are welcomed. Overall, it sounds like a fulfilling place to work.”</w:t>
      </w:r>
    </w:p>
    <w:p w14:paraId="67A0B4C1" w14:textId="77777777" w:rsidR="00FA1574" w:rsidRPr="00FA1574" w:rsidRDefault="00FA1574" w:rsidP="00FA1574">
      <w:pPr>
        <w:numPr>
          <w:ilvl w:val="0"/>
          <w:numId w:val="43"/>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lastRenderedPageBreak/>
        <w:t>LGBTQ+ Focus Group Attendee, on Strategic Goal 4</w:t>
      </w:r>
    </w:p>
    <w:p w14:paraId="1B433605" w14:textId="77777777" w:rsidR="00FA1574" w:rsidRPr="00FA1574" w:rsidRDefault="00FA1574" w:rsidP="00FA1574">
      <w:pPr>
        <w:spacing w:after="160" w:line="259" w:lineRule="auto"/>
        <w:rPr>
          <w:rFonts w:ascii="Arial" w:hAnsi="Arial" w:cs="Arial"/>
          <w:b/>
          <w:bCs/>
          <w:color w:val="auto"/>
          <w:kern w:val="0"/>
          <w14:ligatures w14:val="none"/>
        </w:rPr>
      </w:pPr>
    </w:p>
    <w:p w14:paraId="7C7C127D" w14:textId="77777777" w:rsidR="00FA1574" w:rsidRPr="00FA1574" w:rsidRDefault="00FA1574" w:rsidP="00FA1574">
      <w:pPr>
        <w:spacing w:after="160" w:line="259" w:lineRule="auto"/>
        <w:rPr>
          <w:rFonts w:ascii="Arial" w:hAnsi="Arial" w:cs="Arial"/>
          <w:i/>
          <w:iCs/>
          <w:color w:val="auto"/>
          <w:kern w:val="0"/>
          <w:sz w:val="20"/>
          <w:szCs w:val="20"/>
          <w14:ligatures w14:val="none"/>
        </w:rPr>
      </w:pPr>
      <w:r w:rsidRPr="00FA1574">
        <w:rPr>
          <w:rFonts w:ascii="Arial" w:hAnsi="Arial" w:cs="Arial"/>
          <w:i/>
          <w:iCs/>
          <w:color w:val="auto"/>
          <w:kern w:val="0"/>
          <w:sz w:val="20"/>
          <w:szCs w:val="20"/>
          <w14:ligatures w14:val="none"/>
        </w:rPr>
        <w:t>“Before today - quite masculine service, not very welcoming to 'others'. After today - a business actively looking to diversify, grow and better itself.”</w:t>
      </w:r>
    </w:p>
    <w:p w14:paraId="3EDE39D9" w14:textId="77777777" w:rsidR="00FA1574" w:rsidRPr="00FA1574" w:rsidRDefault="00FA1574" w:rsidP="00FA1574">
      <w:pPr>
        <w:numPr>
          <w:ilvl w:val="0"/>
          <w:numId w:val="43"/>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LGBTQ+ Focus Group Attendee, on Strategic Goal 4</w:t>
      </w:r>
    </w:p>
    <w:p w14:paraId="6E5E1E29" w14:textId="77777777" w:rsidR="00FA1574" w:rsidRPr="00FA1574" w:rsidRDefault="00FA1574" w:rsidP="00FA1574">
      <w:pPr>
        <w:spacing w:after="160" w:line="259" w:lineRule="auto"/>
        <w:rPr>
          <w:rFonts w:ascii="Arial" w:hAnsi="Arial" w:cs="Arial"/>
          <w:b/>
          <w:bCs/>
          <w:color w:val="auto"/>
          <w:kern w:val="0"/>
          <w:sz w:val="28"/>
          <w:szCs w:val="28"/>
          <w14:ligatures w14:val="none"/>
        </w:rPr>
      </w:pPr>
    </w:p>
    <w:p w14:paraId="2BB7ED0D" w14:textId="77777777" w:rsidR="00FA1574" w:rsidRPr="00FA1574" w:rsidRDefault="00FA1574" w:rsidP="00FA1574">
      <w:pPr>
        <w:spacing w:after="160" w:line="259" w:lineRule="auto"/>
        <w:rPr>
          <w:rFonts w:ascii="Arial" w:hAnsi="Arial" w:cs="Arial"/>
          <w:b/>
          <w:bCs/>
          <w:color w:val="auto"/>
          <w:kern w:val="0"/>
          <w:sz w:val="28"/>
          <w:szCs w:val="28"/>
          <w14:ligatures w14:val="none"/>
        </w:rPr>
      </w:pPr>
      <w:r w:rsidRPr="00FA1574">
        <w:rPr>
          <w:rFonts w:ascii="Arial" w:hAnsi="Arial" w:cs="Arial"/>
          <w:b/>
          <w:bCs/>
          <w:color w:val="auto"/>
          <w:kern w:val="0"/>
          <w:sz w:val="28"/>
          <w:szCs w:val="28"/>
          <w14:ligatures w14:val="none"/>
        </w:rPr>
        <w:t>On Strategic Goal 5:</w:t>
      </w:r>
    </w:p>
    <w:p w14:paraId="4A0DE3C3" w14:textId="77777777" w:rsidR="00FA1574" w:rsidRPr="00FA1574" w:rsidRDefault="00FA1574" w:rsidP="00FA1574">
      <w:pPr>
        <w:spacing w:after="160" w:line="259" w:lineRule="auto"/>
        <w:rPr>
          <w:rFonts w:ascii="Arial" w:hAnsi="Arial" w:cs="Arial"/>
          <w:i/>
          <w:iCs/>
          <w:color w:val="auto"/>
          <w:kern w:val="0"/>
          <w:sz w:val="20"/>
          <w:szCs w:val="20"/>
          <w14:ligatures w14:val="none"/>
        </w:rPr>
      </w:pPr>
      <w:r w:rsidRPr="00FA1574">
        <w:rPr>
          <w:rFonts w:ascii="Arial" w:hAnsi="Arial" w:cs="Arial"/>
          <w:i/>
          <w:iCs/>
          <w:color w:val="auto"/>
          <w:kern w:val="0"/>
          <w:sz w:val="20"/>
          <w:szCs w:val="20"/>
          <w14:ligatures w14:val="none"/>
        </w:rPr>
        <w:t>“Keep pushing communications and liaison - keep talking and sharing with surrounding services; with councils and trade organisations; with utilities and social groups; with social media community hubs. Stronger together!”</w:t>
      </w:r>
    </w:p>
    <w:p w14:paraId="11E79A17" w14:textId="77777777" w:rsidR="00FA1574" w:rsidRPr="00FA1574" w:rsidRDefault="00FA1574" w:rsidP="00FA1574">
      <w:pPr>
        <w:numPr>
          <w:ilvl w:val="0"/>
          <w:numId w:val="43"/>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In2People Focus Group Attendee, on Strategic Goal 5</w:t>
      </w:r>
    </w:p>
    <w:p w14:paraId="7D0F2D8F" w14:textId="77777777" w:rsidR="00FA1574" w:rsidRPr="00FA1574" w:rsidRDefault="00FA1574" w:rsidP="00FA1574">
      <w:pPr>
        <w:spacing w:after="160" w:line="259" w:lineRule="auto"/>
        <w:rPr>
          <w:rFonts w:ascii="Arial" w:hAnsi="Arial" w:cs="Arial"/>
          <w:i/>
          <w:iCs/>
          <w:color w:val="auto"/>
          <w:kern w:val="0"/>
          <w:sz w:val="20"/>
          <w:szCs w:val="20"/>
          <w14:ligatures w14:val="none"/>
        </w:rPr>
      </w:pPr>
    </w:p>
    <w:p w14:paraId="4A53B28C" w14:textId="77777777" w:rsidR="00FA1574" w:rsidRPr="00FA1574" w:rsidRDefault="00FA1574" w:rsidP="00FA1574">
      <w:pPr>
        <w:spacing w:after="160" w:line="259" w:lineRule="auto"/>
        <w:rPr>
          <w:rFonts w:ascii="Arial" w:hAnsi="Arial" w:cs="Arial"/>
          <w:i/>
          <w:iCs/>
          <w:color w:val="auto"/>
          <w:kern w:val="0"/>
          <w:sz w:val="20"/>
          <w:szCs w:val="20"/>
          <w14:ligatures w14:val="none"/>
        </w:rPr>
      </w:pPr>
      <w:r w:rsidRPr="00FA1574">
        <w:rPr>
          <w:rFonts w:ascii="Arial" w:hAnsi="Arial" w:cs="Arial"/>
          <w:i/>
          <w:iCs/>
          <w:color w:val="auto"/>
          <w:kern w:val="0"/>
          <w:sz w:val="20"/>
          <w:szCs w:val="20"/>
          <w14:ligatures w14:val="none"/>
        </w:rPr>
        <w:t>“I would make sure that when putting the plan together I would make sure that I had the resources in place not just the money! I would not put too much on the plan and not be able to deliver because we haven’t got the people in place. People are the most impotent assets so we need to make sure we can invest in them.”</w:t>
      </w:r>
    </w:p>
    <w:p w14:paraId="07F57868" w14:textId="77777777" w:rsidR="00FA1574" w:rsidRPr="00FA1574" w:rsidRDefault="00FA1574" w:rsidP="00FA1574">
      <w:pPr>
        <w:numPr>
          <w:ilvl w:val="0"/>
          <w:numId w:val="43"/>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In2People Focus Group Attendee, on Strategic Goal 5</w:t>
      </w:r>
    </w:p>
    <w:p w14:paraId="6F18F58F" w14:textId="77777777" w:rsidR="00FA1574" w:rsidRPr="00FA1574" w:rsidRDefault="00FA1574" w:rsidP="00FA1574">
      <w:pPr>
        <w:spacing w:after="160" w:line="259" w:lineRule="auto"/>
        <w:rPr>
          <w:rFonts w:ascii="Arial" w:hAnsi="Arial" w:cs="Arial"/>
          <w:i/>
          <w:iCs/>
          <w:color w:val="auto"/>
          <w:kern w:val="0"/>
          <w:sz w:val="20"/>
          <w:szCs w:val="20"/>
          <w14:ligatures w14:val="none"/>
        </w:rPr>
      </w:pPr>
    </w:p>
    <w:p w14:paraId="2B916F9A" w14:textId="77777777" w:rsidR="00FA1574" w:rsidRPr="00FA1574" w:rsidRDefault="00FA1574" w:rsidP="00FA1574">
      <w:pPr>
        <w:spacing w:after="160" w:line="259" w:lineRule="auto"/>
        <w:rPr>
          <w:rFonts w:ascii="Arial" w:hAnsi="Arial" w:cs="Arial"/>
          <w:i/>
          <w:iCs/>
          <w:color w:val="auto"/>
          <w:kern w:val="0"/>
          <w:sz w:val="20"/>
          <w:szCs w:val="20"/>
          <w14:ligatures w14:val="none"/>
        </w:rPr>
      </w:pPr>
      <w:r w:rsidRPr="00FA1574">
        <w:rPr>
          <w:rFonts w:ascii="Arial" w:hAnsi="Arial" w:cs="Arial"/>
          <w:i/>
          <w:iCs/>
          <w:color w:val="auto"/>
          <w:kern w:val="0"/>
          <w:sz w:val="20"/>
          <w:szCs w:val="20"/>
          <w14:ligatures w14:val="none"/>
        </w:rPr>
        <w:t>“Economy of scale. Could you not procure with other fire services? Any decision should be data led, are you happy that you are making the decisions on the proper information? Do you consider sponsorship? Naming a tender etc for a fee.”</w:t>
      </w:r>
    </w:p>
    <w:p w14:paraId="05733C25" w14:textId="77777777" w:rsidR="00FA1574" w:rsidRPr="00FA1574" w:rsidRDefault="00FA1574" w:rsidP="00FA1574">
      <w:pPr>
        <w:numPr>
          <w:ilvl w:val="0"/>
          <w:numId w:val="43"/>
        </w:numPr>
        <w:spacing w:after="160" w:line="259" w:lineRule="auto"/>
        <w:contextualSpacing/>
        <w:rPr>
          <w:rFonts w:ascii="Arial" w:hAnsi="Arial" w:cs="Arial"/>
          <w:color w:val="auto"/>
          <w:kern w:val="0"/>
          <w:sz w:val="20"/>
          <w:szCs w:val="20"/>
          <w14:ligatures w14:val="none"/>
        </w:rPr>
      </w:pPr>
      <w:r w:rsidRPr="00FA1574">
        <w:rPr>
          <w:rFonts w:ascii="Arial" w:hAnsi="Arial" w:cs="Arial"/>
          <w:color w:val="auto"/>
          <w:kern w:val="0"/>
          <w:sz w:val="20"/>
          <w:szCs w:val="20"/>
          <w14:ligatures w14:val="none"/>
        </w:rPr>
        <w:t>In2People Focus Group Attendee, on Strategic Goal 5</w:t>
      </w:r>
    </w:p>
    <w:p w14:paraId="30D6F8B6" w14:textId="77777777" w:rsidR="00FA1574" w:rsidRPr="00FA1574" w:rsidRDefault="00FA1574" w:rsidP="00FA1574">
      <w:pPr>
        <w:spacing w:after="160" w:line="259" w:lineRule="auto"/>
        <w:rPr>
          <w:rFonts w:ascii="Arial" w:hAnsi="Arial" w:cs="Arial"/>
          <w:i/>
          <w:iCs/>
          <w:color w:val="auto"/>
          <w:kern w:val="0"/>
          <w:sz w:val="22"/>
          <w:szCs w:val="22"/>
          <w14:ligatures w14:val="none"/>
        </w:rPr>
      </w:pPr>
    </w:p>
    <w:p w14:paraId="42102A78" w14:textId="77777777" w:rsidR="00FA1574" w:rsidRPr="00FA1574" w:rsidRDefault="00FA1574" w:rsidP="00FA1574">
      <w:pPr>
        <w:spacing w:after="160" w:line="259" w:lineRule="auto"/>
        <w:rPr>
          <w:rFonts w:ascii="Arial" w:hAnsi="Arial" w:cs="Arial"/>
          <w:color w:val="auto"/>
          <w:kern w:val="0"/>
          <w:sz w:val="36"/>
          <w:szCs w:val="36"/>
          <w14:ligatures w14:val="none"/>
        </w:rPr>
      </w:pPr>
    </w:p>
    <w:p w14:paraId="013A1AF5" w14:textId="77777777" w:rsidR="00FA1574" w:rsidRPr="00FA1574" w:rsidRDefault="00FA1574" w:rsidP="00FA1574">
      <w:pPr>
        <w:spacing w:after="160" w:line="259" w:lineRule="auto"/>
        <w:rPr>
          <w:rFonts w:ascii="Arial" w:hAnsi="Arial" w:cs="Arial"/>
          <w:color w:val="auto"/>
          <w:kern w:val="0"/>
          <w:sz w:val="36"/>
          <w:szCs w:val="36"/>
          <w14:ligatures w14:val="none"/>
        </w:rPr>
      </w:pPr>
    </w:p>
    <w:p w14:paraId="3B0EA441" w14:textId="77777777" w:rsidR="00FA1574" w:rsidRPr="006D1CFE" w:rsidRDefault="00FA1574" w:rsidP="0001476B">
      <w:pPr>
        <w:spacing w:after="200" w:line="276" w:lineRule="auto"/>
      </w:pPr>
    </w:p>
    <w:sectPr w:rsidR="00FA1574" w:rsidRPr="006D1CFE" w:rsidSect="00A016BB">
      <w:headerReference w:type="default" r:id="rId13"/>
      <w:footerReference w:type="even" r:id="rId14"/>
      <w:footerReference w:type="default" r:id="rId15"/>
      <w:headerReference w:type="first" r:id="rId16"/>
      <w:footerReference w:type="first" r:id="rId17"/>
      <w:pgSz w:w="11906" w:h="16838"/>
      <w:pgMar w:top="1440" w:right="1440" w:bottom="238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212EB" w14:textId="77777777" w:rsidR="00BC314C" w:rsidRDefault="00BC314C" w:rsidP="000A507E">
      <w:r>
        <w:separator/>
      </w:r>
    </w:p>
  </w:endnote>
  <w:endnote w:type="continuationSeparator" w:id="0">
    <w:p w14:paraId="010CB1C2" w14:textId="77777777" w:rsidR="00BC314C" w:rsidRDefault="00BC314C" w:rsidP="000A507E">
      <w:r>
        <w:continuationSeparator/>
      </w:r>
    </w:p>
  </w:endnote>
  <w:endnote w:type="continuationNotice" w:id="1">
    <w:p w14:paraId="6A79EC41" w14:textId="77777777" w:rsidR="00BC314C" w:rsidRDefault="00BC31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7B33640E-F6DB-CB48-B519-5EC7760CFBA8}"/>
  </w:font>
  <w:font w:name="Times New Roman">
    <w:panose1 w:val="02020603050405020304"/>
    <w:charset w:val="00"/>
    <w:family w:val="roman"/>
    <w:pitch w:val="variable"/>
    <w:sig w:usb0="E0002EFF" w:usb1="C000785B" w:usb2="00000009" w:usb3="00000000" w:csb0="000001FF" w:csb1="00000000"/>
    <w:embedRegular r:id="rId2" w:fontKey="{1C605144-2A1E-9F45-A086-282FE2594B9F}"/>
    <w:embedBold r:id="rId3" w:fontKey="{DF1405D0-7D19-434F-8649-6222757EFD7C}"/>
    <w:embedItalic r:id="rId4" w:fontKey="{ACD06EDE-DEE6-7E46-B9FF-8445C0B1A638}"/>
  </w:font>
  <w:font w:name="Poppins">
    <w:panose1 w:val="00000500000000000000"/>
    <w:charset w:val="00"/>
    <w:family w:val="auto"/>
    <w:pitch w:val="variable"/>
    <w:sig w:usb0="00008007" w:usb1="00000000" w:usb2="00000000" w:usb3="00000000" w:csb0="00000093" w:csb1="00000000"/>
    <w:embedRegular r:id="rId5" w:fontKey="{602863B5-8EE5-2145-B835-620D3D443876}"/>
    <w:embedBold r:id="rId6" w:fontKey="{D6EE4948-A05C-DB4B-85AB-9D33D897FE0D}"/>
    <w:embedItalic r:id="rId7" w:fontKey="{31238D82-AE05-9048-8272-211A2C7438B7}"/>
  </w:font>
  <w:font w:name="Calibri">
    <w:panose1 w:val="020F0502020204030204"/>
    <w:charset w:val="00"/>
    <w:family w:val="swiss"/>
    <w:pitch w:val="variable"/>
    <w:sig w:usb0="E4002EFF" w:usb1="C200247B" w:usb2="00000009" w:usb3="00000000" w:csb0="000001FF" w:csb1="00000000"/>
    <w:embedRegular r:id="rId8" w:fontKey="{07A01A2B-7765-E24F-A052-94A28A09CFA3}"/>
    <w:embedBold r:id="rId9" w:fontKey="{1736795E-8B76-8247-973D-9A5DB1BB0BF0}"/>
    <w:embedItalic r:id="rId10" w:fontKey="{6C15FFA4-D0D4-4A4E-9463-34C0477B8F7E}"/>
    <w:embedBoldItalic r:id="rId11" w:fontKey="{E3CD0CAB-3870-4345-9C9D-70D626CC2402}"/>
  </w:font>
  <w:font w:name="Courier New">
    <w:panose1 w:val="02070309020205020404"/>
    <w:charset w:val="00"/>
    <w:family w:val="modern"/>
    <w:pitch w:val="fixed"/>
    <w:sig w:usb0="E0002EFF" w:usb1="C0007843" w:usb2="00000009" w:usb3="00000000" w:csb0="000001FF" w:csb1="00000000"/>
    <w:embedRegular r:id="rId12" w:fontKey="{D2C76015-9FAC-BB43-8242-7E1B969D3F9A}"/>
  </w:font>
  <w:font w:name="Wingdings">
    <w:panose1 w:val="05000000000000000000"/>
    <w:charset w:val="4D"/>
    <w:family w:val="decorative"/>
    <w:pitch w:val="variable"/>
    <w:sig w:usb0="00000003" w:usb1="00000000" w:usb2="00000000" w:usb3="00000000" w:csb0="80000001" w:csb1="00000000"/>
    <w:embedRegular r:id="rId13" w:fontKey="{1788AA98-0BDC-F544-A5C3-78D09CEA7705}"/>
  </w:font>
  <w:font w:name="Arial">
    <w:panose1 w:val="020B0604020202020204"/>
    <w:charset w:val="00"/>
    <w:family w:val="swiss"/>
    <w:pitch w:val="variable"/>
    <w:sig w:usb0="E0002EFF" w:usb1="C000785B" w:usb2="00000009" w:usb3="00000000" w:csb0="000001FF" w:csb1="00000000"/>
    <w:embedRegular r:id="rId14" w:fontKey="{5BD1C32F-8585-8143-993A-49193CF353A7}"/>
    <w:embedBold r:id="rId15" w:fontKey="{87BD8B14-CA65-C04A-8352-AF6C7001E0AE}"/>
    <w:embedItalic r:id="rId16" w:fontKey="{EC8CA00D-4F6C-694B-94D0-53003ECA3845}"/>
    <w:embedBoldItalic r:id="rId17" w:fontKey="{803436A8-438D-6645-BC56-C94A01A3B68D}"/>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18" w:fontKey="{78A52047-6637-3649-BE43-A12BD9F9D87B}"/>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53836975"/>
      <w:docPartObj>
        <w:docPartGallery w:val="Page Numbers (Bottom of Page)"/>
        <w:docPartUnique/>
      </w:docPartObj>
    </w:sdtPr>
    <w:sdtEndPr>
      <w:rPr>
        <w:rStyle w:val="PageNumber"/>
      </w:rPr>
    </w:sdtEndPr>
    <w:sdtContent>
      <w:p w14:paraId="54073806" w14:textId="0FD44663" w:rsidR="006C542F" w:rsidRDefault="006C542F" w:rsidP="00D813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028217" w14:textId="77777777" w:rsidR="006C542F" w:rsidRDefault="006C542F" w:rsidP="006C54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635614"/>
      <w:docPartObj>
        <w:docPartGallery w:val="Page Numbers (Bottom of Page)"/>
        <w:docPartUnique/>
      </w:docPartObj>
    </w:sdtPr>
    <w:sdtEndPr>
      <w:rPr>
        <w:rStyle w:val="PageNumber"/>
        <w:color w:val="C00000"/>
      </w:rPr>
    </w:sdtEndPr>
    <w:sdtContent>
      <w:p w14:paraId="00D31EA4" w14:textId="4DD8690F" w:rsidR="006C542F" w:rsidRPr="00FA1574" w:rsidRDefault="006C542F" w:rsidP="00D813D8">
        <w:pPr>
          <w:pStyle w:val="Footer"/>
          <w:framePr w:wrap="none" w:vAnchor="text" w:hAnchor="margin" w:xAlign="right" w:y="1"/>
          <w:rPr>
            <w:rStyle w:val="PageNumber"/>
            <w:color w:val="C00000"/>
          </w:rPr>
        </w:pPr>
        <w:r w:rsidRPr="00FA1574">
          <w:rPr>
            <w:rStyle w:val="PageNumber"/>
            <w:b/>
            <w:bCs/>
            <w:color w:val="FFFFFF" w:themeColor="background1"/>
          </w:rPr>
          <w:fldChar w:fldCharType="begin"/>
        </w:r>
        <w:r w:rsidRPr="00FA1574">
          <w:rPr>
            <w:rStyle w:val="PageNumber"/>
            <w:b/>
            <w:bCs/>
            <w:color w:val="FFFFFF" w:themeColor="background1"/>
          </w:rPr>
          <w:instrText xml:space="preserve"> PAGE </w:instrText>
        </w:r>
        <w:r w:rsidRPr="00FA1574">
          <w:rPr>
            <w:rStyle w:val="PageNumber"/>
            <w:b/>
            <w:bCs/>
            <w:color w:val="FFFFFF" w:themeColor="background1"/>
          </w:rPr>
          <w:fldChar w:fldCharType="separate"/>
        </w:r>
        <w:r w:rsidRPr="00FA1574">
          <w:rPr>
            <w:rStyle w:val="PageNumber"/>
            <w:b/>
            <w:bCs/>
            <w:noProof/>
            <w:color w:val="FFFFFF" w:themeColor="background1"/>
          </w:rPr>
          <w:t>2</w:t>
        </w:r>
        <w:r w:rsidRPr="00FA1574">
          <w:rPr>
            <w:rStyle w:val="PageNumber"/>
            <w:b/>
            <w:bCs/>
            <w:color w:val="FFFFFF" w:themeColor="background1"/>
          </w:rPr>
          <w:fldChar w:fldCharType="end"/>
        </w:r>
      </w:p>
    </w:sdtContent>
  </w:sdt>
  <w:p w14:paraId="0B5994C1" w14:textId="3B9713FE" w:rsidR="006C542F" w:rsidRDefault="00FA1574" w:rsidP="006C542F">
    <w:pPr>
      <w:pStyle w:val="Footer"/>
      <w:ind w:right="360"/>
    </w:pPr>
    <w:r>
      <w:rPr>
        <w:noProof/>
      </w:rPr>
      <w:drawing>
        <wp:anchor distT="0" distB="0" distL="114300" distR="114300" simplePos="0" relativeHeight="251657216" behindDoc="1" locked="0" layoutInCell="1" allowOverlap="1" wp14:anchorId="5226D0B2" wp14:editId="71EAF332">
          <wp:simplePos x="0" y="0"/>
          <wp:positionH relativeFrom="margin">
            <wp:posOffset>5066665</wp:posOffset>
          </wp:positionH>
          <wp:positionV relativeFrom="paragraph">
            <wp:posOffset>-593725</wp:posOffset>
          </wp:positionV>
          <wp:extent cx="1400175" cy="1400175"/>
          <wp:effectExtent l="0" t="0" r="9525" b="9525"/>
          <wp:wrapNone/>
          <wp:docPr id="1131658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4001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2C9ECA77" wp14:editId="695839F7">
          <wp:simplePos x="0" y="0"/>
          <wp:positionH relativeFrom="column">
            <wp:posOffset>-180975</wp:posOffset>
          </wp:positionH>
          <wp:positionV relativeFrom="paragraph">
            <wp:posOffset>-438785</wp:posOffset>
          </wp:positionV>
          <wp:extent cx="942975" cy="942975"/>
          <wp:effectExtent l="0" t="0" r="0" b="0"/>
          <wp:wrapNone/>
          <wp:docPr id="184153728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37288"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r w:rsidR="006C542F">
      <w:ptab w:relativeTo="margin" w:alignment="center" w:leader="none"/>
    </w:r>
    <w:r w:rsidR="006C542F">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20398603"/>
      <w:docPartObj>
        <w:docPartGallery w:val="Page Numbers (Bottom of Page)"/>
        <w:docPartUnique/>
      </w:docPartObj>
    </w:sdtPr>
    <w:sdtEndPr>
      <w:rPr>
        <w:rStyle w:val="PageNumber"/>
      </w:rPr>
    </w:sdtEndPr>
    <w:sdtContent>
      <w:p w14:paraId="7332A57D" w14:textId="0843EE02" w:rsidR="006C542F" w:rsidRDefault="006C542F" w:rsidP="00D813D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F0668C6" w14:textId="77777777" w:rsidR="006C542F" w:rsidRDefault="006C542F" w:rsidP="006C542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37073" w14:textId="77777777" w:rsidR="00BC314C" w:rsidRDefault="00BC314C" w:rsidP="000A507E">
      <w:r>
        <w:separator/>
      </w:r>
    </w:p>
  </w:footnote>
  <w:footnote w:type="continuationSeparator" w:id="0">
    <w:p w14:paraId="36628323" w14:textId="77777777" w:rsidR="00BC314C" w:rsidRDefault="00BC314C" w:rsidP="000A507E">
      <w:r>
        <w:continuationSeparator/>
      </w:r>
    </w:p>
  </w:footnote>
  <w:footnote w:type="continuationNotice" w:id="1">
    <w:p w14:paraId="4CBEDBF6" w14:textId="77777777" w:rsidR="00BC314C" w:rsidRDefault="00BC31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02B1B21" w14:paraId="17957B9C" w14:textId="77777777" w:rsidTr="402B1B21">
      <w:trPr>
        <w:trHeight w:val="300"/>
      </w:trPr>
      <w:tc>
        <w:tcPr>
          <w:tcW w:w="3005" w:type="dxa"/>
        </w:tcPr>
        <w:p w14:paraId="00BC8B75" w14:textId="1B0521C0" w:rsidR="402B1B21" w:rsidRDefault="402B1B21" w:rsidP="402B1B21">
          <w:pPr>
            <w:pStyle w:val="Header"/>
            <w:ind w:left="-115"/>
          </w:pPr>
        </w:p>
      </w:tc>
      <w:tc>
        <w:tcPr>
          <w:tcW w:w="3005" w:type="dxa"/>
        </w:tcPr>
        <w:p w14:paraId="59FE9D5B" w14:textId="0ECA46DA" w:rsidR="402B1B21" w:rsidRDefault="402B1B21" w:rsidP="402B1B21">
          <w:pPr>
            <w:pStyle w:val="Header"/>
            <w:jc w:val="center"/>
          </w:pPr>
        </w:p>
      </w:tc>
      <w:tc>
        <w:tcPr>
          <w:tcW w:w="3005" w:type="dxa"/>
        </w:tcPr>
        <w:p w14:paraId="0954F67E" w14:textId="0487AE8A" w:rsidR="402B1B21" w:rsidRDefault="402B1B21" w:rsidP="402B1B21">
          <w:pPr>
            <w:pStyle w:val="Header"/>
            <w:ind w:right="-115"/>
            <w:jc w:val="right"/>
          </w:pPr>
        </w:p>
      </w:tc>
    </w:tr>
  </w:tbl>
  <w:p w14:paraId="30E12B53" w14:textId="300143E9" w:rsidR="402B1B21" w:rsidRDefault="402B1B21" w:rsidP="402B1B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02B1B21" w14:paraId="0E7CECDE" w14:textId="77777777" w:rsidTr="402B1B21">
      <w:trPr>
        <w:trHeight w:val="300"/>
      </w:trPr>
      <w:tc>
        <w:tcPr>
          <w:tcW w:w="3005" w:type="dxa"/>
        </w:tcPr>
        <w:p w14:paraId="74DA2658" w14:textId="56D34ADA" w:rsidR="402B1B21" w:rsidRDefault="402B1B21" w:rsidP="402B1B21">
          <w:pPr>
            <w:pStyle w:val="Header"/>
            <w:ind w:left="-115"/>
          </w:pPr>
        </w:p>
      </w:tc>
      <w:tc>
        <w:tcPr>
          <w:tcW w:w="3005" w:type="dxa"/>
        </w:tcPr>
        <w:p w14:paraId="3E6C632B" w14:textId="4522EBBE" w:rsidR="402B1B21" w:rsidRDefault="402B1B21" w:rsidP="402B1B21">
          <w:pPr>
            <w:pStyle w:val="Header"/>
            <w:jc w:val="center"/>
          </w:pPr>
        </w:p>
      </w:tc>
      <w:tc>
        <w:tcPr>
          <w:tcW w:w="3005" w:type="dxa"/>
        </w:tcPr>
        <w:p w14:paraId="047B506A" w14:textId="49EE7AE0" w:rsidR="402B1B21" w:rsidRDefault="402B1B21" w:rsidP="402B1B21">
          <w:pPr>
            <w:pStyle w:val="Header"/>
            <w:ind w:right="-115"/>
            <w:jc w:val="right"/>
          </w:pPr>
        </w:p>
      </w:tc>
    </w:tr>
  </w:tbl>
  <w:p w14:paraId="5FD928D7" w14:textId="3D4A1D2C" w:rsidR="402B1B21" w:rsidRDefault="402B1B21" w:rsidP="402B1B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280C38A"/>
    <w:multiLevelType w:val="hybridMultilevel"/>
    <w:tmpl w:val="2CE0F776"/>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9C47435"/>
    <w:multiLevelType w:val="hybridMultilevel"/>
    <w:tmpl w:val="64DCEB66"/>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DD4F2E"/>
    <w:multiLevelType w:val="hybridMultilevel"/>
    <w:tmpl w:val="AC28EAC8"/>
    <w:lvl w:ilvl="0" w:tplc="CE54E0BC">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86780D"/>
    <w:multiLevelType w:val="hybridMultilevel"/>
    <w:tmpl w:val="CB90C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5B598F"/>
    <w:multiLevelType w:val="hybridMultilevel"/>
    <w:tmpl w:val="F3408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FB32AD"/>
    <w:multiLevelType w:val="hybridMultilevel"/>
    <w:tmpl w:val="AD04E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104942"/>
    <w:multiLevelType w:val="hybridMultilevel"/>
    <w:tmpl w:val="9C529F7E"/>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7" w15:restartNumberingAfterBreak="0">
    <w:nsid w:val="09651898"/>
    <w:multiLevelType w:val="hybridMultilevel"/>
    <w:tmpl w:val="5B80C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7024D3"/>
    <w:multiLevelType w:val="hybridMultilevel"/>
    <w:tmpl w:val="D8C6B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866760"/>
    <w:multiLevelType w:val="hybridMultilevel"/>
    <w:tmpl w:val="53706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45295D"/>
    <w:multiLevelType w:val="hybridMultilevel"/>
    <w:tmpl w:val="446C6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A00164"/>
    <w:multiLevelType w:val="hybridMultilevel"/>
    <w:tmpl w:val="F432D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E47ED1"/>
    <w:multiLevelType w:val="hybridMultilevel"/>
    <w:tmpl w:val="BFDA8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4E5377"/>
    <w:multiLevelType w:val="hybridMultilevel"/>
    <w:tmpl w:val="A4FAB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5B4561"/>
    <w:multiLevelType w:val="hybridMultilevel"/>
    <w:tmpl w:val="4086E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E84CCF"/>
    <w:multiLevelType w:val="hybridMultilevel"/>
    <w:tmpl w:val="0B4CA1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0BD3604"/>
    <w:multiLevelType w:val="hybridMultilevel"/>
    <w:tmpl w:val="E23CAA6E"/>
    <w:lvl w:ilvl="0" w:tplc="68D2DC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0FD4569"/>
    <w:multiLevelType w:val="hybridMultilevel"/>
    <w:tmpl w:val="162C0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9F6DF3"/>
    <w:multiLevelType w:val="hybridMultilevel"/>
    <w:tmpl w:val="854C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08372F"/>
    <w:multiLevelType w:val="hybridMultilevel"/>
    <w:tmpl w:val="7D886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8514C9"/>
    <w:multiLevelType w:val="hybridMultilevel"/>
    <w:tmpl w:val="3F2CD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C43F71"/>
    <w:multiLevelType w:val="hybridMultilevel"/>
    <w:tmpl w:val="42D6622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2B45083"/>
    <w:multiLevelType w:val="hybridMultilevel"/>
    <w:tmpl w:val="EFCE6B46"/>
    <w:lvl w:ilvl="0" w:tplc="CE54E0BC">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F233B7"/>
    <w:multiLevelType w:val="hybridMultilevel"/>
    <w:tmpl w:val="4F921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D432E1"/>
    <w:multiLevelType w:val="hybridMultilevel"/>
    <w:tmpl w:val="625AB076"/>
    <w:lvl w:ilvl="0" w:tplc="CE54E0BC">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056FC6"/>
    <w:multiLevelType w:val="hybridMultilevel"/>
    <w:tmpl w:val="A332669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372D7614"/>
    <w:multiLevelType w:val="hybridMultilevel"/>
    <w:tmpl w:val="A0C41E18"/>
    <w:lvl w:ilvl="0" w:tplc="8182CB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8C46EA7"/>
    <w:multiLevelType w:val="hybridMultilevel"/>
    <w:tmpl w:val="863AF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0B0CFE"/>
    <w:multiLevelType w:val="hybridMultilevel"/>
    <w:tmpl w:val="4E683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9D61946"/>
    <w:multiLevelType w:val="hybridMultilevel"/>
    <w:tmpl w:val="73A286CC"/>
    <w:lvl w:ilvl="0" w:tplc="8182CB22">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9D72FB2"/>
    <w:multiLevelType w:val="hybridMultilevel"/>
    <w:tmpl w:val="E85A5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3B2458"/>
    <w:multiLevelType w:val="hybridMultilevel"/>
    <w:tmpl w:val="FD401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C004B2"/>
    <w:multiLevelType w:val="hybridMultilevel"/>
    <w:tmpl w:val="A978C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E700FE5"/>
    <w:multiLevelType w:val="hybridMultilevel"/>
    <w:tmpl w:val="03367B50"/>
    <w:lvl w:ilvl="0" w:tplc="4DFC15D0">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212893"/>
    <w:multiLevelType w:val="hybridMultilevel"/>
    <w:tmpl w:val="83EC9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483181B"/>
    <w:multiLevelType w:val="hybridMultilevel"/>
    <w:tmpl w:val="B9A4515A"/>
    <w:lvl w:ilvl="0" w:tplc="8182CB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6877396"/>
    <w:multiLevelType w:val="hybridMultilevel"/>
    <w:tmpl w:val="CA62CA5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7" w15:restartNumberingAfterBreak="0">
    <w:nsid w:val="47BE002F"/>
    <w:multiLevelType w:val="hybridMultilevel"/>
    <w:tmpl w:val="7E644ACA"/>
    <w:lvl w:ilvl="0" w:tplc="4DFC15D0">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82207FF"/>
    <w:multiLevelType w:val="hybridMultilevel"/>
    <w:tmpl w:val="CB784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846771B"/>
    <w:multiLevelType w:val="hybridMultilevel"/>
    <w:tmpl w:val="4660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95507AA"/>
    <w:multiLevelType w:val="hybridMultilevel"/>
    <w:tmpl w:val="698EF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AE9129F"/>
    <w:multiLevelType w:val="hybridMultilevel"/>
    <w:tmpl w:val="1D162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BC162D3"/>
    <w:multiLevelType w:val="hybridMultilevel"/>
    <w:tmpl w:val="13D2D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D087983"/>
    <w:multiLevelType w:val="hybridMultilevel"/>
    <w:tmpl w:val="AC98D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47F47C9"/>
    <w:multiLevelType w:val="hybridMultilevel"/>
    <w:tmpl w:val="56EE7160"/>
    <w:lvl w:ilvl="0" w:tplc="4DFC15D0">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4FE6CB0"/>
    <w:multiLevelType w:val="hybridMultilevel"/>
    <w:tmpl w:val="E52A13E2"/>
    <w:lvl w:ilvl="0" w:tplc="4DFC15D0">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B08199B"/>
    <w:multiLevelType w:val="hybridMultilevel"/>
    <w:tmpl w:val="E44E4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B8554E6"/>
    <w:multiLevelType w:val="hybridMultilevel"/>
    <w:tmpl w:val="849A6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DBE0554"/>
    <w:multiLevelType w:val="hybridMultilevel"/>
    <w:tmpl w:val="4FCCC248"/>
    <w:lvl w:ilvl="0" w:tplc="CE54E0BC">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E007A09"/>
    <w:multiLevelType w:val="hybridMultilevel"/>
    <w:tmpl w:val="6AB04350"/>
    <w:lvl w:ilvl="0" w:tplc="8182CB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46F45C0"/>
    <w:multiLevelType w:val="hybridMultilevel"/>
    <w:tmpl w:val="4ADC3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5A37151"/>
    <w:multiLevelType w:val="hybridMultilevel"/>
    <w:tmpl w:val="10C6F228"/>
    <w:lvl w:ilvl="0" w:tplc="CE54E0BC">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6EB122D"/>
    <w:multiLevelType w:val="hybridMultilevel"/>
    <w:tmpl w:val="ABC4E8D6"/>
    <w:lvl w:ilvl="0" w:tplc="8182CB2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C8F6C92"/>
    <w:multiLevelType w:val="hybridMultilevel"/>
    <w:tmpl w:val="EE3AA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E1E3681"/>
    <w:multiLevelType w:val="hybridMultilevel"/>
    <w:tmpl w:val="65F4E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F723EE6"/>
    <w:multiLevelType w:val="hybridMultilevel"/>
    <w:tmpl w:val="8CAE6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FE32050"/>
    <w:multiLevelType w:val="hybridMultilevel"/>
    <w:tmpl w:val="8BBE91A8"/>
    <w:lvl w:ilvl="0" w:tplc="EC52AC5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0A074CB"/>
    <w:multiLevelType w:val="hybridMultilevel"/>
    <w:tmpl w:val="C448B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43F5CEB"/>
    <w:multiLevelType w:val="hybridMultilevel"/>
    <w:tmpl w:val="F79E2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7F544B4"/>
    <w:multiLevelType w:val="hybridMultilevel"/>
    <w:tmpl w:val="CB783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BB534B5"/>
    <w:multiLevelType w:val="hybridMultilevel"/>
    <w:tmpl w:val="8F982E5A"/>
    <w:lvl w:ilvl="0" w:tplc="CE54E0BC">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DDB7BAE"/>
    <w:multiLevelType w:val="hybridMultilevel"/>
    <w:tmpl w:val="C69E4D32"/>
    <w:lvl w:ilvl="0" w:tplc="09FEB96E">
      <w:start w:val="9"/>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E414775"/>
    <w:multiLevelType w:val="hybridMultilevel"/>
    <w:tmpl w:val="270A0792"/>
    <w:lvl w:ilvl="0" w:tplc="CE54E0BC">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5399294">
    <w:abstractNumId w:val="8"/>
  </w:num>
  <w:num w:numId="2" w16cid:durableId="995186295">
    <w:abstractNumId w:val="51"/>
  </w:num>
  <w:num w:numId="3" w16cid:durableId="1428766410">
    <w:abstractNumId w:val="2"/>
  </w:num>
  <w:num w:numId="4" w16cid:durableId="897859530">
    <w:abstractNumId w:val="48"/>
  </w:num>
  <w:num w:numId="5" w16cid:durableId="1788964472">
    <w:abstractNumId w:val="41"/>
  </w:num>
  <w:num w:numId="6" w16cid:durableId="2132311708">
    <w:abstractNumId w:val="60"/>
  </w:num>
  <w:num w:numId="7" w16cid:durableId="579019141">
    <w:abstractNumId w:val="22"/>
  </w:num>
  <w:num w:numId="8" w16cid:durableId="1583756922">
    <w:abstractNumId w:val="24"/>
  </w:num>
  <w:num w:numId="9" w16cid:durableId="851333722">
    <w:abstractNumId w:val="62"/>
  </w:num>
  <w:num w:numId="10" w16cid:durableId="1097753644">
    <w:abstractNumId w:val="30"/>
  </w:num>
  <w:num w:numId="11" w16cid:durableId="392893447">
    <w:abstractNumId w:val="5"/>
  </w:num>
  <w:num w:numId="12" w16cid:durableId="505364180">
    <w:abstractNumId w:val="4"/>
  </w:num>
  <w:num w:numId="13" w16cid:durableId="1207795417">
    <w:abstractNumId w:val="9"/>
  </w:num>
  <w:num w:numId="14" w16cid:durableId="310595877">
    <w:abstractNumId w:val="40"/>
  </w:num>
  <w:num w:numId="15" w16cid:durableId="700862969">
    <w:abstractNumId w:val="0"/>
  </w:num>
  <w:num w:numId="16" w16cid:durableId="835804253">
    <w:abstractNumId w:val="1"/>
  </w:num>
  <w:num w:numId="17" w16cid:durableId="854074912">
    <w:abstractNumId w:val="3"/>
  </w:num>
  <w:num w:numId="18" w16cid:durableId="2097553923">
    <w:abstractNumId w:val="44"/>
  </w:num>
  <w:num w:numId="19" w16cid:durableId="766775104">
    <w:abstractNumId w:val="37"/>
  </w:num>
  <w:num w:numId="20" w16cid:durableId="1075587541">
    <w:abstractNumId w:val="45"/>
  </w:num>
  <w:num w:numId="21" w16cid:durableId="1373924060">
    <w:abstractNumId w:val="33"/>
  </w:num>
  <w:num w:numId="22" w16cid:durableId="58527747">
    <w:abstractNumId w:val="36"/>
  </w:num>
  <w:num w:numId="23" w16cid:durableId="876964396">
    <w:abstractNumId w:val="6"/>
  </w:num>
  <w:num w:numId="24" w16cid:durableId="1661501161">
    <w:abstractNumId w:val="56"/>
  </w:num>
  <w:num w:numId="25" w16cid:durableId="2095975426">
    <w:abstractNumId w:val="7"/>
  </w:num>
  <w:num w:numId="26" w16cid:durableId="1498693484">
    <w:abstractNumId w:val="28"/>
  </w:num>
  <w:num w:numId="27" w16cid:durableId="1195194542">
    <w:abstractNumId w:val="42"/>
  </w:num>
  <w:num w:numId="28" w16cid:durableId="46996934">
    <w:abstractNumId w:val="47"/>
  </w:num>
  <w:num w:numId="29" w16cid:durableId="917784169">
    <w:abstractNumId w:val="58"/>
  </w:num>
  <w:num w:numId="30" w16cid:durableId="1298072748">
    <w:abstractNumId w:val="57"/>
  </w:num>
  <w:num w:numId="31" w16cid:durableId="2019313320">
    <w:abstractNumId w:val="50"/>
  </w:num>
  <w:num w:numId="32" w16cid:durableId="1167671458">
    <w:abstractNumId w:val="39"/>
  </w:num>
  <w:num w:numId="33" w16cid:durableId="1214076988">
    <w:abstractNumId w:val="25"/>
  </w:num>
  <w:num w:numId="34" w16cid:durableId="284653856">
    <w:abstractNumId w:val="15"/>
  </w:num>
  <w:num w:numId="35" w16cid:durableId="21131519">
    <w:abstractNumId w:val="19"/>
  </w:num>
  <w:num w:numId="36" w16cid:durableId="279579372">
    <w:abstractNumId w:val="23"/>
  </w:num>
  <w:num w:numId="37" w16cid:durableId="1778284021">
    <w:abstractNumId w:val="12"/>
  </w:num>
  <w:num w:numId="38" w16cid:durableId="1675768711">
    <w:abstractNumId w:val="34"/>
  </w:num>
  <w:num w:numId="39" w16cid:durableId="364790585">
    <w:abstractNumId w:val="10"/>
  </w:num>
  <w:num w:numId="40" w16cid:durableId="276377022">
    <w:abstractNumId w:val="14"/>
  </w:num>
  <w:num w:numId="41" w16cid:durableId="792216234">
    <w:abstractNumId w:val="20"/>
  </w:num>
  <w:num w:numId="42" w16cid:durableId="157576856">
    <w:abstractNumId w:val="13"/>
  </w:num>
  <w:num w:numId="43" w16cid:durableId="1067992617">
    <w:abstractNumId w:val="61"/>
  </w:num>
  <w:num w:numId="44" w16cid:durableId="66808408">
    <w:abstractNumId w:val="16"/>
  </w:num>
  <w:num w:numId="45" w16cid:durableId="1126508444">
    <w:abstractNumId w:val="29"/>
  </w:num>
  <w:num w:numId="46" w16cid:durableId="677199036">
    <w:abstractNumId w:val="21"/>
  </w:num>
  <w:num w:numId="47" w16cid:durableId="1937981695">
    <w:abstractNumId w:val="31"/>
  </w:num>
  <w:num w:numId="48" w16cid:durableId="1658418622">
    <w:abstractNumId w:val="43"/>
  </w:num>
  <w:num w:numId="49" w16cid:durableId="1831405476">
    <w:abstractNumId w:val="38"/>
  </w:num>
  <w:num w:numId="50" w16cid:durableId="1274484039">
    <w:abstractNumId w:val="54"/>
  </w:num>
  <w:num w:numId="51" w16cid:durableId="632836213">
    <w:abstractNumId w:val="35"/>
  </w:num>
  <w:num w:numId="52" w16cid:durableId="332688582">
    <w:abstractNumId w:val="49"/>
  </w:num>
  <w:num w:numId="53" w16cid:durableId="2104838714">
    <w:abstractNumId w:val="52"/>
  </w:num>
  <w:num w:numId="54" w16cid:durableId="1355350681">
    <w:abstractNumId w:val="26"/>
  </w:num>
  <w:num w:numId="55" w16cid:durableId="75638465">
    <w:abstractNumId w:val="55"/>
  </w:num>
  <w:num w:numId="56" w16cid:durableId="1248854499">
    <w:abstractNumId w:val="17"/>
  </w:num>
  <w:num w:numId="57" w16cid:durableId="73476691">
    <w:abstractNumId w:val="53"/>
  </w:num>
  <w:num w:numId="58" w16cid:durableId="70658598">
    <w:abstractNumId w:val="27"/>
  </w:num>
  <w:num w:numId="59" w16cid:durableId="453133358">
    <w:abstractNumId w:val="46"/>
  </w:num>
  <w:num w:numId="60" w16cid:durableId="395199863">
    <w:abstractNumId w:val="18"/>
  </w:num>
  <w:num w:numId="61" w16cid:durableId="772670781">
    <w:abstractNumId w:val="11"/>
  </w:num>
  <w:num w:numId="62" w16cid:durableId="1535802881">
    <w:abstractNumId w:val="32"/>
  </w:num>
  <w:num w:numId="63" w16cid:durableId="1787114231">
    <w:abstractNumId w:val="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1"/>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9A5"/>
    <w:rsid w:val="000042A6"/>
    <w:rsid w:val="0001476B"/>
    <w:rsid w:val="000274CC"/>
    <w:rsid w:val="00027A44"/>
    <w:rsid w:val="000441B2"/>
    <w:rsid w:val="00046C3F"/>
    <w:rsid w:val="00050F4B"/>
    <w:rsid w:val="0005334D"/>
    <w:rsid w:val="0006038A"/>
    <w:rsid w:val="00071E47"/>
    <w:rsid w:val="000737D6"/>
    <w:rsid w:val="0008510A"/>
    <w:rsid w:val="00090C68"/>
    <w:rsid w:val="000A0C77"/>
    <w:rsid w:val="000A507E"/>
    <w:rsid w:val="000A61D3"/>
    <w:rsid w:val="000B0EAA"/>
    <w:rsid w:val="000B71DB"/>
    <w:rsid w:val="000B7D4D"/>
    <w:rsid w:val="000D302E"/>
    <w:rsid w:val="000E287B"/>
    <w:rsid w:val="000E6998"/>
    <w:rsid w:val="000F365F"/>
    <w:rsid w:val="000F78D4"/>
    <w:rsid w:val="0011533F"/>
    <w:rsid w:val="00125657"/>
    <w:rsid w:val="00142B07"/>
    <w:rsid w:val="00151355"/>
    <w:rsid w:val="00172A86"/>
    <w:rsid w:val="00197BF9"/>
    <w:rsid w:val="001A57A1"/>
    <w:rsid w:val="001B7985"/>
    <w:rsid w:val="001C6D78"/>
    <w:rsid w:val="001D0517"/>
    <w:rsid w:val="001D3A44"/>
    <w:rsid w:val="001D4136"/>
    <w:rsid w:val="001E7A46"/>
    <w:rsid w:val="001F311E"/>
    <w:rsid w:val="001F5CF2"/>
    <w:rsid w:val="00252DC3"/>
    <w:rsid w:val="0026166E"/>
    <w:rsid w:val="002747CB"/>
    <w:rsid w:val="00287050"/>
    <w:rsid w:val="002B0B4E"/>
    <w:rsid w:val="002C10C0"/>
    <w:rsid w:val="002D4AA6"/>
    <w:rsid w:val="002D5469"/>
    <w:rsid w:val="002E7799"/>
    <w:rsid w:val="003056A5"/>
    <w:rsid w:val="00347BB6"/>
    <w:rsid w:val="00363188"/>
    <w:rsid w:val="00363227"/>
    <w:rsid w:val="00383930"/>
    <w:rsid w:val="00385023"/>
    <w:rsid w:val="00387376"/>
    <w:rsid w:val="003C74DE"/>
    <w:rsid w:val="003F3389"/>
    <w:rsid w:val="004033F5"/>
    <w:rsid w:val="0040473C"/>
    <w:rsid w:val="0042072D"/>
    <w:rsid w:val="00426E34"/>
    <w:rsid w:val="00430617"/>
    <w:rsid w:val="00442F56"/>
    <w:rsid w:val="004613C3"/>
    <w:rsid w:val="00486188"/>
    <w:rsid w:val="004B1021"/>
    <w:rsid w:val="004B478B"/>
    <w:rsid w:val="004C057C"/>
    <w:rsid w:val="004C1F75"/>
    <w:rsid w:val="004C360E"/>
    <w:rsid w:val="004C4961"/>
    <w:rsid w:val="004C59C8"/>
    <w:rsid w:val="004D08E8"/>
    <w:rsid w:val="004F0B75"/>
    <w:rsid w:val="005230FC"/>
    <w:rsid w:val="00537E6C"/>
    <w:rsid w:val="00552ABA"/>
    <w:rsid w:val="00553F97"/>
    <w:rsid w:val="0057262D"/>
    <w:rsid w:val="00572656"/>
    <w:rsid w:val="005730E4"/>
    <w:rsid w:val="0057734A"/>
    <w:rsid w:val="005C33E3"/>
    <w:rsid w:val="005D374E"/>
    <w:rsid w:val="005E49F4"/>
    <w:rsid w:val="00651F2B"/>
    <w:rsid w:val="00671020"/>
    <w:rsid w:val="006B05E6"/>
    <w:rsid w:val="006C542F"/>
    <w:rsid w:val="006D1CFE"/>
    <w:rsid w:val="00705667"/>
    <w:rsid w:val="007125C4"/>
    <w:rsid w:val="00733D31"/>
    <w:rsid w:val="00736DF9"/>
    <w:rsid w:val="00761EED"/>
    <w:rsid w:val="0076362D"/>
    <w:rsid w:val="00787131"/>
    <w:rsid w:val="007A5B60"/>
    <w:rsid w:val="007A72D8"/>
    <w:rsid w:val="007B7E4C"/>
    <w:rsid w:val="007F1FAE"/>
    <w:rsid w:val="007F3BB0"/>
    <w:rsid w:val="00821B47"/>
    <w:rsid w:val="008342F6"/>
    <w:rsid w:val="00842063"/>
    <w:rsid w:val="00846377"/>
    <w:rsid w:val="00886525"/>
    <w:rsid w:val="008B63E7"/>
    <w:rsid w:val="008C25A8"/>
    <w:rsid w:val="008C53B6"/>
    <w:rsid w:val="008D72FA"/>
    <w:rsid w:val="00916119"/>
    <w:rsid w:val="00922126"/>
    <w:rsid w:val="0092364D"/>
    <w:rsid w:val="009240E9"/>
    <w:rsid w:val="009415E6"/>
    <w:rsid w:val="0095176B"/>
    <w:rsid w:val="00987788"/>
    <w:rsid w:val="009A73DF"/>
    <w:rsid w:val="009D745D"/>
    <w:rsid w:val="00A016BB"/>
    <w:rsid w:val="00A0317B"/>
    <w:rsid w:val="00A223CE"/>
    <w:rsid w:val="00A30C20"/>
    <w:rsid w:val="00A37CE0"/>
    <w:rsid w:val="00A4164E"/>
    <w:rsid w:val="00A425BA"/>
    <w:rsid w:val="00A479E1"/>
    <w:rsid w:val="00A47C0D"/>
    <w:rsid w:val="00A53E75"/>
    <w:rsid w:val="00A55386"/>
    <w:rsid w:val="00AC406F"/>
    <w:rsid w:val="00AD4749"/>
    <w:rsid w:val="00B068AD"/>
    <w:rsid w:val="00B45FC9"/>
    <w:rsid w:val="00B6659F"/>
    <w:rsid w:val="00B71F7A"/>
    <w:rsid w:val="00B7652C"/>
    <w:rsid w:val="00B766BD"/>
    <w:rsid w:val="00B80831"/>
    <w:rsid w:val="00B818FE"/>
    <w:rsid w:val="00BB6398"/>
    <w:rsid w:val="00BC0438"/>
    <w:rsid w:val="00BC314C"/>
    <w:rsid w:val="00BE7CAA"/>
    <w:rsid w:val="00C03FDF"/>
    <w:rsid w:val="00C137CF"/>
    <w:rsid w:val="00C1625C"/>
    <w:rsid w:val="00C242B0"/>
    <w:rsid w:val="00C91E1C"/>
    <w:rsid w:val="00CC5EEB"/>
    <w:rsid w:val="00CD0B0A"/>
    <w:rsid w:val="00D07CF4"/>
    <w:rsid w:val="00D475D7"/>
    <w:rsid w:val="00D647BF"/>
    <w:rsid w:val="00D813D8"/>
    <w:rsid w:val="00D82DF7"/>
    <w:rsid w:val="00D84AA5"/>
    <w:rsid w:val="00D87089"/>
    <w:rsid w:val="00D9501D"/>
    <w:rsid w:val="00DC4CBD"/>
    <w:rsid w:val="00DD39A5"/>
    <w:rsid w:val="00DD598F"/>
    <w:rsid w:val="00DE25EC"/>
    <w:rsid w:val="00DE3107"/>
    <w:rsid w:val="00DF71D8"/>
    <w:rsid w:val="00E1026D"/>
    <w:rsid w:val="00E111EE"/>
    <w:rsid w:val="00E12670"/>
    <w:rsid w:val="00E1518D"/>
    <w:rsid w:val="00E179D7"/>
    <w:rsid w:val="00E35131"/>
    <w:rsid w:val="00E54BA3"/>
    <w:rsid w:val="00E852B4"/>
    <w:rsid w:val="00E8797D"/>
    <w:rsid w:val="00E9240C"/>
    <w:rsid w:val="00E97C05"/>
    <w:rsid w:val="00EB3A29"/>
    <w:rsid w:val="00EC253F"/>
    <w:rsid w:val="00EE5827"/>
    <w:rsid w:val="00F2105D"/>
    <w:rsid w:val="00F4304F"/>
    <w:rsid w:val="00F4592F"/>
    <w:rsid w:val="00F66420"/>
    <w:rsid w:val="00F67522"/>
    <w:rsid w:val="00F906E1"/>
    <w:rsid w:val="00FA1574"/>
    <w:rsid w:val="00FA53FA"/>
    <w:rsid w:val="00FC0D9E"/>
    <w:rsid w:val="00FD6A77"/>
    <w:rsid w:val="087FF7E0"/>
    <w:rsid w:val="24460DA9"/>
    <w:rsid w:val="2D2FD7C5"/>
    <w:rsid w:val="37D9E41E"/>
    <w:rsid w:val="3DD5F952"/>
    <w:rsid w:val="402B1B21"/>
    <w:rsid w:val="44FC0A9E"/>
    <w:rsid w:val="640D77FA"/>
    <w:rsid w:val="6A0E4A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B475BB"/>
  <w15:chartTrackingRefBased/>
  <w15:docId w15:val="{8CCC95D7-F5EA-467C-B813-868FC3B46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07E"/>
    <w:rPr>
      <w:rFonts w:ascii="Poppins" w:hAnsi="Poppins" w:cs="Poppins"/>
      <w:color w:val="353B41"/>
    </w:rPr>
  </w:style>
  <w:style w:type="paragraph" w:styleId="Heading1">
    <w:name w:val="heading 1"/>
    <w:basedOn w:val="Normal"/>
    <w:next w:val="Normal"/>
    <w:link w:val="Heading1Char"/>
    <w:uiPriority w:val="9"/>
    <w:qFormat/>
    <w:rsid w:val="00486188"/>
    <w:pPr>
      <w:outlineLvl w:val="0"/>
    </w:pPr>
    <w:rPr>
      <w:b/>
      <w:bCs/>
      <w:color w:val="FFFFFF" w:themeColor="background1"/>
      <w:sz w:val="72"/>
      <w:szCs w:val="72"/>
    </w:rPr>
  </w:style>
  <w:style w:type="paragraph" w:styleId="Heading2">
    <w:name w:val="heading 2"/>
    <w:basedOn w:val="Normal"/>
    <w:next w:val="Normal"/>
    <w:link w:val="Heading2Char"/>
    <w:uiPriority w:val="9"/>
    <w:unhideWhenUsed/>
    <w:qFormat/>
    <w:rsid w:val="00E1026D"/>
    <w:pPr>
      <w:outlineLvl w:val="1"/>
    </w:pPr>
    <w:rPr>
      <w:b/>
      <w:bCs/>
      <w:sz w:val="52"/>
      <w:szCs w:val="52"/>
    </w:rPr>
  </w:style>
  <w:style w:type="paragraph" w:styleId="Heading3">
    <w:name w:val="heading 3"/>
    <w:basedOn w:val="Heading2"/>
    <w:next w:val="Normal"/>
    <w:link w:val="Heading3Char"/>
    <w:uiPriority w:val="9"/>
    <w:unhideWhenUsed/>
    <w:qFormat/>
    <w:rsid w:val="002B0B4E"/>
    <w:pPr>
      <w:outlineLvl w:val="2"/>
    </w:pPr>
    <w:rPr>
      <w:sz w:val="40"/>
      <w:szCs w:val="40"/>
    </w:rPr>
  </w:style>
  <w:style w:type="paragraph" w:styleId="Heading4">
    <w:name w:val="heading 4"/>
    <w:basedOn w:val="Heading3"/>
    <w:next w:val="Normal"/>
    <w:link w:val="Heading4Char"/>
    <w:uiPriority w:val="9"/>
    <w:unhideWhenUsed/>
    <w:qFormat/>
    <w:rsid w:val="00A479E1"/>
    <w:pPr>
      <w:outlineLvl w:val="3"/>
    </w:pPr>
    <w:rPr>
      <w:b w:val="0"/>
      <w:bCs w:val="0"/>
      <w:sz w:val="36"/>
      <w:szCs w:val="36"/>
    </w:rPr>
  </w:style>
  <w:style w:type="paragraph" w:styleId="Heading5">
    <w:name w:val="heading 5"/>
    <w:basedOn w:val="Heading4"/>
    <w:next w:val="Normal"/>
    <w:link w:val="Heading5Char"/>
    <w:uiPriority w:val="9"/>
    <w:unhideWhenUsed/>
    <w:qFormat/>
    <w:rsid w:val="00A479E1"/>
    <w:pPr>
      <w:outlineLvl w:val="4"/>
    </w:pPr>
    <w:rPr>
      <w:sz w:val="28"/>
      <w:szCs w:val="28"/>
    </w:rPr>
  </w:style>
  <w:style w:type="paragraph" w:styleId="Heading6">
    <w:name w:val="heading 6"/>
    <w:basedOn w:val="Heading5"/>
    <w:next w:val="Normal"/>
    <w:link w:val="Heading6Char"/>
    <w:uiPriority w:val="9"/>
    <w:unhideWhenUsed/>
    <w:qFormat/>
    <w:rsid w:val="00A479E1"/>
    <w:pPr>
      <w:outlineLvl w:val="5"/>
    </w:pPr>
    <w:rPr>
      <w:sz w:val="24"/>
      <w:szCs w:val="24"/>
    </w:rPr>
  </w:style>
  <w:style w:type="paragraph" w:styleId="Heading7">
    <w:name w:val="heading 7"/>
    <w:basedOn w:val="Normal"/>
    <w:next w:val="Normal"/>
    <w:link w:val="Heading7Char"/>
    <w:uiPriority w:val="9"/>
    <w:semiHidden/>
    <w:unhideWhenUsed/>
    <w:qFormat/>
    <w:rsid w:val="00FA1574"/>
    <w:pPr>
      <w:keepNext/>
      <w:keepLines/>
      <w:spacing w:before="40" w:line="278" w:lineRule="auto"/>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A1574"/>
    <w:pPr>
      <w:keepNext/>
      <w:keepLines/>
      <w:spacing w:line="278" w:lineRule="auto"/>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A1574"/>
    <w:pPr>
      <w:keepNext/>
      <w:keepLines/>
      <w:spacing w:line="278" w:lineRule="auto"/>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39A5"/>
    <w:pPr>
      <w:tabs>
        <w:tab w:val="center" w:pos="4513"/>
        <w:tab w:val="right" w:pos="9026"/>
      </w:tabs>
    </w:pPr>
  </w:style>
  <w:style w:type="character" w:customStyle="1" w:styleId="HeaderChar">
    <w:name w:val="Header Char"/>
    <w:basedOn w:val="DefaultParagraphFont"/>
    <w:link w:val="Header"/>
    <w:uiPriority w:val="99"/>
    <w:rsid w:val="00DD39A5"/>
  </w:style>
  <w:style w:type="paragraph" w:styleId="Footer">
    <w:name w:val="footer"/>
    <w:basedOn w:val="Normal"/>
    <w:link w:val="FooterChar"/>
    <w:uiPriority w:val="99"/>
    <w:unhideWhenUsed/>
    <w:rsid w:val="00DD39A5"/>
    <w:pPr>
      <w:tabs>
        <w:tab w:val="center" w:pos="4513"/>
        <w:tab w:val="right" w:pos="9026"/>
      </w:tabs>
    </w:pPr>
  </w:style>
  <w:style w:type="character" w:customStyle="1" w:styleId="FooterChar">
    <w:name w:val="Footer Char"/>
    <w:basedOn w:val="DefaultParagraphFont"/>
    <w:link w:val="Footer"/>
    <w:uiPriority w:val="99"/>
    <w:rsid w:val="00DD39A5"/>
  </w:style>
  <w:style w:type="character" w:customStyle="1" w:styleId="Heading1Char">
    <w:name w:val="Heading 1 Char"/>
    <w:basedOn w:val="DefaultParagraphFont"/>
    <w:link w:val="Heading1"/>
    <w:uiPriority w:val="9"/>
    <w:rsid w:val="00486188"/>
    <w:rPr>
      <w:rFonts w:ascii="Poppins" w:hAnsi="Poppins" w:cs="Poppins"/>
      <w:b/>
      <w:bCs/>
      <w:color w:val="FFFFFF" w:themeColor="background1"/>
      <w:sz w:val="72"/>
      <w:szCs w:val="72"/>
    </w:rPr>
  </w:style>
  <w:style w:type="paragraph" w:styleId="Subtitle">
    <w:name w:val="Subtitle"/>
    <w:basedOn w:val="Normal"/>
    <w:next w:val="Normal"/>
    <w:link w:val="SubtitleChar"/>
    <w:uiPriority w:val="11"/>
    <w:qFormat/>
    <w:rsid w:val="00486188"/>
    <w:rPr>
      <w:color w:val="FFFFFF" w:themeColor="background1"/>
      <w:sz w:val="52"/>
      <w:szCs w:val="52"/>
    </w:rPr>
  </w:style>
  <w:style w:type="character" w:customStyle="1" w:styleId="SubtitleChar">
    <w:name w:val="Subtitle Char"/>
    <w:basedOn w:val="DefaultParagraphFont"/>
    <w:link w:val="Subtitle"/>
    <w:uiPriority w:val="11"/>
    <w:rsid w:val="00486188"/>
    <w:rPr>
      <w:rFonts w:ascii="Poppins" w:hAnsi="Poppins" w:cs="Poppins"/>
      <w:color w:val="FFFFFF" w:themeColor="background1"/>
      <w:sz w:val="52"/>
      <w:szCs w:val="52"/>
    </w:rPr>
  </w:style>
  <w:style w:type="character" w:customStyle="1" w:styleId="Heading2Char">
    <w:name w:val="Heading 2 Char"/>
    <w:basedOn w:val="DefaultParagraphFont"/>
    <w:link w:val="Heading2"/>
    <w:uiPriority w:val="9"/>
    <w:rsid w:val="00E1026D"/>
    <w:rPr>
      <w:rFonts w:ascii="Poppins" w:hAnsi="Poppins" w:cs="Poppins"/>
      <w:b/>
      <w:bCs/>
      <w:color w:val="353B41"/>
      <w:sz w:val="52"/>
      <w:szCs w:val="52"/>
    </w:rPr>
  </w:style>
  <w:style w:type="character" w:customStyle="1" w:styleId="Heading3Char">
    <w:name w:val="Heading 3 Char"/>
    <w:basedOn w:val="DefaultParagraphFont"/>
    <w:link w:val="Heading3"/>
    <w:uiPriority w:val="9"/>
    <w:rsid w:val="002B0B4E"/>
    <w:rPr>
      <w:rFonts w:ascii="Poppins" w:hAnsi="Poppins" w:cs="Poppins"/>
      <w:b/>
      <w:bCs/>
      <w:color w:val="DB3934"/>
      <w:sz w:val="40"/>
      <w:szCs w:val="40"/>
    </w:rPr>
  </w:style>
  <w:style w:type="character" w:customStyle="1" w:styleId="Heading4Char">
    <w:name w:val="Heading 4 Char"/>
    <w:basedOn w:val="DefaultParagraphFont"/>
    <w:link w:val="Heading4"/>
    <w:uiPriority w:val="9"/>
    <w:rsid w:val="00A479E1"/>
    <w:rPr>
      <w:rFonts w:ascii="Poppins" w:hAnsi="Poppins" w:cs="Poppins"/>
      <w:color w:val="DB3934"/>
      <w:sz w:val="36"/>
      <w:szCs w:val="36"/>
    </w:rPr>
  </w:style>
  <w:style w:type="character" w:customStyle="1" w:styleId="Heading5Char">
    <w:name w:val="Heading 5 Char"/>
    <w:basedOn w:val="DefaultParagraphFont"/>
    <w:link w:val="Heading5"/>
    <w:uiPriority w:val="9"/>
    <w:rsid w:val="00A479E1"/>
    <w:rPr>
      <w:rFonts w:ascii="Poppins" w:hAnsi="Poppins" w:cs="Poppins"/>
      <w:color w:val="DB3934"/>
      <w:sz w:val="28"/>
      <w:szCs w:val="28"/>
    </w:rPr>
  </w:style>
  <w:style w:type="character" w:customStyle="1" w:styleId="Heading6Char">
    <w:name w:val="Heading 6 Char"/>
    <w:basedOn w:val="DefaultParagraphFont"/>
    <w:link w:val="Heading6"/>
    <w:uiPriority w:val="9"/>
    <w:rsid w:val="00A479E1"/>
    <w:rPr>
      <w:rFonts w:ascii="Poppins" w:hAnsi="Poppins" w:cs="Poppins"/>
      <w:color w:val="DB3934"/>
    </w:rPr>
  </w:style>
  <w:style w:type="character" w:styleId="Strong">
    <w:name w:val="Strong"/>
    <w:uiPriority w:val="22"/>
    <w:qFormat/>
    <w:rsid w:val="005730E4"/>
    <w:rPr>
      <w:b/>
      <w:bCs/>
    </w:rPr>
  </w:style>
  <w:style w:type="paragraph" w:styleId="TOCHeading">
    <w:name w:val="TOC Heading"/>
    <w:basedOn w:val="Heading2"/>
    <w:next w:val="Normal"/>
    <w:uiPriority w:val="39"/>
    <w:unhideWhenUsed/>
    <w:qFormat/>
    <w:rsid w:val="00651F2B"/>
    <w:pPr>
      <w:keepNext/>
      <w:keepLines/>
      <w:spacing w:before="480" w:line="276" w:lineRule="auto"/>
      <w:outlineLvl w:val="9"/>
    </w:pPr>
    <w:rPr>
      <w:rFonts w:eastAsiaTheme="majorEastAsia" w:cstheme="majorBidi"/>
      <w:kern w:val="0"/>
      <w:szCs w:val="28"/>
      <w:lang w:val="en-US"/>
      <w14:ligatures w14:val="none"/>
    </w:rPr>
  </w:style>
  <w:style w:type="paragraph" w:styleId="TOC2">
    <w:name w:val="toc 2"/>
    <w:basedOn w:val="Normal"/>
    <w:next w:val="Normal"/>
    <w:autoRedefine/>
    <w:uiPriority w:val="39"/>
    <w:unhideWhenUsed/>
    <w:rsid w:val="00651F2B"/>
    <w:pPr>
      <w:spacing w:before="120"/>
      <w:ind w:left="240"/>
    </w:pPr>
    <w:rPr>
      <w:rFonts w:asciiTheme="minorHAnsi" w:hAnsiTheme="minorHAnsi" w:cstheme="minorHAnsi"/>
      <w:b/>
      <w:bCs/>
      <w:sz w:val="22"/>
      <w:szCs w:val="22"/>
    </w:rPr>
  </w:style>
  <w:style w:type="paragraph" w:styleId="TOC1">
    <w:name w:val="toc 1"/>
    <w:basedOn w:val="Normal"/>
    <w:next w:val="Normal"/>
    <w:autoRedefine/>
    <w:uiPriority w:val="39"/>
    <w:unhideWhenUsed/>
    <w:rsid w:val="00651F2B"/>
    <w:pPr>
      <w:spacing w:before="120"/>
    </w:pPr>
    <w:rPr>
      <w:rFonts w:asciiTheme="minorHAnsi" w:hAnsiTheme="minorHAnsi" w:cstheme="minorHAnsi"/>
      <w:b/>
      <w:bCs/>
      <w:i/>
      <w:iCs/>
    </w:rPr>
  </w:style>
  <w:style w:type="paragraph" w:styleId="TOC3">
    <w:name w:val="toc 3"/>
    <w:basedOn w:val="Normal"/>
    <w:next w:val="Normal"/>
    <w:autoRedefine/>
    <w:uiPriority w:val="39"/>
    <w:unhideWhenUsed/>
    <w:rsid w:val="00651F2B"/>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0B71DB"/>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0B71DB"/>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0B71DB"/>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0B71DB"/>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0B71DB"/>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0B71DB"/>
    <w:pPr>
      <w:ind w:left="1920"/>
    </w:pPr>
    <w:rPr>
      <w:rFonts w:asciiTheme="minorHAnsi" w:hAnsiTheme="minorHAnsi" w:cstheme="minorHAnsi"/>
      <w:sz w:val="20"/>
      <w:szCs w:val="20"/>
    </w:rPr>
  </w:style>
  <w:style w:type="character" w:styleId="Hyperlink">
    <w:name w:val="Hyperlink"/>
    <w:basedOn w:val="DefaultParagraphFont"/>
    <w:uiPriority w:val="99"/>
    <w:unhideWhenUsed/>
    <w:rsid w:val="007A72D8"/>
    <w:rPr>
      <w:color w:val="0563C1" w:themeColor="hyperlink"/>
      <w:u w:val="single"/>
    </w:rPr>
  </w:style>
  <w:style w:type="paragraph" w:styleId="Quote">
    <w:name w:val="Quote"/>
    <w:basedOn w:val="Normal"/>
    <w:next w:val="Normal"/>
    <w:link w:val="QuoteChar"/>
    <w:uiPriority w:val="29"/>
    <w:qFormat/>
    <w:rsid w:val="0008510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8510A"/>
    <w:rPr>
      <w:rFonts w:ascii="Poppins" w:hAnsi="Poppins" w:cs="Poppins"/>
      <w:i/>
      <w:iCs/>
      <w:color w:val="404040" w:themeColor="text1" w:themeTint="BF"/>
    </w:rPr>
  </w:style>
  <w:style w:type="paragraph" w:styleId="ListParagraph">
    <w:name w:val="List Paragraph"/>
    <w:basedOn w:val="Normal"/>
    <w:uiPriority w:val="34"/>
    <w:qFormat/>
    <w:rsid w:val="008D72FA"/>
    <w:pPr>
      <w:ind w:left="720"/>
      <w:contextualSpacing/>
    </w:pPr>
  </w:style>
  <w:style w:type="character" w:styleId="PageNumber">
    <w:name w:val="page number"/>
    <w:basedOn w:val="DefaultParagraphFont"/>
    <w:uiPriority w:val="99"/>
    <w:semiHidden/>
    <w:unhideWhenUsed/>
    <w:rsid w:val="006C542F"/>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Accent1">
    <w:name w:val="Grid Table 1 Light Accent 1"/>
    <w:basedOn w:val="TableNormal"/>
    <w:uiPriority w:val="46"/>
    <w:rsid w:val="004B1021"/>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B102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4B102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1">
    <w:name w:val="Grid Table 2 Accent 1"/>
    <w:aliases w:val="NFRS Table"/>
    <w:basedOn w:val="TableNormal"/>
    <w:uiPriority w:val="47"/>
    <w:rsid w:val="00FA53FA"/>
    <w:rPr>
      <w:rFonts w:ascii="Poppins" w:hAnsi="Poppins"/>
    </w:rPr>
    <w:tblPr>
      <w:tblStyleRowBandSize w:val="1"/>
      <w:tblStyleColBandSize w:val="1"/>
      <w:tblBorders>
        <w:top w:val="single" w:sz="4" w:space="0" w:color="353B41"/>
        <w:bottom w:val="single" w:sz="4" w:space="0" w:color="353B41"/>
        <w:insideH w:val="single" w:sz="4" w:space="0" w:color="353B41"/>
        <w:insideV w:val="single" w:sz="4" w:space="0" w:color="353B41"/>
      </w:tblBorders>
    </w:tblPr>
    <w:trPr>
      <w:cantSplit/>
      <w:tblHeader/>
    </w:trPr>
    <w:tcPr>
      <w:vAlign w:val="center"/>
    </w:tcPr>
    <w:tblStylePr w:type="firstRow">
      <w:rPr>
        <w:b/>
        <w:bCs/>
      </w:rPr>
      <w:tblPr/>
      <w:tcPr>
        <w:shd w:val="clear" w:color="auto" w:fill="C00000"/>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Horz">
      <w:tblPr/>
      <w:tcPr>
        <w:shd w:val="clear" w:color="auto" w:fill="F2CBD7"/>
      </w:tcPr>
    </w:tblStylePr>
  </w:style>
  <w:style w:type="paragraph" w:customStyle="1" w:styleId="Pa1">
    <w:name w:val="Pa1"/>
    <w:basedOn w:val="Normal"/>
    <w:next w:val="Normal"/>
    <w:uiPriority w:val="99"/>
    <w:rsid w:val="00426E34"/>
    <w:pPr>
      <w:autoSpaceDE w:val="0"/>
      <w:autoSpaceDN w:val="0"/>
      <w:adjustRightInd w:val="0"/>
      <w:spacing w:line="281" w:lineRule="atLeast"/>
    </w:pPr>
    <w:rPr>
      <w:color w:val="auto"/>
      <w:kern w:val="0"/>
    </w:rPr>
  </w:style>
  <w:style w:type="character" w:customStyle="1" w:styleId="A10">
    <w:name w:val="A10"/>
    <w:uiPriority w:val="99"/>
    <w:rsid w:val="00426E34"/>
    <w:rPr>
      <w:color w:val="353A41"/>
    </w:rPr>
  </w:style>
  <w:style w:type="paragraph" w:customStyle="1" w:styleId="Default">
    <w:name w:val="Default"/>
    <w:rsid w:val="000A61D3"/>
    <w:pPr>
      <w:autoSpaceDE w:val="0"/>
      <w:autoSpaceDN w:val="0"/>
      <w:adjustRightInd w:val="0"/>
    </w:pPr>
    <w:rPr>
      <w:rFonts w:ascii="Poppins" w:hAnsi="Poppins" w:cs="Poppins"/>
      <w:color w:val="000000"/>
      <w:kern w:val="0"/>
    </w:rPr>
  </w:style>
  <w:style w:type="character" w:customStyle="1" w:styleId="Heading7Char">
    <w:name w:val="Heading 7 Char"/>
    <w:basedOn w:val="DefaultParagraphFont"/>
    <w:link w:val="Heading7"/>
    <w:uiPriority w:val="9"/>
    <w:semiHidden/>
    <w:rsid w:val="00FA15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15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1574"/>
    <w:rPr>
      <w:rFonts w:eastAsiaTheme="majorEastAsia" w:cstheme="majorBidi"/>
      <w:color w:val="272727" w:themeColor="text1" w:themeTint="D8"/>
    </w:rPr>
  </w:style>
  <w:style w:type="numbering" w:customStyle="1" w:styleId="NoList1">
    <w:name w:val="No List1"/>
    <w:next w:val="NoList"/>
    <w:uiPriority w:val="99"/>
    <w:semiHidden/>
    <w:unhideWhenUsed/>
    <w:rsid w:val="00FA1574"/>
  </w:style>
  <w:style w:type="paragraph" w:styleId="NoSpacing">
    <w:name w:val="No Spacing"/>
    <w:uiPriority w:val="1"/>
    <w:qFormat/>
    <w:rsid w:val="00FA1574"/>
    <w:rPr>
      <w:kern w:val="0"/>
      <w:sz w:val="22"/>
      <w:szCs w:val="22"/>
      <w14:ligatures w14:val="none"/>
    </w:rPr>
  </w:style>
  <w:style w:type="character" w:customStyle="1" w:styleId="ui-provider">
    <w:name w:val="ui-provider"/>
    <w:basedOn w:val="DefaultParagraphFont"/>
    <w:rsid w:val="00FA1574"/>
  </w:style>
  <w:style w:type="paragraph" w:styleId="Title">
    <w:name w:val="Title"/>
    <w:basedOn w:val="Normal"/>
    <w:next w:val="Normal"/>
    <w:link w:val="TitleChar"/>
    <w:uiPriority w:val="10"/>
    <w:qFormat/>
    <w:rsid w:val="00FA1574"/>
    <w:pPr>
      <w:spacing w:after="8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FA1574"/>
    <w:rPr>
      <w:rFonts w:asciiTheme="majorHAnsi" w:eastAsiaTheme="majorEastAsia" w:hAnsiTheme="majorHAnsi" w:cstheme="majorBidi"/>
      <w:spacing w:val="-10"/>
      <w:kern w:val="28"/>
      <w:sz w:val="56"/>
      <w:szCs w:val="56"/>
    </w:rPr>
  </w:style>
  <w:style w:type="character" w:styleId="IntenseEmphasis">
    <w:name w:val="Intense Emphasis"/>
    <w:basedOn w:val="DefaultParagraphFont"/>
    <w:uiPriority w:val="21"/>
    <w:qFormat/>
    <w:rsid w:val="00FA1574"/>
    <w:rPr>
      <w:i/>
      <w:iCs/>
      <w:color w:val="2F5496" w:themeColor="accent1" w:themeShade="BF"/>
    </w:rPr>
  </w:style>
  <w:style w:type="paragraph" w:styleId="IntenseQuote">
    <w:name w:val="Intense Quote"/>
    <w:basedOn w:val="Normal"/>
    <w:next w:val="Normal"/>
    <w:link w:val="IntenseQuoteChar"/>
    <w:uiPriority w:val="30"/>
    <w:qFormat/>
    <w:rsid w:val="00FA1574"/>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hAnsiTheme="minorHAnsi" w:cstheme="minorBidi"/>
      <w:i/>
      <w:iCs/>
      <w:color w:val="2F5496" w:themeColor="accent1" w:themeShade="BF"/>
    </w:rPr>
  </w:style>
  <w:style w:type="character" w:customStyle="1" w:styleId="IntenseQuoteChar">
    <w:name w:val="Intense Quote Char"/>
    <w:basedOn w:val="DefaultParagraphFont"/>
    <w:link w:val="IntenseQuote"/>
    <w:uiPriority w:val="30"/>
    <w:rsid w:val="00FA1574"/>
    <w:rPr>
      <w:i/>
      <w:iCs/>
      <w:color w:val="2F5496" w:themeColor="accent1" w:themeShade="BF"/>
    </w:rPr>
  </w:style>
  <w:style w:type="character" w:styleId="IntenseReference">
    <w:name w:val="Intense Reference"/>
    <w:basedOn w:val="DefaultParagraphFont"/>
    <w:uiPriority w:val="32"/>
    <w:qFormat/>
    <w:rsid w:val="00FA1574"/>
    <w:rPr>
      <w:b/>
      <w:bCs/>
      <w:smallCaps/>
      <w:color w:val="2F5496" w:themeColor="accent1" w:themeShade="BF"/>
      <w:spacing w:val="5"/>
    </w:rPr>
  </w:style>
  <w:style w:type="table" w:customStyle="1" w:styleId="TableGrid1">
    <w:name w:val="Table Grid1"/>
    <w:basedOn w:val="TableNormal"/>
    <w:next w:val="TableGrid"/>
    <w:uiPriority w:val="39"/>
    <w:rsid w:val="00FA15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A1574"/>
    <w:pPr>
      <w:spacing w:before="100" w:beforeAutospacing="1" w:after="100" w:afterAutospacing="1"/>
    </w:pPr>
    <w:rPr>
      <w:rFonts w:ascii="Times New Roman" w:eastAsia="Times New Roman" w:hAnsi="Times New Roman" w:cs="Times New Roman"/>
      <w:color w:val="auto"/>
      <w:kern w:val="0"/>
      <w:lang w:eastAsia="en-GB"/>
      <w14:ligatures w14:val="none"/>
    </w:rPr>
  </w:style>
  <w:style w:type="paragraph" w:styleId="Revision">
    <w:name w:val="Revision"/>
    <w:hidden/>
    <w:uiPriority w:val="99"/>
    <w:semiHidden/>
    <w:rsid w:val="00FA1574"/>
    <w:rPr>
      <w:kern w:val="0"/>
      <w:sz w:val="22"/>
      <w:szCs w:val="22"/>
      <w14:ligatures w14:val="none"/>
    </w:rPr>
  </w:style>
  <w:style w:type="character" w:styleId="CommentReference">
    <w:name w:val="annotation reference"/>
    <w:basedOn w:val="DefaultParagraphFont"/>
    <w:uiPriority w:val="99"/>
    <w:semiHidden/>
    <w:unhideWhenUsed/>
    <w:rsid w:val="00FA1574"/>
    <w:rPr>
      <w:sz w:val="16"/>
      <w:szCs w:val="16"/>
    </w:rPr>
  </w:style>
  <w:style w:type="paragraph" w:styleId="CommentText">
    <w:name w:val="annotation text"/>
    <w:basedOn w:val="Normal"/>
    <w:link w:val="CommentTextChar"/>
    <w:uiPriority w:val="99"/>
    <w:unhideWhenUsed/>
    <w:rsid w:val="00FA1574"/>
    <w:pPr>
      <w:spacing w:after="160"/>
    </w:pPr>
    <w:rPr>
      <w:rFonts w:asciiTheme="minorHAnsi" w:hAnsiTheme="minorHAnsi" w:cstheme="minorBidi"/>
      <w:color w:val="auto"/>
      <w:kern w:val="0"/>
      <w:sz w:val="20"/>
      <w:szCs w:val="20"/>
      <w14:ligatures w14:val="none"/>
    </w:rPr>
  </w:style>
  <w:style w:type="character" w:customStyle="1" w:styleId="CommentTextChar">
    <w:name w:val="Comment Text Char"/>
    <w:basedOn w:val="DefaultParagraphFont"/>
    <w:link w:val="CommentText"/>
    <w:uiPriority w:val="99"/>
    <w:rsid w:val="00FA1574"/>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A1574"/>
    <w:rPr>
      <w:b/>
      <w:bCs/>
    </w:rPr>
  </w:style>
  <w:style w:type="character" w:customStyle="1" w:styleId="CommentSubjectChar">
    <w:name w:val="Comment Subject Char"/>
    <w:basedOn w:val="CommentTextChar"/>
    <w:link w:val="CommentSubject"/>
    <w:uiPriority w:val="99"/>
    <w:semiHidden/>
    <w:rsid w:val="00FA1574"/>
    <w:rPr>
      <w:b/>
      <w:bCs/>
      <w:kern w:val="0"/>
      <w:sz w:val="20"/>
      <w:szCs w:val="20"/>
      <w14:ligatures w14:val="none"/>
    </w:rPr>
  </w:style>
  <w:style w:type="character" w:styleId="Mention">
    <w:name w:val="Mention"/>
    <w:basedOn w:val="DefaultParagraphFont"/>
    <w:uiPriority w:val="99"/>
    <w:unhideWhenUsed/>
    <w:rsid w:val="00FA157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nottsfire-my.sharepoint.com/personal/warwick_grosvenor_notts-fire_gov_uk/Documents/CRMP/Consultation/Consultation%20Ticker.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wgrosvenor\Desktop\Book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CRMP Consultation Ticker</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'[Consultation Ticker.xlsx]Sheet1'!$A$2</c:f>
              <c:strCache>
                <c:ptCount val="1"/>
                <c:pt idx="0">
                  <c:v>Survey Responses</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numRef>
              <c:f>'[Consultation Ticker.xlsx]Sheet1'!$B$1:$D$1</c:f>
              <c:numCache>
                <c:formatCode>General</c:formatCode>
                <c:ptCount val="3"/>
                <c:pt idx="0">
                  <c:v>2018</c:v>
                </c:pt>
                <c:pt idx="1">
                  <c:v>2021</c:v>
                </c:pt>
                <c:pt idx="2">
                  <c:v>2024</c:v>
                </c:pt>
              </c:numCache>
            </c:numRef>
          </c:cat>
          <c:val>
            <c:numRef>
              <c:f>'[Consultation Ticker.xlsx]Sheet1'!$B$2:$D$2</c:f>
              <c:numCache>
                <c:formatCode>General</c:formatCode>
                <c:ptCount val="3"/>
                <c:pt idx="0">
                  <c:v>277</c:v>
                </c:pt>
                <c:pt idx="1">
                  <c:v>98</c:v>
                </c:pt>
                <c:pt idx="2">
                  <c:v>645</c:v>
                </c:pt>
              </c:numCache>
            </c:numRef>
          </c:val>
          <c:extLst>
            <c:ext xmlns:c16="http://schemas.microsoft.com/office/drawing/2014/chart" uri="{C3380CC4-5D6E-409C-BE32-E72D297353CC}">
              <c16:uniqueId val="{00000000-1E8A-4DC1-BC86-21EDC89C6769}"/>
            </c:ext>
          </c:extLst>
        </c:ser>
        <c:ser>
          <c:idx val="1"/>
          <c:order val="1"/>
          <c:tx>
            <c:strRef>
              <c:f>'[Consultation Ticker.xlsx]Sheet1'!$A$3</c:f>
              <c:strCache>
                <c:ptCount val="1"/>
                <c:pt idx="0">
                  <c:v>Employee Responses</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numRef>
              <c:f>'[Consultation Ticker.xlsx]Sheet1'!$B$1:$D$1</c:f>
              <c:numCache>
                <c:formatCode>General</c:formatCode>
                <c:ptCount val="3"/>
                <c:pt idx="0">
                  <c:v>2018</c:v>
                </c:pt>
                <c:pt idx="1">
                  <c:v>2021</c:v>
                </c:pt>
                <c:pt idx="2">
                  <c:v>2024</c:v>
                </c:pt>
              </c:numCache>
            </c:numRef>
          </c:cat>
          <c:val>
            <c:numRef>
              <c:f>'[Consultation Ticker.xlsx]Sheet1'!$B$3:$D$3</c:f>
              <c:numCache>
                <c:formatCode>General</c:formatCode>
                <c:ptCount val="3"/>
                <c:pt idx="0">
                  <c:v>49</c:v>
                </c:pt>
                <c:pt idx="1">
                  <c:v>26</c:v>
                </c:pt>
                <c:pt idx="2">
                  <c:v>157</c:v>
                </c:pt>
              </c:numCache>
            </c:numRef>
          </c:val>
          <c:extLst>
            <c:ext xmlns:c16="http://schemas.microsoft.com/office/drawing/2014/chart" uri="{C3380CC4-5D6E-409C-BE32-E72D297353CC}">
              <c16:uniqueId val="{00000001-1E8A-4DC1-BC86-21EDC89C6769}"/>
            </c:ext>
          </c:extLst>
        </c:ser>
        <c:ser>
          <c:idx val="2"/>
          <c:order val="2"/>
          <c:tx>
            <c:strRef>
              <c:f>'[Consultation Ticker.xlsx]Sheet1'!$A$4</c:f>
              <c:strCache>
                <c:ptCount val="1"/>
                <c:pt idx="0">
                  <c:v>Focus Group Attendees</c:v>
                </c:pt>
              </c:strCache>
            </c:strRef>
          </c:tx>
          <c:spPr>
            <a:solidFill>
              <a:srgbClr val="92D050"/>
            </a:solidFill>
            <a:ln w="9525" cap="flat" cmpd="sng" algn="ctr">
              <a:solidFill>
                <a:schemeClr val="accent3">
                  <a:lumMod val="75000"/>
                </a:schemeClr>
              </a:solidFill>
              <a:round/>
            </a:ln>
            <a:effectLst/>
            <a:sp3d contourW="9525">
              <a:contourClr>
                <a:schemeClr val="accent3">
                  <a:lumMod val="75000"/>
                </a:schemeClr>
              </a:contourClr>
            </a:sp3d>
          </c:spPr>
          <c:invertIfNegative val="0"/>
          <c:cat>
            <c:numRef>
              <c:f>'[Consultation Ticker.xlsx]Sheet1'!$B$1:$D$1</c:f>
              <c:numCache>
                <c:formatCode>General</c:formatCode>
                <c:ptCount val="3"/>
                <c:pt idx="0">
                  <c:v>2018</c:v>
                </c:pt>
                <c:pt idx="1">
                  <c:v>2021</c:v>
                </c:pt>
                <c:pt idx="2">
                  <c:v>2024</c:v>
                </c:pt>
              </c:numCache>
            </c:numRef>
          </c:cat>
          <c:val>
            <c:numRef>
              <c:f>'[Consultation Ticker.xlsx]Sheet1'!$B$4:$D$4</c:f>
              <c:numCache>
                <c:formatCode>General</c:formatCode>
                <c:ptCount val="3"/>
                <c:pt idx="0">
                  <c:v>43</c:v>
                </c:pt>
                <c:pt idx="1">
                  <c:v>38</c:v>
                </c:pt>
                <c:pt idx="2">
                  <c:v>78</c:v>
                </c:pt>
              </c:numCache>
            </c:numRef>
          </c:val>
          <c:extLst>
            <c:ext xmlns:c16="http://schemas.microsoft.com/office/drawing/2014/chart" uri="{C3380CC4-5D6E-409C-BE32-E72D297353CC}">
              <c16:uniqueId val="{00000002-1E8A-4DC1-BC86-21EDC89C6769}"/>
            </c:ext>
          </c:extLst>
        </c:ser>
        <c:dLbls>
          <c:showLegendKey val="0"/>
          <c:showVal val="0"/>
          <c:showCatName val="0"/>
          <c:showSerName val="0"/>
          <c:showPercent val="0"/>
          <c:showBubbleSize val="0"/>
        </c:dLbls>
        <c:gapWidth val="65"/>
        <c:shape val="box"/>
        <c:axId val="1759173999"/>
        <c:axId val="1759176399"/>
        <c:axId val="0"/>
      </c:bar3DChart>
      <c:catAx>
        <c:axId val="1759173999"/>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59176399"/>
        <c:crosses val="autoZero"/>
        <c:auto val="1"/>
        <c:lblAlgn val="ctr"/>
        <c:lblOffset val="100"/>
        <c:noMultiLvlLbl val="0"/>
      </c:catAx>
      <c:valAx>
        <c:axId val="1759176399"/>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759173999"/>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Age</a:t>
            </a:r>
            <a:r>
              <a:rPr lang="en-GB" baseline="0"/>
              <a:t> Ranges</a:t>
            </a:r>
            <a:endParaRPr lang="en-GB"/>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GB"/>
        </a:p>
      </c:txPr>
    </c:title>
    <c:autoTitleDeleted val="0"/>
    <c:plotArea>
      <c:layout/>
      <c:doughnutChart>
        <c:varyColors val="1"/>
        <c:ser>
          <c:idx val="0"/>
          <c:order val="0"/>
          <c:spPr>
            <a:ln>
              <a:solidFill>
                <a:schemeClr val="tx1"/>
              </a:solidFill>
            </a:ln>
          </c:spPr>
          <c:dPt>
            <c:idx val="0"/>
            <c:bubble3D val="0"/>
            <c:spPr>
              <a:solidFill>
                <a:schemeClr val="accent1"/>
              </a:solid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E76-4807-81E9-AECC51FDE8E8}"/>
              </c:ext>
            </c:extLst>
          </c:dPt>
          <c:dPt>
            <c:idx val="1"/>
            <c:bubble3D val="0"/>
            <c:spPr>
              <a:solidFill>
                <a:schemeClr val="accent2"/>
              </a:solid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E76-4807-81E9-AECC51FDE8E8}"/>
              </c:ext>
            </c:extLst>
          </c:dPt>
          <c:dPt>
            <c:idx val="2"/>
            <c:bubble3D val="0"/>
            <c:spPr>
              <a:solidFill>
                <a:schemeClr val="accent3"/>
              </a:solid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E76-4807-81E9-AECC51FDE8E8}"/>
              </c:ext>
            </c:extLst>
          </c:dPt>
          <c:dPt>
            <c:idx val="3"/>
            <c:bubble3D val="0"/>
            <c:spPr>
              <a:solidFill>
                <a:schemeClr val="accent4"/>
              </a:solid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E76-4807-81E9-AECC51FDE8E8}"/>
              </c:ext>
            </c:extLst>
          </c:dPt>
          <c:dPt>
            <c:idx val="4"/>
            <c:bubble3D val="0"/>
            <c:spPr>
              <a:solidFill>
                <a:schemeClr val="accent5"/>
              </a:solid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EE76-4807-81E9-AECC51FDE8E8}"/>
              </c:ext>
            </c:extLst>
          </c:dPt>
          <c:dPt>
            <c:idx val="5"/>
            <c:bubble3D val="0"/>
            <c:spPr>
              <a:solidFill>
                <a:schemeClr val="accent6"/>
              </a:solid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EE76-4807-81E9-AECC51FDE8E8}"/>
              </c:ext>
            </c:extLst>
          </c:dPt>
          <c:dPt>
            <c:idx val="6"/>
            <c:bubble3D val="0"/>
            <c:spPr>
              <a:solidFill>
                <a:schemeClr val="accent1">
                  <a:lumMod val="60000"/>
                </a:schemeClr>
              </a:solid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EE76-4807-81E9-AECC51FDE8E8}"/>
              </c:ext>
            </c:extLst>
          </c:dPt>
          <c:dPt>
            <c:idx val="7"/>
            <c:bubble3D val="0"/>
            <c:spPr>
              <a:solidFill>
                <a:schemeClr val="accent2">
                  <a:lumMod val="60000"/>
                </a:schemeClr>
              </a:solidFill>
              <a:ln>
                <a:solidFill>
                  <a:schemeClr val="tx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EE76-4807-81E9-AECC51FDE8E8}"/>
              </c:ext>
            </c:extLst>
          </c:dPt>
          <c:dLbls>
            <c:delete val="1"/>
          </c:dLbls>
          <c:cat>
            <c:strRef>
              <c:f>Sheet2!$B$3:$I$3</c:f>
              <c:strCache>
                <c:ptCount val="8"/>
                <c:pt idx="0">
                  <c:v>Under 18</c:v>
                </c:pt>
                <c:pt idx="1">
                  <c:v>18-24</c:v>
                </c:pt>
                <c:pt idx="2">
                  <c:v>25-34</c:v>
                </c:pt>
                <c:pt idx="3">
                  <c:v>35-44</c:v>
                </c:pt>
                <c:pt idx="4">
                  <c:v>45-54</c:v>
                </c:pt>
                <c:pt idx="5">
                  <c:v>55-64</c:v>
                </c:pt>
                <c:pt idx="6">
                  <c:v>65-74</c:v>
                </c:pt>
                <c:pt idx="7">
                  <c:v>75 and over</c:v>
                </c:pt>
              </c:strCache>
            </c:strRef>
          </c:cat>
          <c:val>
            <c:numRef>
              <c:f>Sheet2!$B$4:$I$4</c:f>
              <c:numCache>
                <c:formatCode>General</c:formatCode>
                <c:ptCount val="8"/>
                <c:pt idx="0">
                  <c:v>5</c:v>
                </c:pt>
                <c:pt idx="1">
                  <c:v>31</c:v>
                </c:pt>
                <c:pt idx="2">
                  <c:v>107</c:v>
                </c:pt>
                <c:pt idx="3">
                  <c:v>148</c:v>
                </c:pt>
                <c:pt idx="4">
                  <c:v>135</c:v>
                </c:pt>
                <c:pt idx="5">
                  <c:v>128</c:v>
                </c:pt>
                <c:pt idx="6">
                  <c:v>61</c:v>
                </c:pt>
                <c:pt idx="7">
                  <c:v>29</c:v>
                </c:pt>
              </c:numCache>
            </c:numRef>
          </c:val>
          <c:extLst>
            <c:ext xmlns:c16="http://schemas.microsoft.com/office/drawing/2014/chart" uri="{C3380CC4-5D6E-409C-BE32-E72D297353CC}">
              <c16:uniqueId val="{00000010-EE76-4807-81E9-AECC51FDE8E8}"/>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ltUpDiag">
      <a:fgClr>
        <a:schemeClr val="bg1">
          <a:lumMod val="85000"/>
        </a:schemeClr>
      </a:fgClr>
      <a:bgClr>
        <a:schemeClr val="bg1"/>
      </a:bgClr>
    </a:pattFill>
    <a:ln w="9525" cap="flat" cmpd="sng" algn="ctr">
      <a:solidFill>
        <a:schemeClr val="tx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811A6-A01A-AD49-B80C-8FBEECC20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10717</Words>
  <Characters>59374</Characters>
  <Application>Microsoft Office Word</Application>
  <DocSecurity>0</DocSecurity>
  <Lines>1979</Lines>
  <Paragraphs>1668</Paragraphs>
  <ScaleCrop>false</ScaleCrop>
  <HeadingPairs>
    <vt:vector size="2" baseType="variant">
      <vt:variant>
        <vt:lpstr>Title</vt:lpstr>
      </vt:variant>
      <vt:variant>
        <vt:i4>1</vt:i4>
      </vt:variant>
    </vt:vector>
  </HeadingPairs>
  <TitlesOfParts>
    <vt:vector size="1" baseType="lpstr">
      <vt:lpstr>People Strategy 2023-25</vt:lpstr>
    </vt:vector>
  </TitlesOfParts>
  <Manager/>
  <Company>Nottinghamshire Fire and Rescue Service</Company>
  <LinksUpToDate>false</LinksUpToDate>
  <CharactersWithSpaces>68423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People Strategy 2023-25</dc:title>
  <dc:subject/>
  <dc:creator>Tracy Crump</dc:creator>
  <cp:keywords/>
  <dc:description>NFRS, Notts, Nottingham, Nottinghamshire</dc:description>
  <cp:lastModifiedBy>Alexander Skennerton</cp:lastModifiedBy>
  <cp:revision>2</cp:revision>
  <dcterms:created xsi:type="dcterms:W3CDTF">2025-04-23T14:32:00Z</dcterms:created>
  <dcterms:modified xsi:type="dcterms:W3CDTF">2025-04-23T14:32:00Z</dcterms:modified>
  <cp:category/>
</cp:coreProperties>
</file>