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3F4E" w14:textId="77777777" w:rsidR="00D85060" w:rsidRPr="00950923" w:rsidRDefault="009A71D9" w:rsidP="00950923">
      <w:pPr>
        <w:jc w:val="center"/>
        <w:rPr>
          <w:b/>
          <w:sz w:val="28"/>
          <w:szCs w:val="28"/>
        </w:rPr>
      </w:pPr>
      <w:r>
        <w:rPr>
          <w:b/>
          <w:sz w:val="28"/>
          <w:szCs w:val="28"/>
        </w:rPr>
        <w:t>NO</w:t>
      </w:r>
      <w:r w:rsidR="002C2A55">
        <w:rPr>
          <w:b/>
          <w:sz w:val="28"/>
          <w:szCs w:val="28"/>
        </w:rPr>
        <w:t xml:space="preserve">TTINGHAMSHIRE </w:t>
      </w:r>
      <w:r w:rsidR="0094547E">
        <w:rPr>
          <w:b/>
          <w:sz w:val="28"/>
          <w:szCs w:val="28"/>
        </w:rPr>
        <w:t xml:space="preserve"> </w:t>
      </w:r>
      <w:r w:rsidR="0083066F">
        <w:rPr>
          <w:b/>
          <w:sz w:val="28"/>
          <w:szCs w:val="28"/>
        </w:rPr>
        <w:t>FRA</w:t>
      </w:r>
    </w:p>
    <w:p w14:paraId="380D4F48" w14:textId="77777777" w:rsidR="00F90D34" w:rsidRPr="00950923" w:rsidRDefault="00092A35" w:rsidP="00950923">
      <w:pPr>
        <w:jc w:val="center"/>
        <w:rPr>
          <w:b/>
          <w:sz w:val="28"/>
          <w:szCs w:val="28"/>
        </w:rPr>
      </w:pPr>
      <w:r w:rsidRPr="00950923">
        <w:rPr>
          <w:b/>
          <w:sz w:val="28"/>
          <w:szCs w:val="28"/>
        </w:rPr>
        <w:t xml:space="preserve"> Data Improvement Plan 20</w:t>
      </w:r>
      <w:r w:rsidR="00CE23DE">
        <w:rPr>
          <w:b/>
          <w:sz w:val="28"/>
          <w:szCs w:val="28"/>
        </w:rPr>
        <w:t>20/21</w:t>
      </w:r>
    </w:p>
    <w:p w14:paraId="71A73C9E" w14:textId="77777777" w:rsidR="00D85060" w:rsidRPr="00B07BD5" w:rsidRDefault="00D85060" w:rsidP="00DA6058">
      <w:pPr>
        <w:pStyle w:val="ListParagraph"/>
        <w:numPr>
          <w:ilvl w:val="0"/>
          <w:numId w:val="7"/>
        </w:numPr>
        <w:ind w:left="567" w:hanging="567"/>
        <w:rPr>
          <w:rFonts w:ascii="Arial" w:hAnsi="Arial" w:cs="Arial"/>
          <w:b/>
          <w:sz w:val="24"/>
          <w:szCs w:val="24"/>
        </w:rPr>
      </w:pPr>
      <w:r w:rsidRPr="00B07BD5">
        <w:rPr>
          <w:rFonts w:ascii="Arial" w:hAnsi="Arial" w:cs="Arial"/>
          <w:b/>
          <w:sz w:val="24"/>
          <w:szCs w:val="24"/>
        </w:rPr>
        <w:t>Introduction</w:t>
      </w:r>
    </w:p>
    <w:p w14:paraId="37CD73D5" w14:textId="37AF8CB5" w:rsidR="00950923" w:rsidRPr="00B07BD5" w:rsidRDefault="00B07BD5" w:rsidP="00DA6058">
      <w:pPr>
        <w:autoSpaceDE w:val="0"/>
        <w:autoSpaceDN w:val="0"/>
        <w:adjustRightInd w:val="0"/>
        <w:spacing w:after="0" w:line="240" w:lineRule="auto"/>
        <w:ind w:left="567" w:hanging="567"/>
        <w:rPr>
          <w:rFonts w:ascii="Arial" w:hAnsi="Arial" w:cs="Arial"/>
          <w:color w:val="000000"/>
          <w:sz w:val="24"/>
          <w:szCs w:val="24"/>
        </w:rPr>
      </w:pPr>
      <w:r>
        <w:rPr>
          <w:rFonts w:ascii="Arial" w:hAnsi="Arial" w:cs="Arial"/>
          <w:color w:val="000000"/>
          <w:sz w:val="24"/>
          <w:szCs w:val="24"/>
        </w:rPr>
        <w:t>1.1</w:t>
      </w:r>
      <w:r>
        <w:rPr>
          <w:rFonts w:ascii="Arial" w:hAnsi="Arial" w:cs="Arial"/>
          <w:color w:val="000000"/>
          <w:sz w:val="24"/>
          <w:szCs w:val="24"/>
        </w:rPr>
        <w:tab/>
      </w:r>
      <w:r w:rsidR="00950923" w:rsidRPr="00B07BD5">
        <w:rPr>
          <w:rFonts w:ascii="Arial" w:hAnsi="Arial" w:cs="Arial"/>
          <w:color w:val="000000"/>
          <w:sz w:val="24"/>
          <w:szCs w:val="24"/>
        </w:rPr>
        <w:t>This document defines the data improvement p</w:t>
      </w:r>
      <w:r>
        <w:rPr>
          <w:rFonts w:ascii="Arial" w:hAnsi="Arial" w:cs="Arial"/>
          <w:color w:val="000000"/>
          <w:sz w:val="24"/>
          <w:szCs w:val="24"/>
        </w:rPr>
        <w:t>lan</w:t>
      </w:r>
      <w:r w:rsidR="00950923" w:rsidRPr="00B07BD5">
        <w:rPr>
          <w:rFonts w:ascii="Arial" w:hAnsi="Arial" w:cs="Arial"/>
          <w:color w:val="000000"/>
          <w:sz w:val="24"/>
          <w:szCs w:val="24"/>
        </w:rPr>
        <w:t xml:space="preserve"> </w:t>
      </w:r>
      <w:r w:rsidR="00E120FA">
        <w:rPr>
          <w:rFonts w:ascii="Arial" w:hAnsi="Arial" w:cs="Arial"/>
          <w:color w:val="000000"/>
          <w:sz w:val="24"/>
          <w:szCs w:val="24"/>
        </w:rPr>
        <w:t xml:space="preserve">for </w:t>
      </w:r>
      <w:r w:rsidR="00DC1CA0">
        <w:rPr>
          <w:rFonts w:ascii="Arial" w:hAnsi="Arial" w:cs="Arial"/>
          <w:color w:val="000000"/>
          <w:sz w:val="24"/>
          <w:szCs w:val="24"/>
        </w:rPr>
        <w:t>Nottinghamshire</w:t>
      </w:r>
      <w:r w:rsidR="00B86992">
        <w:rPr>
          <w:rFonts w:ascii="Arial" w:hAnsi="Arial" w:cs="Arial"/>
          <w:color w:val="000000"/>
          <w:sz w:val="24"/>
          <w:szCs w:val="24"/>
        </w:rPr>
        <w:t xml:space="preserve"> Fire</w:t>
      </w:r>
      <w:r w:rsidR="00E120FA">
        <w:rPr>
          <w:rFonts w:ascii="Arial" w:hAnsi="Arial" w:cs="Arial"/>
          <w:color w:val="000000"/>
          <w:sz w:val="24"/>
          <w:szCs w:val="24"/>
        </w:rPr>
        <w:t xml:space="preserve"> which is administered by West Yorkshire Pension Fund </w:t>
      </w:r>
      <w:r w:rsidR="00950923" w:rsidRPr="00B07BD5">
        <w:rPr>
          <w:rFonts w:ascii="Arial" w:hAnsi="Arial" w:cs="Arial"/>
          <w:color w:val="000000"/>
          <w:sz w:val="24"/>
          <w:szCs w:val="24"/>
        </w:rPr>
        <w:t>(the Fund)</w:t>
      </w:r>
      <w:r>
        <w:rPr>
          <w:rFonts w:ascii="Arial" w:hAnsi="Arial" w:cs="Arial"/>
          <w:color w:val="000000"/>
          <w:sz w:val="24"/>
          <w:szCs w:val="24"/>
        </w:rPr>
        <w:t>.</w:t>
      </w:r>
    </w:p>
    <w:p w14:paraId="5FE184B9" w14:textId="77777777" w:rsidR="00950923" w:rsidRPr="00B07BD5" w:rsidRDefault="00950923" w:rsidP="00DA6058">
      <w:pPr>
        <w:autoSpaceDE w:val="0"/>
        <w:autoSpaceDN w:val="0"/>
        <w:adjustRightInd w:val="0"/>
        <w:spacing w:after="0" w:line="240" w:lineRule="auto"/>
        <w:ind w:left="567" w:hanging="567"/>
        <w:rPr>
          <w:rFonts w:ascii="Arial" w:hAnsi="Arial" w:cs="Arial"/>
          <w:color w:val="000000"/>
          <w:sz w:val="24"/>
          <w:szCs w:val="24"/>
        </w:rPr>
      </w:pPr>
    </w:p>
    <w:p w14:paraId="69AD9EF2" w14:textId="77777777" w:rsidR="00E56E1E" w:rsidRPr="00B07BD5" w:rsidRDefault="00B07BD5" w:rsidP="00E56E1E">
      <w:pPr>
        <w:autoSpaceDE w:val="0"/>
        <w:autoSpaceDN w:val="0"/>
        <w:adjustRightInd w:val="0"/>
        <w:spacing w:after="0" w:line="240" w:lineRule="auto"/>
        <w:ind w:left="567" w:hanging="567"/>
        <w:rPr>
          <w:rFonts w:ascii="Arial" w:hAnsi="Arial" w:cs="Arial"/>
          <w:color w:val="000000"/>
          <w:sz w:val="24"/>
          <w:szCs w:val="24"/>
        </w:rPr>
      </w:pPr>
      <w:r>
        <w:rPr>
          <w:rFonts w:ascii="Arial" w:hAnsi="Arial" w:cs="Arial"/>
          <w:color w:val="000000"/>
          <w:sz w:val="24"/>
          <w:szCs w:val="24"/>
        </w:rPr>
        <w:t>1.2</w:t>
      </w:r>
      <w:r>
        <w:rPr>
          <w:rFonts w:ascii="Arial" w:hAnsi="Arial" w:cs="Arial"/>
          <w:color w:val="000000"/>
          <w:sz w:val="24"/>
          <w:szCs w:val="24"/>
        </w:rPr>
        <w:tab/>
      </w:r>
      <w:r w:rsidR="00E56E1E">
        <w:rPr>
          <w:rFonts w:ascii="Arial" w:hAnsi="Arial" w:cs="Arial"/>
          <w:color w:val="000000"/>
          <w:sz w:val="24"/>
          <w:szCs w:val="24"/>
        </w:rPr>
        <w:t>WYPF</w:t>
      </w:r>
      <w:r w:rsidR="00E56E1E" w:rsidRPr="00B07BD5">
        <w:rPr>
          <w:rFonts w:ascii="Arial" w:hAnsi="Arial" w:cs="Arial"/>
          <w:color w:val="000000"/>
          <w:sz w:val="24"/>
          <w:szCs w:val="24"/>
        </w:rPr>
        <w:t xml:space="preserve"> collects and holds large amounts of digital and paper based data </w:t>
      </w:r>
      <w:r w:rsidR="00E56E1E">
        <w:rPr>
          <w:rFonts w:ascii="Arial" w:hAnsi="Arial" w:cs="Arial"/>
          <w:color w:val="000000"/>
          <w:sz w:val="24"/>
          <w:szCs w:val="24"/>
        </w:rPr>
        <w:t xml:space="preserve">on behalf of the scheme manager </w:t>
      </w:r>
      <w:r w:rsidR="00E56E1E" w:rsidRPr="00B07BD5">
        <w:rPr>
          <w:rFonts w:ascii="Arial" w:hAnsi="Arial" w:cs="Arial"/>
          <w:color w:val="000000"/>
          <w:sz w:val="24"/>
          <w:szCs w:val="24"/>
        </w:rPr>
        <w:t xml:space="preserve">and is heavily reliant on the timely receipt of quality data </w:t>
      </w:r>
      <w:r w:rsidR="00E56E1E" w:rsidRPr="00F91E38">
        <w:rPr>
          <w:rFonts w:ascii="Arial" w:hAnsi="Arial" w:cs="Arial"/>
          <w:color w:val="000000"/>
          <w:sz w:val="24"/>
          <w:szCs w:val="24"/>
        </w:rPr>
        <w:t>from the Fire Authority</w:t>
      </w:r>
      <w:r w:rsidR="00E56E1E" w:rsidRPr="00B07BD5">
        <w:rPr>
          <w:rFonts w:ascii="Arial" w:hAnsi="Arial" w:cs="Arial"/>
          <w:color w:val="000000"/>
          <w:sz w:val="24"/>
          <w:szCs w:val="24"/>
        </w:rPr>
        <w:t xml:space="preserve">, in order to effectively administer the </w:t>
      </w:r>
      <w:r w:rsidR="00E56E1E">
        <w:rPr>
          <w:rFonts w:ascii="Arial" w:hAnsi="Arial" w:cs="Arial"/>
          <w:color w:val="000000"/>
          <w:sz w:val="24"/>
          <w:szCs w:val="24"/>
        </w:rPr>
        <w:t>Firefighters’ Pension Schemes.</w:t>
      </w:r>
    </w:p>
    <w:p w14:paraId="44B79FC7" w14:textId="77777777" w:rsidR="00E56E1E" w:rsidRPr="00B07BD5" w:rsidRDefault="00E56E1E" w:rsidP="00E56E1E">
      <w:pPr>
        <w:autoSpaceDE w:val="0"/>
        <w:autoSpaceDN w:val="0"/>
        <w:adjustRightInd w:val="0"/>
        <w:spacing w:after="0" w:line="240" w:lineRule="auto"/>
        <w:ind w:left="567" w:hanging="567"/>
        <w:rPr>
          <w:rFonts w:ascii="Arial" w:hAnsi="Arial" w:cs="Arial"/>
          <w:color w:val="000000"/>
          <w:sz w:val="24"/>
          <w:szCs w:val="24"/>
        </w:rPr>
      </w:pPr>
    </w:p>
    <w:p w14:paraId="5379646B" w14:textId="77777777" w:rsidR="00E56E1E" w:rsidRPr="00B07BD5" w:rsidRDefault="00E56E1E" w:rsidP="00E56E1E">
      <w:pPr>
        <w:autoSpaceDE w:val="0"/>
        <w:autoSpaceDN w:val="0"/>
        <w:adjustRightInd w:val="0"/>
        <w:spacing w:after="0" w:line="240" w:lineRule="auto"/>
        <w:ind w:left="567" w:hanging="567"/>
        <w:rPr>
          <w:rFonts w:ascii="Arial" w:hAnsi="Arial" w:cs="Arial"/>
          <w:color w:val="000000"/>
          <w:sz w:val="24"/>
          <w:szCs w:val="24"/>
        </w:rPr>
      </w:pPr>
      <w:r>
        <w:rPr>
          <w:rFonts w:ascii="Arial" w:hAnsi="Arial" w:cs="Arial"/>
          <w:color w:val="000000"/>
          <w:sz w:val="24"/>
          <w:szCs w:val="24"/>
        </w:rPr>
        <w:t>1.3</w:t>
      </w:r>
      <w:r>
        <w:rPr>
          <w:rFonts w:ascii="Arial" w:hAnsi="Arial" w:cs="Arial"/>
          <w:color w:val="000000"/>
          <w:sz w:val="24"/>
          <w:szCs w:val="24"/>
        </w:rPr>
        <w:tab/>
      </w:r>
      <w:r w:rsidRPr="00B07BD5">
        <w:rPr>
          <w:rFonts w:ascii="Arial" w:hAnsi="Arial" w:cs="Arial"/>
          <w:color w:val="000000"/>
          <w:sz w:val="24"/>
          <w:szCs w:val="24"/>
        </w:rPr>
        <w:t xml:space="preserve">Fundamentally, the purpose of the </w:t>
      </w:r>
      <w:r>
        <w:rPr>
          <w:rFonts w:ascii="Arial" w:hAnsi="Arial" w:cs="Arial"/>
          <w:color w:val="000000"/>
          <w:sz w:val="24"/>
          <w:szCs w:val="24"/>
        </w:rPr>
        <w:t xml:space="preserve">Firefighters’ Pension Scheme </w:t>
      </w:r>
      <w:r w:rsidRPr="00B07BD5">
        <w:rPr>
          <w:rFonts w:ascii="Arial" w:hAnsi="Arial" w:cs="Arial"/>
          <w:color w:val="000000"/>
          <w:sz w:val="24"/>
          <w:szCs w:val="24"/>
        </w:rPr>
        <w:t xml:space="preserve">is to pay the </w:t>
      </w:r>
      <w:r w:rsidRPr="00B07BD5">
        <w:rPr>
          <w:rFonts w:ascii="Arial" w:hAnsi="Arial" w:cs="Arial"/>
          <w:bCs/>
          <w:color w:val="000000"/>
          <w:sz w:val="24"/>
          <w:szCs w:val="24"/>
        </w:rPr>
        <w:t>correct pension benefits to its members</w:t>
      </w:r>
      <w:r>
        <w:rPr>
          <w:rFonts w:ascii="Arial" w:hAnsi="Arial" w:cs="Arial"/>
          <w:bCs/>
          <w:color w:val="000000"/>
          <w:sz w:val="24"/>
          <w:szCs w:val="24"/>
        </w:rPr>
        <w:t xml:space="preserve"> </w:t>
      </w:r>
      <w:r w:rsidRPr="00B07BD5">
        <w:rPr>
          <w:rFonts w:ascii="Arial" w:hAnsi="Arial" w:cs="Arial"/>
          <w:bCs/>
          <w:color w:val="000000"/>
          <w:sz w:val="24"/>
          <w:szCs w:val="24"/>
        </w:rPr>
        <w:t xml:space="preserve">when they become due. </w:t>
      </w:r>
      <w:r w:rsidRPr="00B07BD5">
        <w:rPr>
          <w:rFonts w:ascii="Arial" w:hAnsi="Arial" w:cs="Arial"/>
          <w:color w:val="000000"/>
          <w:sz w:val="24"/>
          <w:szCs w:val="24"/>
        </w:rPr>
        <w:t xml:space="preserve">It is therefore imperative that the </w:t>
      </w:r>
      <w:r>
        <w:rPr>
          <w:rFonts w:ascii="Arial" w:hAnsi="Arial" w:cs="Arial"/>
          <w:color w:val="000000"/>
          <w:sz w:val="24"/>
          <w:szCs w:val="24"/>
        </w:rPr>
        <w:t>scheme manager</w:t>
      </w:r>
      <w:r w:rsidRPr="00B07BD5">
        <w:rPr>
          <w:rFonts w:ascii="Arial" w:hAnsi="Arial" w:cs="Arial"/>
          <w:color w:val="000000"/>
          <w:sz w:val="24"/>
          <w:szCs w:val="24"/>
        </w:rPr>
        <w:t xml:space="preserve"> achieves and maintains the highest possible data quality standards, to comply with its core functions and to ensure the cost effective use of resources.</w:t>
      </w:r>
    </w:p>
    <w:p w14:paraId="730E2F84" w14:textId="77777777" w:rsidR="00E56E1E" w:rsidRPr="00B07BD5" w:rsidRDefault="00E56E1E" w:rsidP="00E56E1E">
      <w:pPr>
        <w:autoSpaceDE w:val="0"/>
        <w:autoSpaceDN w:val="0"/>
        <w:adjustRightInd w:val="0"/>
        <w:spacing w:after="0" w:line="240" w:lineRule="auto"/>
        <w:ind w:left="567" w:hanging="567"/>
        <w:rPr>
          <w:rFonts w:ascii="Arial" w:hAnsi="Arial" w:cs="Arial"/>
          <w:color w:val="000000"/>
          <w:sz w:val="24"/>
          <w:szCs w:val="24"/>
        </w:rPr>
      </w:pPr>
    </w:p>
    <w:p w14:paraId="0241C235" w14:textId="77777777" w:rsidR="00E56E1E" w:rsidRPr="00CB1801" w:rsidRDefault="00E56E1E" w:rsidP="00E56E1E">
      <w:pPr>
        <w:autoSpaceDE w:val="0"/>
        <w:autoSpaceDN w:val="0"/>
        <w:adjustRightInd w:val="0"/>
        <w:spacing w:after="0" w:line="240" w:lineRule="auto"/>
        <w:ind w:left="567" w:hanging="567"/>
        <w:rPr>
          <w:rFonts w:ascii="Arial" w:hAnsi="Arial" w:cs="Arial"/>
          <w:sz w:val="24"/>
          <w:szCs w:val="24"/>
        </w:rPr>
      </w:pPr>
      <w:r w:rsidRPr="00CB1801">
        <w:rPr>
          <w:rFonts w:ascii="Arial" w:hAnsi="Arial" w:cs="Arial"/>
          <w:color w:val="000000"/>
          <w:sz w:val="24"/>
          <w:szCs w:val="24"/>
        </w:rPr>
        <w:t>1.4</w:t>
      </w:r>
      <w:r w:rsidRPr="00CB1801">
        <w:rPr>
          <w:rFonts w:ascii="Arial" w:hAnsi="Arial" w:cs="Arial"/>
          <w:color w:val="000000"/>
          <w:sz w:val="24"/>
          <w:szCs w:val="24"/>
        </w:rPr>
        <w:tab/>
      </w:r>
      <w:r w:rsidRPr="00CB1801">
        <w:rPr>
          <w:rFonts w:ascii="Arial" w:hAnsi="Arial" w:cs="Arial"/>
          <w:sz w:val="24"/>
          <w:szCs w:val="24"/>
        </w:rPr>
        <w:t xml:space="preserve">The legal requirements relating to scheme record keeping are set out in the Public Service Pensions (Record Keeping and Miscellaneous Amendments) Regulations 2014. </w:t>
      </w:r>
    </w:p>
    <w:p w14:paraId="2FC42A6B" w14:textId="77777777" w:rsidR="00E56E1E" w:rsidRDefault="00E56E1E" w:rsidP="00E56E1E">
      <w:pPr>
        <w:autoSpaceDE w:val="0"/>
        <w:autoSpaceDN w:val="0"/>
        <w:adjustRightInd w:val="0"/>
        <w:spacing w:after="0" w:line="240" w:lineRule="auto"/>
        <w:ind w:left="567" w:hanging="567"/>
        <w:rPr>
          <w:rFonts w:ascii="Arial" w:hAnsi="Arial" w:cs="Arial"/>
          <w:color w:val="000000"/>
          <w:sz w:val="24"/>
          <w:szCs w:val="24"/>
        </w:rPr>
      </w:pPr>
    </w:p>
    <w:p w14:paraId="139C2970" w14:textId="77777777" w:rsidR="00E56E1E" w:rsidRPr="00B07BD5" w:rsidRDefault="00E56E1E" w:rsidP="00E56E1E">
      <w:pPr>
        <w:autoSpaceDE w:val="0"/>
        <w:autoSpaceDN w:val="0"/>
        <w:adjustRightInd w:val="0"/>
        <w:spacing w:after="0" w:line="240" w:lineRule="auto"/>
        <w:ind w:left="567" w:hanging="567"/>
        <w:rPr>
          <w:rFonts w:ascii="Arial" w:hAnsi="Arial" w:cs="Arial"/>
          <w:color w:val="000000"/>
          <w:sz w:val="24"/>
          <w:szCs w:val="24"/>
        </w:rPr>
      </w:pPr>
      <w:r>
        <w:rPr>
          <w:rFonts w:ascii="Arial" w:hAnsi="Arial" w:cs="Arial"/>
          <w:color w:val="000000"/>
          <w:sz w:val="24"/>
          <w:szCs w:val="24"/>
        </w:rPr>
        <w:t>1.5</w:t>
      </w:r>
      <w:r>
        <w:rPr>
          <w:rFonts w:ascii="Arial" w:hAnsi="Arial" w:cs="Arial"/>
          <w:color w:val="000000"/>
          <w:sz w:val="24"/>
          <w:szCs w:val="24"/>
        </w:rPr>
        <w:tab/>
      </w:r>
      <w:r w:rsidRPr="00B07BD5">
        <w:rPr>
          <w:rFonts w:ascii="Arial" w:hAnsi="Arial" w:cs="Arial"/>
          <w:color w:val="000000"/>
          <w:sz w:val="24"/>
          <w:szCs w:val="24"/>
        </w:rPr>
        <w:t xml:space="preserve">The </w:t>
      </w:r>
      <w:r>
        <w:rPr>
          <w:rFonts w:ascii="Arial" w:hAnsi="Arial" w:cs="Arial"/>
          <w:color w:val="000000"/>
          <w:sz w:val="24"/>
          <w:szCs w:val="24"/>
        </w:rPr>
        <w:t xml:space="preserve">Firefighters’ Pension Scheme </w:t>
      </w:r>
      <w:r w:rsidRPr="00B07BD5">
        <w:rPr>
          <w:rFonts w:ascii="Arial" w:hAnsi="Arial" w:cs="Arial"/>
          <w:color w:val="000000"/>
          <w:sz w:val="24"/>
          <w:szCs w:val="24"/>
        </w:rPr>
        <w:t>continues to face ongoing legislative change with oversight of administration and governance now falling under the remit of the Pension Regulator, with a heightened responsibility on scheme managers and local pension boards to ensure data is readily available and fit for purpose at all times.</w:t>
      </w:r>
    </w:p>
    <w:p w14:paraId="68EE5AA4" w14:textId="77777777" w:rsidR="00E56E1E" w:rsidRPr="00B07BD5" w:rsidRDefault="00E56E1E" w:rsidP="00E56E1E">
      <w:pPr>
        <w:autoSpaceDE w:val="0"/>
        <w:autoSpaceDN w:val="0"/>
        <w:adjustRightInd w:val="0"/>
        <w:spacing w:after="0" w:line="240" w:lineRule="auto"/>
        <w:ind w:left="567" w:hanging="567"/>
        <w:rPr>
          <w:rFonts w:ascii="Arial" w:hAnsi="Arial" w:cs="Arial"/>
          <w:color w:val="000000"/>
          <w:sz w:val="24"/>
          <w:szCs w:val="24"/>
        </w:rPr>
      </w:pPr>
    </w:p>
    <w:p w14:paraId="1B18452F" w14:textId="77777777" w:rsidR="00E56E1E" w:rsidRDefault="00E56E1E" w:rsidP="00E56E1E">
      <w:pPr>
        <w:pStyle w:val="Default"/>
        <w:ind w:left="567" w:hanging="567"/>
      </w:pPr>
      <w:r>
        <w:t>1.6</w:t>
      </w:r>
      <w:r>
        <w:tab/>
        <w:t>The Pension Regulators (</w:t>
      </w:r>
      <w:proofErr w:type="spellStart"/>
      <w:r>
        <w:t>tPR</w:t>
      </w:r>
      <w:proofErr w:type="spellEnd"/>
      <w:r>
        <w:t>) guidance requires that schemes should:</w:t>
      </w:r>
    </w:p>
    <w:p w14:paraId="0D22DC5E" w14:textId="77777777" w:rsidR="00E56E1E" w:rsidRPr="00B07BD5" w:rsidRDefault="00E56E1E" w:rsidP="00E56E1E">
      <w:pPr>
        <w:pStyle w:val="Default"/>
        <w:numPr>
          <w:ilvl w:val="0"/>
          <w:numId w:val="13"/>
        </w:numPr>
        <w:spacing w:after="57"/>
        <w:ind w:left="1134" w:hanging="283"/>
      </w:pPr>
      <w:r w:rsidRPr="00B07BD5">
        <w:t xml:space="preserve">Continually review their data and carry out a data review exercise at least annually </w:t>
      </w:r>
    </w:p>
    <w:p w14:paraId="0D6CAFC8" w14:textId="77777777" w:rsidR="00E56E1E" w:rsidRPr="00B07BD5" w:rsidRDefault="00E56E1E" w:rsidP="00E56E1E">
      <w:pPr>
        <w:pStyle w:val="Default"/>
        <w:numPr>
          <w:ilvl w:val="0"/>
          <w:numId w:val="13"/>
        </w:numPr>
        <w:ind w:left="1134" w:hanging="283"/>
      </w:pPr>
      <w:r w:rsidRPr="00B07BD5">
        <w:t xml:space="preserve">Where a review of the scheme’s data identifies poor or missing data a data improvement plan should be put in place to address these issues </w:t>
      </w:r>
    </w:p>
    <w:p w14:paraId="1DA056E3" w14:textId="77777777" w:rsidR="00E56E1E" w:rsidRDefault="00E56E1E" w:rsidP="00E56E1E">
      <w:pPr>
        <w:pStyle w:val="Default"/>
        <w:ind w:left="567" w:hanging="567"/>
      </w:pPr>
    </w:p>
    <w:p w14:paraId="2B320407" w14:textId="77777777" w:rsidR="00E56E1E" w:rsidRDefault="00E56E1E" w:rsidP="00E56E1E">
      <w:pPr>
        <w:pStyle w:val="Default"/>
        <w:ind w:left="567" w:hanging="567"/>
      </w:pPr>
      <w:r>
        <w:t>1.7</w:t>
      </w:r>
      <w:r>
        <w:tab/>
        <w:t xml:space="preserve">The Firefighters’ Pensions England Scheme Advisory Board issued advice on complying with </w:t>
      </w:r>
      <w:proofErr w:type="spellStart"/>
      <w:r>
        <w:t>tPR</w:t>
      </w:r>
      <w:proofErr w:type="spellEnd"/>
      <w:r>
        <w:t xml:space="preserve"> data requirements in August 2018 and provided updated guidance including how to measure accuracy in October 2019 which can be found at </w:t>
      </w:r>
      <w:hyperlink r:id="rId8" w:history="1">
        <w:r w:rsidRPr="00BA2AB8">
          <w:rPr>
            <w:rStyle w:val="Hyperlink"/>
          </w:rPr>
          <w:t>http://www.fpsregs.org/index.php/adminitration-resources/guides-and-sample-docuements</w:t>
        </w:r>
      </w:hyperlink>
      <w:r>
        <w:t xml:space="preserve"> </w:t>
      </w:r>
    </w:p>
    <w:p w14:paraId="38D157E9" w14:textId="2771A9A1" w:rsidR="00E56E1E" w:rsidRDefault="00E56E1E" w:rsidP="00E56E1E">
      <w:pPr>
        <w:autoSpaceDE w:val="0"/>
        <w:autoSpaceDN w:val="0"/>
        <w:adjustRightInd w:val="0"/>
        <w:spacing w:after="0" w:line="240" w:lineRule="auto"/>
        <w:rPr>
          <w:rFonts w:ascii="Calibri" w:hAnsi="Calibri" w:cs="Calibri"/>
          <w:color w:val="000000"/>
          <w:sz w:val="24"/>
          <w:szCs w:val="24"/>
        </w:rPr>
      </w:pPr>
    </w:p>
    <w:p w14:paraId="4E856073" w14:textId="6DD2093F" w:rsidR="000E651F" w:rsidRDefault="000E651F" w:rsidP="00E56E1E">
      <w:pPr>
        <w:autoSpaceDE w:val="0"/>
        <w:autoSpaceDN w:val="0"/>
        <w:adjustRightInd w:val="0"/>
        <w:spacing w:after="0" w:line="240" w:lineRule="auto"/>
        <w:rPr>
          <w:rFonts w:ascii="Calibri" w:hAnsi="Calibri" w:cs="Calibri"/>
          <w:color w:val="000000"/>
          <w:sz w:val="24"/>
          <w:szCs w:val="24"/>
        </w:rPr>
      </w:pPr>
    </w:p>
    <w:p w14:paraId="2DB99E30" w14:textId="77777777" w:rsidR="000E651F" w:rsidRDefault="000E651F" w:rsidP="00E56E1E">
      <w:pPr>
        <w:autoSpaceDE w:val="0"/>
        <w:autoSpaceDN w:val="0"/>
        <w:adjustRightInd w:val="0"/>
        <w:spacing w:after="0" w:line="240" w:lineRule="auto"/>
        <w:rPr>
          <w:rFonts w:ascii="Calibri" w:hAnsi="Calibri" w:cs="Calibri"/>
          <w:color w:val="000000"/>
          <w:sz w:val="24"/>
          <w:szCs w:val="24"/>
        </w:rPr>
      </w:pPr>
    </w:p>
    <w:p w14:paraId="5226578A" w14:textId="77777777" w:rsidR="00E56E1E" w:rsidRDefault="00E56E1E" w:rsidP="00E56E1E">
      <w:pPr>
        <w:pStyle w:val="Default"/>
        <w:numPr>
          <w:ilvl w:val="0"/>
          <w:numId w:val="7"/>
        </w:numPr>
        <w:ind w:left="567" w:hanging="567"/>
        <w:rPr>
          <w:b/>
          <w:bCs/>
        </w:rPr>
      </w:pPr>
      <w:r>
        <w:rPr>
          <w:b/>
          <w:bCs/>
        </w:rPr>
        <w:lastRenderedPageBreak/>
        <w:t>T</w:t>
      </w:r>
      <w:r w:rsidRPr="00F1522D">
        <w:rPr>
          <w:b/>
          <w:bCs/>
        </w:rPr>
        <w:t xml:space="preserve">he Pensions Regulator Annual </w:t>
      </w:r>
      <w:r>
        <w:rPr>
          <w:b/>
          <w:bCs/>
        </w:rPr>
        <w:t>S</w:t>
      </w:r>
      <w:r w:rsidRPr="00F1522D">
        <w:rPr>
          <w:b/>
          <w:bCs/>
        </w:rPr>
        <w:t xml:space="preserve">cheme return </w:t>
      </w:r>
    </w:p>
    <w:p w14:paraId="23F9376E" w14:textId="77777777" w:rsidR="00E56E1E" w:rsidRPr="00F1522D" w:rsidRDefault="00E56E1E" w:rsidP="00E56E1E">
      <w:pPr>
        <w:pStyle w:val="Default"/>
        <w:ind w:left="720"/>
      </w:pPr>
    </w:p>
    <w:p w14:paraId="2AD038D3" w14:textId="77777777" w:rsidR="00E56E1E" w:rsidRDefault="00E56E1E" w:rsidP="00E56E1E">
      <w:pPr>
        <w:pStyle w:val="Default"/>
        <w:ind w:left="567" w:hanging="567"/>
      </w:pPr>
      <w:r>
        <w:t>2</w:t>
      </w:r>
      <w:r w:rsidRPr="00F1522D">
        <w:t xml:space="preserve">.1 </w:t>
      </w:r>
      <w:r>
        <w:tab/>
        <w:t>Annually</w:t>
      </w:r>
      <w:r w:rsidRPr="00F1522D">
        <w:t xml:space="preserve"> the Pensions Regulator issue</w:t>
      </w:r>
      <w:r>
        <w:t>s</w:t>
      </w:r>
      <w:r w:rsidRPr="00F1522D">
        <w:t xml:space="preserve"> a</w:t>
      </w:r>
      <w:r>
        <w:t xml:space="preserve"> scheme</w:t>
      </w:r>
      <w:r w:rsidRPr="00F1522D">
        <w:t xml:space="preserve"> return which </w:t>
      </w:r>
      <w:r>
        <w:t xml:space="preserve">should be </w:t>
      </w:r>
      <w:r w:rsidRPr="00F1522D">
        <w:t>completed and returned</w:t>
      </w:r>
      <w:r>
        <w:t xml:space="preserve">. </w:t>
      </w:r>
      <w:r w:rsidRPr="00F1522D">
        <w:t xml:space="preserve">From 2018 </w:t>
      </w:r>
      <w:r>
        <w:t xml:space="preserve">each Pension Fund is required </w:t>
      </w:r>
      <w:r w:rsidRPr="00F1522D">
        <w:t xml:space="preserve">to include a Data Quality </w:t>
      </w:r>
      <w:r>
        <w:t>S</w:t>
      </w:r>
      <w:r w:rsidRPr="00F1522D">
        <w:t>core</w:t>
      </w:r>
      <w:r>
        <w:t xml:space="preserve"> which has two types of data</w:t>
      </w:r>
      <w:r w:rsidRPr="00F1522D">
        <w:t xml:space="preserve">: </w:t>
      </w:r>
    </w:p>
    <w:p w14:paraId="1120C388" w14:textId="77777777" w:rsidR="00E56E1E" w:rsidRPr="00F1522D" w:rsidRDefault="00E56E1E" w:rsidP="00E56E1E">
      <w:pPr>
        <w:pStyle w:val="Default"/>
        <w:ind w:left="870"/>
      </w:pPr>
    </w:p>
    <w:p w14:paraId="30F9F9D2" w14:textId="77777777" w:rsidR="00E56E1E" w:rsidRDefault="00E56E1E" w:rsidP="00E56E1E">
      <w:pPr>
        <w:pStyle w:val="Default"/>
        <w:numPr>
          <w:ilvl w:val="0"/>
          <w:numId w:val="14"/>
        </w:numPr>
        <w:ind w:left="1134" w:hanging="283"/>
      </w:pPr>
      <w:r w:rsidRPr="00F1522D">
        <w:rPr>
          <w:b/>
          <w:bCs/>
        </w:rPr>
        <w:t xml:space="preserve">Common data </w:t>
      </w:r>
      <w:r w:rsidRPr="00F1522D">
        <w:t xml:space="preserve">– used to identify scheme members and includes name, address, national insurance number and date of birth. </w:t>
      </w:r>
    </w:p>
    <w:p w14:paraId="00F1B6B9" w14:textId="77777777" w:rsidR="00E56E1E" w:rsidRDefault="00E56E1E" w:rsidP="00E56E1E">
      <w:pPr>
        <w:pStyle w:val="Default"/>
        <w:ind w:left="1134"/>
      </w:pPr>
    </w:p>
    <w:p w14:paraId="53FB8AFB" w14:textId="77777777" w:rsidR="00E56E1E" w:rsidRDefault="00E56E1E" w:rsidP="00E56E1E">
      <w:pPr>
        <w:pStyle w:val="Default"/>
        <w:numPr>
          <w:ilvl w:val="0"/>
          <w:numId w:val="14"/>
        </w:numPr>
        <w:ind w:left="1134" w:hanging="283"/>
      </w:pPr>
      <w:r w:rsidRPr="00F1522D">
        <w:rPr>
          <w:b/>
          <w:bCs/>
        </w:rPr>
        <w:t xml:space="preserve">Scheme-specific data </w:t>
      </w:r>
      <w:r w:rsidRPr="00F1522D">
        <w:t>– essential to calculate benefit entitlement such as pensionable pay and service history. It also encompasses data relating to events that occur during an individual’s membership, for example transfers</w:t>
      </w:r>
      <w:r>
        <w:t xml:space="preserve"> etc.</w:t>
      </w:r>
    </w:p>
    <w:p w14:paraId="740FACBA" w14:textId="77777777" w:rsidR="00E56E1E" w:rsidRPr="00F1522D" w:rsidRDefault="00E56E1E" w:rsidP="00E56E1E">
      <w:pPr>
        <w:pStyle w:val="Default"/>
        <w:ind w:left="1134"/>
      </w:pPr>
    </w:p>
    <w:p w14:paraId="1862564E" w14:textId="77777777" w:rsidR="00E56E1E" w:rsidRDefault="00E56E1E" w:rsidP="00E56E1E">
      <w:pPr>
        <w:pStyle w:val="ListParagraph"/>
        <w:numPr>
          <w:ilvl w:val="1"/>
          <w:numId w:val="7"/>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tPR</w:t>
      </w:r>
      <w:proofErr w:type="spellEnd"/>
      <w:r w:rsidRPr="00DB43BD">
        <w:rPr>
          <w:rFonts w:ascii="Arial" w:hAnsi="Arial" w:cs="Arial"/>
          <w:sz w:val="24"/>
          <w:szCs w:val="24"/>
        </w:rPr>
        <w:t xml:space="preserve"> has issued a quick guide on measuring scheme data which states that one piece of missing data, such as a current address on a deferred member’s record should be reported to them as a failed record.</w:t>
      </w:r>
    </w:p>
    <w:p w14:paraId="0F95B632" w14:textId="77777777" w:rsidR="00E56E1E" w:rsidRPr="00F1522D" w:rsidRDefault="00E56E1E" w:rsidP="00E56E1E">
      <w:pPr>
        <w:autoSpaceDE w:val="0"/>
        <w:autoSpaceDN w:val="0"/>
        <w:adjustRightInd w:val="0"/>
        <w:spacing w:after="0" w:line="240" w:lineRule="auto"/>
        <w:ind w:left="426" w:hanging="426"/>
        <w:rPr>
          <w:rFonts w:ascii="Arial" w:hAnsi="Arial" w:cs="Arial"/>
          <w:color w:val="000000"/>
          <w:sz w:val="24"/>
          <w:szCs w:val="24"/>
        </w:rPr>
      </w:pPr>
    </w:p>
    <w:p w14:paraId="7D7B570E" w14:textId="77777777" w:rsidR="00E56E1E" w:rsidRPr="00F1522D" w:rsidRDefault="00E56E1E" w:rsidP="00E56E1E">
      <w:pPr>
        <w:pStyle w:val="ListParagraph"/>
        <w:numPr>
          <w:ilvl w:val="0"/>
          <w:numId w:val="7"/>
        </w:numPr>
        <w:autoSpaceDE w:val="0"/>
        <w:autoSpaceDN w:val="0"/>
        <w:adjustRightInd w:val="0"/>
        <w:spacing w:after="0" w:line="240" w:lineRule="auto"/>
        <w:ind w:left="284" w:hanging="284"/>
        <w:rPr>
          <w:rFonts w:ascii="Arial" w:hAnsi="Arial" w:cs="Arial"/>
          <w:b/>
          <w:bCs/>
          <w:sz w:val="24"/>
          <w:szCs w:val="24"/>
        </w:rPr>
      </w:pPr>
      <w:r w:rsidRPr="00F1522D">
        <w:rPr>
          <w:rFonts w:ascii="Arial" w:hAnsi="Arial" w:cs="Arial"/>
          <w:b/>
          <w:bCs/>
          <w:sz w:val="24"/>
          <w:szCs w:val="24"/>
        </w:rPr>
        <w:t xml:space="preserve">Key Objectives </w:t>
      </w:r>
      <w:r>
        <w:rPr>
          <w:rFonts w:ascii="Arial" w:hAnsi="Arial" w:cs="Arial"/>
          <w:b/>
          <w:bCs/>
          <w:sz w:val="24"/>
          <w:szCs w:val="24"/>
        </w:rPr>
        <w:t xml:space="preserve"> </w:t>
      </w:r>
    </w:p>
    <w:p w14:paraId="7FC7AB71" w14:textId="77777777" w:rsidR="00E56E1E" w:rsidRPr="005D3101" w:rsidRDefault="00E56E1E" w:rsidP="00E56E1E">
      <w:pPr>
        <w:pStyle w:val="ListParagraph"/>
        <w:autoSpaceDE w:val="0"/>
        <w:autoSpaceDN w:val="0"/>
        <w:adjustRightInd w:val="0"/>
        <w:spacing w:after="0" w:line="240" w:lineRule="auto"/>
        <w:rPr>
          <w:rFonts w:cs="Calibri-Bold"/>
          <w:b/>
          <w:bCs/>
          <w:sz w:val="24"/>
          <w:szCs w:val="24"/>
        </w:rPr>
      </w:pPr>
    </w:p>
    <w:p w14:paraId="2A091BE4" w14:textId="77777777" w:rsidR="00E56E1E" w:rsidRDefault="00E56E1E" w:rsidP="00E56E1E">
      <w:pPr>
        <w:autoSpaceDE w:val="0"/>
        <w:autoSpaceDN w:val="0"/>
        <w:adjustRightInd w:val="0"/>
        <w:spacing w:after="0" w:line="240" w:lineRule="auto"/>
        <w:ind w:firstLine="567"/>
        <w:rPr>
          <w:rFonts w:ascii="Arial" w:hAnsi="Arial" w:cs="Arial"/>
          <w:color w:val="000000"/>
          <w:sz w:val="24"/>
          <w:szCs w:val="24"/>
        </w:rPr>
      </w:pPr>
      <w:r w:rsidRPr="007B0891">
        <w:rPr>
          <w:rFonts w:ascii="Arial" w:hAnsi="Arial" w:cs="Arial"/>
          <w:color w:val="000000"/>
          <w:sz w:val="24"/>
          <w:szCs w:val="24"/>
        </w:rPr>
        <w:t xml:space="preserve">The key </w:t>
      </w:r>
      <w:r>
        <w:rPr>
          <w:rFonts w:ascii="Arial" w:hAnsi="Arial" w:cs="Arial"/>
          <w:color w:val="000000"/>
          <w:sz w:val="24"/>
          <w:szCs w:val="24"/>
        </w:rPr>
        <w:t>objectives of this plan are to:</w:t>
      </w:r>
    </w:p>
    <w:p w14:paraId="3A7FCDD3" w14:textId="77777777" w:rsidR="00E56E1E" w:rsidRDefault="00E56E1E" w:rsidP="00E56E1E">
      <w:pPr>
        <w:autoSpaceDE w:val="0"/>
        <w:autoSpaceDN w:val="0"/>
        <w:adjustRightInd w:val="0"/>
        <w:spacing w:after="0" w:line="240" w:lineRule="auto"/>
        <w:rPr>
          <w:rFonts w:ascii="Arial" w:hAnsi="Arial" w:cs="Arial"/>
          <w:color w:val="000000"/>
          <w:sz w:val="24"/>
          <w:szCs w:val="24"/>
        </w:rPr>
      </w:pPr>
    </w:p>
    <w:p w14:paraId="5407E2E1" w14:textId="77777777" w:rsidR="00E56E1E" w:rsidRPr="00AE5542" w:rsidRDefault="00E56E1E" w:rsidP="00E56E1E">
      <w:pPr>
        <w:pStyle w:val="ListParagraph"/>
        <w:numPr>
          <w:ilvl w:val="0"/>
          <w:numId w:val="17"/>
        </w:numPr>
        <w:autoSpaceDE w:val="0"/>
        <w:autoSpaceDN w:val="0"/>
        <w:adjustRightInd w:val="0"/>
        <w:spacing w:after="0" w:line="240" w:lineRule="auto"/>
        <w:ind w:left="1135" w:hanging="284"/>
        <w:rPr>
          <w:rFonts w:ascii="Arial" w:hAnsi="Arial" w:cs="Arial"/>
          <w:sz w:val="24"/>
          <w:szCs w:val="24"/>
        </w:rPr>
      </w:pPr>
      <w:r>
        <w:rPr>
          <w:rFonts w:ascii="Arial" w:hAnsi="Arial" w:cs="Arial"/>
          <w:sz w:val="24"/>
          <w:szCs w:val="24"/>
        </w:rPr>
        <w:t>E</w:t>
      </w:r>
      <w:r w:rsidRPr="00AE5542">
        <w:rPr>
          <w:rFonts w:ascii="Arial" w:hAnsi="Arial" w:cs="Arial"/>
          <w:sz w:val="24"/>
          <w:szCs w:val="24"/>
        </w:rPr>
        <w:t>nsure member records are maintained as accurately as possible to ensure benefits are paid correctly on time, members receive a high standard of service and the fund is able to meet legal obligations.</w:t>
      </w:r>
    </w:p>
    <w:p w14:paraId="4D97B9AA" w14:textId="77777777" w:rsidR="00E56E1E" w:rsidRDefault="00E56E1E" w:rsidP="00E56E1E">
      <w:pPr>
        <w:pStyle w:val="ListParagraph"/>
        <w:spacing w:after="0" w:line="240" w:lineRule="auto"/>
        <w:ind w:left="1135" w:hanging="284"/>
        <w:rPr>
          <w:rFonts w:ascii="Arial" w:hAnsi="Arial" w:cs="Arial"/>
          <w:sz w:val="24"/>
          <w:szCs w:val="24"/>
        </w:rPr>
      </w:pPr>
    </w:p>
    <w:p w14:paraId="50BA8620" w14:textId="77777777" w:rsidR="00E56E1E" w:rsidRDefault="00E56E1E" w:rsidP="00E56E1E">
      <w:pPr>
        <w:pStyle w:val="ListParagraph"/>
        <w:numPr>
          <w:ilvl w:val="0"/>
          <w:numId w:val="1"/>
        </w:numPr>
        <w:spacing w:after="0" w:line="240" w:lineRule="auto"/>
        <w:ind w:left="1135" w:hanging="284"/>
        <w:rPr>
          <w:rFonts w:ascii="Arial" w:hAnsi="Arial" w:cs="Arial"/>
          <w:sz w:val="24"/>
          <w:szCs w:val="24"/>
        </w:rPr>
      </w:pPr>
      <w:r>
        <w:rPr>
          <w:rFonts w:ascii="Arial" w:hAnsi="Arial" w:cs="Arial"/>
          <w:sz w:val="24"/>
          <w:szCs w:val="24"/>
        </w:rPr>
        <w:t>Ensure administration costs are reliable/correct.</w:t>
      </w:r>
    </w:p>
    <w:p w14:paraId="1EB84B86" w14:textId="77777777" w:rsidR="00E56E1E" w:rsidRDefault="00E56E1E" w:rsidP="00E56E1E">
      <w:pPr>
        <w:pStyle w:val="ListParagraph"/>
        <w:spacing w:after="0" w:line="240" w:lineRule="auto"/>
        <w:ind w:left="1135" w:hanging="284"/>
        <w:rPr>
          <w:rFonts w:ascii="Arial" w:hAnsi="Arial" w:cs="Arial"/>
          <w:sz w:val="24"/>
          <w:szCs w:val="24"/>
        </w:rPr>
      </w:pPr>
    </w:p>
    <w:p w14:paraId="1F361B9D" w14:textId="77777777" w:rsidR="00E56E1E" w:rsidRPr="007B0891" w:rsidRDefault="00E56E1E" w:rsidP="00E56E1E">
      <w:pPr>
        <w:pStyle w:val="ListParagraph"/>
        <w:numPr>
          <w:ilvl w:val="0"/>
          <w:numId w:val="1"/>
        </w:numPr>
        <w:spacing w:after="0" w:line="240" w:lineRule="auto"/>
        <w:ind w:left="1135" w:hanging="284"/>
        <w:rPr>
          <w:rFonts w:ascii="Arial" w:hAnsi="Arial" w:cs="Arial"/>
          <w:sz w:val="24"/>
          <w:szCs w:val="24"/>
        </w:rPr>
      </w:pPr>
      <w:r>
        <w:rPr>
          <w:rFonts w:ascii="Arial" w:hAnsi="Arial" w:cs="Arial"/>
          <w:sz w:val="24"/>
          <w:szCs w:val="24"/>
        </w:rPr>
        <w:t>Ensure</w:t>
      </w:r>
      <w:r w:rsidRPr="007B0891">
        <w:rPr>
          <w:rFonts w:ascii="Arial" w:hAnsi="Arial" w:cs="Arial"/>
          <w:sz w:val="24"/>
          <w:szCs w:val="24"/>
        </w:rPr>
        <w:t xml:space="preserve"> data supplied </w:t>
      </w:r>
      <w:r>
        <w:rPr>
          <w:rFonts w:ascii="Arial" w:hAnsi="Arial" w:cs="Arial"/>
          <w:sz w:val="24"/>
          <w:szCs w:val="24"/>
        </w:rPr>
        <w:t xml:space="preserve">for the scheme </w:t>
      </w:r>
      <w:r w:rsidRPr="007B0891">
        <w:rPr>
          <w:rFonts w:ascii="Arial" w:hAnsi="Arial" w:cs="Arial"/>
          <w:sz w:val="24"/>
          <w:szCs w:val="24"/>
        </w:rPr>
        <w:t>valuation is as accurate as possible</w:t>
      </w:r>
      <w:r>
        <w:rPr>
          <w:rFonts w:ascii="Arial" w:hAnsi="Arial" w:cs="Arial"/>
          <w:sz w:val="24"/>
          <w:szCs w:val="24"/>
        </w:rPr>
        <w:t>.</w:t>
      </w:r>
    </w:p>
    <w:p w14:paraId="79CE17E5" w14:textId="77777777" w:rsidR="00E56E1E" w:rsidRDefault="00E56E1E" w:rsidP="00E56E1E">
      <w:pPr>
        <w:pStyle w:val="ListParagraph"/>
        <w:spacing w:after="0" w:line="240" w:lineRule="auto"/>
        <w:ind w:left="1135" w:hanging="284"/>
        <w:rPr>
          <w:rFonts w:ascii="Arial" w:hAnsi="Arial" w:cs="Arial"/>
          <w:sz w:val="24"/>
          <w:szCs w:val="24"/>
        </w:rPr>
      </w:pPr>
    </w:p>
    <w:p w14:paraId="72779F6E" w14:textId="77777777" w:rsidR="00E56E1E" w:rsidRPr="007B0891" w:rsidRDefault="00E56E1E" w:rsidP="00E56E1E">
      <w:pPr>
        <w:pStyle w:val="ListParagraph"/>
        <w:numPr>
          <w:ilvl w:val="0"/>
          <w:numId w:val="1"/>
        </w:numPr>
        <w:spacing w:after="0" w:line="240" w:lineRule="auto"/>
        <w:ind w:left="1135" w:hanging="284"/>
        <w:rPr>
          <w:rFonts w:ascii="Arial" w:hAnsi="Arial" w:cs="Arial"/>
          <w:sz w:val="24"/>
          <w:szCs w:val="24"/>
        </w:rPr>
      </w:pPr>
      <w:r>
        <w:rPr>
          <w:rFonts w:ascii="Arial" w:hAnsi="Arial" w:cs="Arial"/>
          <w:sz w:val="24"/>
          <w:szCs w:val="24"/>
        </w:rPr>
        <w:t>WYPF as 3</w:t>
      </w:r>
      <w:r w:rsidRPr="00713A86">
        <w:rPr>
          <w:rFonts w:ascii="Arial" w:hAnsi="Arial" w:cs="Arial"/>
          <w:sz w:val="24"/>
          <w:szCs w:val="24"/>
          <w:vertAlign w:val="superscript"/>
        </w:rPr>
        <w:t>rd</w:t>
      </w:r>
      <w:r>
        <w:rPr>
          <w:rFonts w:ascii="Arial" w:hAnsi="Arial" w:cs="Arial"/>
          <w:sz w:val="24"/>
          <w:szCs w:val="24"/>
        </w:rPr>
        <w:t xml:space="preserve"> party administrators ensure the scheme manager complies with </w:t>
      </w:r>
      <w:proofErr w:type="spellStart"/>
      <w:r>
        <w:rPr>
          <w:rFonts w:ascii="Arial" w:hAnsi="Arial" w:cs="Arial"/>
          <w:sz w:val="24"/>
          <w:szCs w:val="24"/>
        </w:rPr>
        <w:t>tPR’s</w:t>
      </w:r>
      <w:proofErr w:type="spellEnd"/>
      <w:r>
        <w:rPr>
          <w:rFonts w:ascii="Arial" w:hAnsi="Arial" w:cs="Arial"/>
          <w:sz w:val="24"/>
          <w:szCs w:val="24"/>
        </w:rPr>
        <w:t xml:space="preserve"> </w:t>
      </w:r>
      <w:r w:rsidRPr="007B0891">
        <w:rPr>
          <w:rFonts w:ascii="Arial" w:hAnsi="Arial" w:cs="Arial"/>
          <w:sz w:val="24"/>
          <w:szCs w:val="24"/>
        </w:rPr>
        <w:t>Code of Practice.</w:t>
      </w:r>
    </w:p>
    <w:p w14:paraId="722C26E2" w14:textId="77777777" w:rsidR="00E56E1E" w:rsidRDefault="00E56E1E" w:rsidP="00E56E1E">
      <w:pPr>
        <w:pStyle w:val="ListParagraph"/>
        <w:spacing w:line="240" w:lineRule="auto"/>
        <w:rPr>
          <w:rFonts w:ascii="Arial" w:hAnsi="Arial" w:cs="Arial"/>
          <w:b/>
          <w:sz w:val="24"/>
          <w:szCs w:val="24"/>
        </w:rPr>
      </w:pPr>
    </w:p>
    <w:p w14:paraId="22DCA9E9" w14:textId="77777777" w:rsidR="00E56E1E" w:rsidRDefault="00E56E1E" w:rsidP="00E56E1E">
      <w:pPr>
        <w:pStyle w:val="ListParagraph"/>
        <w:numPr>
          <w:ilvl w:val="0"/>
          <w:numId w:val="7"/>
        </w:numPr>
        <w:spacing w:line="240" w:lineRule="auto"/>
        <w:ind w:left="284" w:hanging="284"/>
        <w:rPr>
          <w:rFonts w:ascii="Arial" w:hAnsi="Arial" w:cs="Arial"/>
          <w:b/>
          <w:sz w:val="24"/>
          <w:szCs w:val="24"/>
        </w:rPr>
      </w:pPr>
      <w:r w:rsidRPr="007B0891">
        <w:rPr>
          <w:rFonts w:ascii="Arial" w:hAnsi="Arial" w:cs="Arial"/>
          <w:b/>
          <w:sz w:val="24"/>
          <w:szCs w:val="24"/>
        </w:rPr>
        <w:t>Outcomes</w:t>
      </w:r>
    </w:p>
    <w:p w14:paraId="066F023A" w14:textId="77777777" w:rsidR="00E56E1E" w:rsidRPr="00AE5542" w:rsidRDefault="00E56E1E" w:rsidP="00E56E1E">
      <w:pPr>
        <w:spacing w:line="240" w:lineRule="auto"/>
        <w:ind w:left="567"/>
        <w:rPr>
          <w:rFonts w:ascii="Arial" w:hAnsi="Arial" w:cs="Arial"/>
          <w:sz w:val="24"/>
          <w:szCs w:val="24"/>
        </w:rPr>
      </w:pPr>
      <w:r w:rsidRPr="00AE5542">
        <w:rPr>
          <w:rFonts w:ascii="Arial" w:hAnsi="Arial" w:cs="Arial"/>
          <w:sz w:val="24"/>
          <w:szCs w:val="24"/>
        </w:rPr>
        <w:t>Outcomes of an improvemen</w:t>
      </w:r>
      <w:r>
        <w:rPr>
          <w:rFonts w:ascii="Arial" w:hAnsi="Arial" w:cs="Arial"/>
          <w:sz w:val="24"/>
          <w:szCs w:val="24"/>
        </w:rPr>
        <w:t>t in the data held by the administrator on behalf of the FRA are</w:t>
      </w:r>
      <w:r w:rsidRPr="00AE5542">
        <w:rPr>
          <w:rFonts w:ascii="Arial" w:hAnsi="Arial" w:cs="Arial"/>
          <w:sz w:val="24"/>
          <w:szCs w:val="24"/>
        </w:rPr>
        <w:t>:</w:t>
      </w:r>
    </w:p>
    <w:p w14:paraId="6BB50F7C" w14:textId="77777777" w:rsidR="00E56E1E" w:rsidRPr="001236BC" w:rsidRDefault="00E56E1E" w:rsidP="00E56E1E">
      <w:pPr>
        <w:pStyle w:val="ListParagraph"/>
        <w:numPr>
          <w:ilvl w:val="0"/>
          <w:numId w:val="18"/>
        </w:numPr>
        <w:spacing w:line="240" w:lineRule="auto"/>
        <w:ind w:left="1134" w:hanging="284"/>
        <w:rPr>
          <w:rFonts w:ascii="Arial" w:hAnsi="Arial" w:cs="Arial"/>
          <w:sz w:val="24"/>
          <w:szCs w:val="24"/>
        </w:rPr>
      </w:pPr>
      <w:r>
        <w:rPr>
          <w:rFonts w:ascii="Arial" w:hAnsi="Arial" w:cs="Arial"/>
          <w:sz w:val="24"/>
          <w:szCs w:val="24"/>
        </w:rPr>
        <w:t xml:space="preserve">Improvement of </w:t>
      </w:r>
      <w:proofErr w:type="spellStart"/>
      <w:r>
        <w:rPr>
          <w:rFonts w:ascii="Arial" w:hAnsi="Arial" w:cs="Arial"/>
          <w:sz w:val="24"/>
          <w:szCs w:val="24"/>
        </w:rPr>
        <w:t>t</w:t>
      </w:r>
      <w:r w:rsidRPr="001236BC">
        <w:rPr>
          <w:rFonts w:ascii="Arial" w:hAnsi="Arial" w:cs="Arial"/>
          <w:sz w:val="24"/>
          <w:szCs w:val="24"/>
        </w:rPr>
        <w:t>PR</w:t>
      </w:r>
      <w:proofErr w:type="spellEnd"/>
      <w:r w:rsidRPr="001236BC">
        <w:rPr>
          <w:rFonts w:ascii="Arial" w:hAnsi="Arial" w:cs="Arial"/>
          <w:sz w:val="24"/>
          <w:szCs w:val="24"/>
        </w:rPr>
        <w:t xml:space="preserve"> data score for Common and </w:t>
      </w:r>
      <w:r>
        <w:rPr>
          <w:rFonts w:ascii="Arial" w:hAnsi="Arial" w:cs="Arial"/>
          <w:sz w:val="24"/>
          <w:szCs w:val="24"/>
        </w:rPr>
        <w:t xml:space="preserve">Scheme Specific (also known as </w:t>
      </w:r>
      <w:r w:rsidRPr="001236BC">
        <w:rPr>
          <w:rFonts w:ascii="Arial" w:hAnsi="Arial" w:cs="Arial"/>
          <w:sz w:val="24"/>
          <w:szCs w:val="24"/>
        </w:rPr>
        <w:t>conditional</w:t>
      </w:r>
      <w:r>
        <w:rPr>
          <w:rFonts w:ascii="Arial" w:hAnsi="Arial" w:cs="Arial"/>
          <w:sz w:val="24"/>
          <w:szCs w:val="24"/>
        </w:rPr>
        <w:t>)</w:t>
      </w:r>
      <w:r w:rsidRPr="001236BC">
        <w:rPr>
          <w:rFonts w:ascii="Arial" w:hAnsi="Arial" w:cs="Arial"/>
          <w:sz w:val="24"/>
          <w:szCs w:val="24"/>
        </w:rPr>
        <w:t xml:space="preserve"> data</w:t>
      </w:r>
    </w:p>
    <w:p w14:paraId="1C1FEC87" w14:textId="77777777" w:rsidR="00E56E1E" w:rsidRPr="001236BC" w:rsidRDefault="00E56E1E" w:rsidP="00E56E1E">
      <w:pPr>
        <w:pStyle w:val="ListParagraph"/>
        <w:spacing w:line="240" w:lineRule="auto"/>
        <w:ind w:left="1134" w:hanging="284"/>
        <w:rPr>
          <w:rFonts w:ascii="Arial" w:hAnsi="Arial" w:cs="Arial"/>
          <w:sz w:val="24"/>
          <w:szCs w:val="24"/>
        </w:rPr>
      </w:pPr>
    </w:p>
    <w:p w14:paraId="0FC1C0DA" w14:textId="77777777" w:rsidR="00E56E1E" w:rsidRPr="001236BC" w:rsidRDefault="00E56E1E" w:rsidP="00E56E1E">
      <w:pPr>
        <w:pStyle w:val="ListParagraph"/>
        <w:numPr>
          <w:ilvl w:val="0"/>
          <w:numId w:val="18"/>
        </w:numPr>
        <w:spacing w:line="240" w:lineRule="auto"/>
        <w:ind w:left="1134" w:hanging="284"/>
        <w:rPr>
          <w:rFonts w:ascii="Arial" w:hAnsi="Arial" w:cs="Arial"/>
          <w:sz w:val="24"/>
          <w:szCs w:val="24"/>
        </w:rPr>
      </w:pPr>
      <w:r w:rsidRPr="001236BC">
        <w:rPr>
          <w:rFonts w:ascii="Arial" w:hAnsi="Arial" w:cs="Arial"/>
          <w:sz w:val="24"/>
          <w:szCs w:val="24"/>
        </w:rPr>
        <w:t xml:space="preserve">Increase in the number of beneficiaries able to receive </w:t>
      </w:r>
      <w:r>
        <w:rPr>
          <w:rFonts w:ascii="Arial" w:hAnsi="Arial" w:cs="Arial"/>
          <w:sz w:val="24"/>
          <w:szCs w:val="24"/>
        </w:rPr>
        <w:t>an Annual Benefit Statement (</w:t>
      </w:r>
      <w:r w:rsidRPr="001236BC">
        <w:rPr>
          <w:rFonts w:ascii="Arial" w:hAnsi="Arial" w:cs="Arial"/>
          <w:sz w:val="24"/>
          <w:szCs w:val="24"/>
        </w:rPr>
        <w:t>ABS</w:t>
      </w:r>
      <w:r>
        <w:rPr>
          <w:rFonts w:ascii="Arial" w:hAnsi="Arial" w:cs="Arial"/>
          <w:sz w:val="24"/>
          <w:szCs w:val="24"/>
        </w:rPr>
        <w:t xml:space="preserve">) or aware </w:t>
      </w:r>
      <w:r w:rsidRPr="001236BC">
        <w:rPr>
          <w:rFonts w:ascii="Arial" w:hAnsi="Arial" w:cs="Arial"/>
          <w:sz w:val="24"/>
          <w:szCs w:val="24"/>
        </w:rPr>
        <w:t xml:space="preserve">of </w:t>
      </w:r>
      <w:r>
        <w:rPr>
          <w:rFonts w:ascii="Arial" w:hAnsi="Arial" w:cs="Arial"/>
          <w:sz w:val="24"/>
          <w:szCs w:val="24"/>
        </w:rPr>
        <w:t xml:space="preserve">the </w:t>
      </w:r>
      <w:r w:rsidRPr="001236BC">
        <w:rPr>
          <w:rFonts w:ascii="Arial" w:hAnsi="Arial" w:cs="Arial"/>
          <w:sz w:val="24"/>
          <w:szCs w:val="24"/>
        </w:rPr>
        <w:t>value of benefits</w:t>
      </w:r>
      <w:r>
        <w:rPr>
          <w:rFonts w:ascii="Arial" w:hAnsi="Arial" w:cs="Arial"/>
          <w:sz w:val="24"/>
          <w:szCs w:val="24"/>
        </w:rPr>
        <w:t xml:space="preserve"> </w:t>
      </w:r>
      <w:r w:rsidRPr="001236BC">
        <w:rPr>
          <w:rFonts w:ascii="Arial" w:hAnsi="Arial" w:cs="Arial"/>
          <w:sz w:val="24"/>
          <w:szCs w:val="24"/>
        </w:rPr>
        <w:t>by 31 August.</w:t>
      </w:r>
    </w:p>
    <w:p w14:paraId="17101B74" w14:textId="77777777" w:rsidR="00E56E1E" w:rsidRPr="001236BC" w:rsidRDefault="00E56E1E" w:rsidP="00E56E1E">
      <w:pPr>
        <w:pStyle w:val="ListParagraph"/>
        <w:spacing w:line="240" w:lineRule="auto"/>
        <w:ind w:left="1134" w:hanging="284"/>
        <w:rPr>
          <w:rFonts w:ascii="Arial" w:hAnsi="Arial" w:cs="Arial"/>
          <w:sz w:val="24"/>
          <w:szCs w:val="24"/>
        </w:rPr>
      </w:pPr>
    </w:p>
    <w:p w14:paraId="5FF9E3B7" w14:textId="77777777" w:rsidR="00E56E1E" w:rsidRPr="001236BC" w:rsidRDefault="00E56E1E" w:rsidP="00E56E1E">
      <w:pPr>
        <w:pStyle w:val="ListParagraph"/>
        <w:numPr>
          <w:ilvl w:val="0"/>
          <w:numId w:val="18"/>
        </w:numPr>
        <w:spacing w:line="240" w:lineRule="auto"/>
        <w:ind w:left="1134" w:hanging="284"/>
        <w:rPr>
          <w:rFonts w:ascii="Arial" w:hAnsi="Arial" w:cs="Arial"/>
          <w:sz w:val="24"/>
          <w:szCs w:val="24"/>
        </w:rPr>
      </w:pPr>
      <w:r w:rsidRPr="001236BC">
        <w:rPr>
          <w:rFonts w:ascii="Arial" w:hAnsi="Arial" w:cs="Arial"/>
          <w:sz w:val="24"/>
          <w:szCs w:val="24"/>
        </w:rPr>
        <w:lastRenderedPageBreak/>
        <w:t>Reduction in the number of I</w:t>
      </w:r>
      <w:r>
        <w:rPr>
          <w:rFonts w:ascii="Arial" w:hAnsi="Arial" w:cs="Arial"/>
          <w:sz w:val="24"/>
          <w:szCs w:val="24"/>
        </w:rPr>
        <w:t>nternal Dispute Resolutions (I</w:t>
      </w:r>
      <w:r w:rsidRPr="001236BC">
        <w:rPr>
          <w:rFonts w:ascii="Arial" w:hAnsi="Arial" w:cs="Arial"/>
          <w:sz w:val="24"/>
          <w:szCs w:val="24"/>
        </w:rPr>
        <w:t>DRPs</w:t>
      </w:r>
      <w:r>
        <w:rPr>
          <w:rFonts w:ascii="Arial" w:hAnsi="Arial" w:cs="Arial"/>
          <w:sz w:val="24"/>
          <w:szCs w:val="24"/>
        </w:rPr>
        <w:t>)</w:t>
      </w:r>
      <w:r w:rsidRPr="001236BC">
        <w:rPr>
          <w:rFonts w:ascii="Arial" w:hAnsi="Arial" w:cs="Arial"/>
          <w:sz w:val="24"/>
          <w:szCs w:val="24"/>
        </w:rPr>
        <w:t xml:space="preserve"> received for incorrect calculation of benefits or delays in paying benefits</w:t>
      </w:r>
    </w:p>
    <w:p w14:paraId="10A1D4A0" w14:textId="77777777" w:rsidR="00E56E1E" w:rsidRPr="001236BC" w:rsidRDefault="00E56E1E" w:rsidP="00E56E1E">
      <w:pPr>
        <w:pStyle w:val="ListParagraph"/>
        <w:spacing w:line="240" w:lineRule="auto"/>
        <w:ind w:left="1134" w:hanging="284"/>
        <w:rPr>
          <w:rFonts w:ascii="Arial" w:hAnsi="Arial" w:cs="Arial"/>
          <w:sz w:val="24"/>
          <w:szCs w:val="24"/>
        </w:rPr>
      </w:pPr>
    </w:p>
    <w:p w14:paraId="2B66BC3E" w14:textId="77777777" w:rsidR="00E56E1E" w:rsidRDefault="00E56E1E" w:rsidP="00E56E1E">
      <w:pPr>
        <w:pStyle w:val="ListParagraph"/>
        <w:numPr>
          <w:ilvl w:val="0"/>
          <w:numId w:val="18"/>
        </w:numPr>
        <w:spacing w:after="0" w:line="240" w:lineRule="auto"/>
        <w:ind w:left="1134" w:hanging="284"/>
        <w:rPr>
          <w:rFonts w:ascii="Arial" w:hAnsi="Arial" w:cs="Arial"/>
          <w:sz w:val="24"/>
          <w:szCs w:val="24"/>
        </w:rPr>
      </w:pPr>
      <w:r w:rsidRPr="001236BC">
        <w:rPr>
          <w:rFonts w:ascii="Arial" w:hAnsi="Arial" w:cs="Arial"/>
          <w:sz w:val="24"/>
          <w:szCs w:val="24"/>
        </w:rPr>
        <w:t xml:space="preserve">Reduction in the number of queries received when </w:t>
      </w:r>
      <w:r>
        <w:rPr>
          <w:rFonts w:ascii="Arial" w:hAnsi="Arial" w:cs="Arial"/>
          <w:sz w:val="24"/>
          <w:szCs w:val="24"/>
        </w:rPr>
        <w:t>ABS are sent out</w:t>
      </w:r>
    </w:p>
    <w:p w14:paraId="1F506041" w14:textId="77777777" w:rsidR="00E56E1E" w:rsidRPr="00653356" w:rsidRDefault="00E56E1E" w:rsidP="00E56E1E">
      <w:pPr>
        <w:pStyle w:val="ListParagraph"/>
        <w:spacing w:after="0" w:line="240" w:lineRule="auto"/>
        <w:rPr>
          <w:rFonts w:ascii="Arial" w:hAnsi="Arial" w:cs="Arial"/>
          <w:sz w:val="24"/>
          <w:szCs w:val="24"/>
        </w:rPr>
      </w:pPr>
    </w:p>
    <w:p w14:paraId="69896D43" w14:textId="77777777" w:rsidR="00E56E1E" w:rsidRDefault="00E56E1E" w:rsidP="00E56E1E">
      <w:pPr>
        <w:pStyle w:val="Default"/>
        <w:numPr>
          <w:ilvl w:val="0"/>
          <w:numId w:val="18"/>
        </w:numPr>
        <w:ind w:left="1134" w:hanging="284"/>
      </w:pPr>
      <w:r w:rsidRPr="001236BC">
        <w:t>Reduc</w:t>
      </w:r>
      <w:r>
        <w:t xml:space="preserve">tion in </w:t>
      </w:r>
      <w:r w:rsidRPr="001236BC">
        <w:t>administration costs</w:t>
      </w:r>
    </w:p>
    <w:p w14:paraId="58318066" w14:textId="77777777" w:rsidR="00E56E1E" w:rsidRDefault="00E56E1E" w:rsidP="00E56E1E">
      <w:pPr>
        <w:pStyle w:val="ListParagraph"/>
        <w:spacing w:after="0" w:line="240" w:lineRule="auto"/>
      </w:pPr>
    </w:p>
    <w:p w14:paraId="7E17B9D1" w14:textId="77777777" w:rsidR="00E56E1E" w:rsidRDefault="00E56E1E" w:rsidP="00E56E1E">
      <w:pPr>
        <w:pStyle w:val="Default"/>
        <w:numPr>
          <w:ilvl w:val="0"/>
          <w:numId w:val="18"/>
        </w:numPr>
        <w:ind w:left="1134" w:hanging="284"/>
      </w:pPr>
      <w:r>
        <w:t xml:space="preserve">Reduces the likelihood of Government Actuary Department rejecting data for the scheme valuation </w:t>
      </w:r>
    </w:p>
    <w:p w14:paraId="6F409549" w14:textId="77777777" w:rsidR="00E56E1E" w:rsidRDefault="00E56E1E" w:rsidP="00E56E1E">
      <w:pPr>
        <w:pStyle w:val="ListParagraph"/>
        <w:spacing w:after="0" w:line="240" w:lineRule="auto"/>
      </w:pPr>
    </w:p>
    <w:p w14:paraId="1BAC1638" w14:textId="77777777" w:rsidR="00E56E1E" w:rsidRDefault="00E56E1E" w:rsidP="00E56E1E">
      <w:pPr>
        <w:pStyle w:val="Default"/>
        <w:numPr>
          <w:ilvl w:val="0"/>
          <w:numId w:val="18"/>
        </w:numPr>
        <w:ind w:left="1134" w:hanging="284"/>
      </w:pPr>
      <w:r>
        <w:t xml:space="preserve">Improves accuracy for the IAS19 valuations </w:t>
      </w:r>
    </w:p>
    <w:p w14:paraId="33DD3032" w14:textId="77777777" w:rsidR="00E56E1E" w:rsidRDefault="00E56E1E" w:rsidP="00E56E1E">
      <w:pPr>
        <w:pStyle w:val="ListParagraph"/>
        <w:spacing w:after="0" w:line="240" w:lineRule="auto"/>
      </w:pPr>
    </w:p>
    <w:p w14:paraId="478EBD70" w14:textId="77777777" w:rsidR="00E56E1E" w:rsidRDefault="00E56E1E" w:rsidP="00E56E1E">
      <w:pPr>
        <w:pStyle w:val="Default"/>
        <w:numPr>
          <w:ilvl w:val="0"/>
          <w:numId w:val="18"/>
        </w:numPr>
        <w:ind w:left="1135" w:hanging="284"/>
      </w:pPr>
      <w:r>
        <w:t>Reduces breaches recorded by Fire Authority (e.g. due to ABSs being issued late)</w:t>
      </w:r>
    </w:p>
    <w:p w14:paraId="4A065245" w14:textId="77777777" w:rsidR="00E56E1E" w:rsidRDefault="00E56E1E" w:rsidP="00E56E1E">
      <w:pPr>
        <w:pStyle w:val="ListParagraph"/>
      </w:pPr>
    </w:p>
    <w:p w14:paraId="6F8F0013" w14:textId="77777777" w:rsidR="00E56E1E" w:rsidRDefault="00E56E1E" w:rsidP="00E56E1E">
      <w:pPr>
        <w:pStyle w:val="Default"/>
        <w:ind w:left="1135"/>
      </w:pPr>
    </w:p>
    <w:p w14:paraId="5C02BF07" w14:textId="77777777" w:rsidR="00E56E1E" w:rsidRDefault="00E56E1E" w:rsidP="00E56E1E">
      <w:pPr>
        <w:pStyle w:val="Default"/>
      </w:pPr>
    </w:p>
    <w:p w14:paraId="70675F8F" w14:textId="77777777" w:rsidR="00E56E1E" w:rsidRPr="007B0891" w:rsidRDefault="00E56E1E" w:rsidP="00E56E1E">
      <w:pPr>
        <w:pStyle w:val="Default"/>
        <w:numPr>
          <w:ilvl w:val="0"/>
          <w:numId w:val="7"/>
        </w:numPr>
        <w:ind w:left="284" w:hanging="284"/>
        <w:rPr>
          <w:b/>
        </w:rPr>
      </w:pPr>
      <w:r>
        <w:rPr>
          <w:b/>
        </w:rPr>
        <w:t>A</w:t>
      </w:r>
      <w:r w:rsidRPr="007B0891">
        <w:rPr>
          <w:b/>
        </w:rPr>
        <w:t xml:space="preserve">dditional general responsibilities relating to the Data Improvement Policy </w:t>
      </w:r>
    </w:p>
    <w:p w14:paraId="48C9DFFE" w14:textId="77777777" w:rsidR="00E56E1E" w:rsidRDefault="00E56E1E" w:rsidP="00E56E1E">
      <w:pPr>
        <w:autoSpaceDE w:val="0"/>
        <w:autoSpaceDN w:val="0"/>
        <w:adjustRightInd w:val="0"/>
        <w:spacing w:after="0" w:line="240" w:lineRule="auto"/>
        <w:rPr>
          <w:rFonts w:ascii="Arial" w:hAnsi="Arial" w:cs="Arial"/>
          <w:b/>
          <w:bCs/>
          <w:sz w:val="24"/>
          <w:szCs w:val="24"/>
        </w:rPr>
      </w:pPr>
    </w:p>
    <w:p w14:paraId="03A2F49C" w14:textId="77777777" w:rsidR="00E56E1E" w:rsidRPr="007B0891" w:rsidRDefault="00E56E1E" w:rsidP="00E56E1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5.1    WYPF</w:t>
      </w:r>
      <w:r w:rsidRPr="007B0891">
        <w:rPr>
          <w:rFonts w:ascii="Arial" w:hAnsi="Arial" w:cs="Arial"/>
          <w:b/>
          <w:bCs/>
          <w:sz w:val="24"/>
          <w:szCs w:val="24"/>
        </w:rPr>
        <w:t xml:space="preserve"> </w:t>
      </w:r>
      <w:r>
        <w:rPr>
          <w:rFonts w:ascii="Arial" w:hAnsi="Arial" w:cs="Arial"/>
          <w:b/>
          <w:bCs/>
          <w:sz w:val="24"/>
          <w:szCs w:val="24"/>
        </w:rPr>
        <w:t>O</w:t>
      </w:r>
      <w:r w:rsidRPr="007B0891">
        <w:rPr>
          <w:rFonts w:ascii="Arial" w:hAnsi="Arial" w:cs="Arial"/>
          <w:b/>
          <w:bCs/>
          <w:sz w:val="24"/>
          <w:szCs w:val="24"/>
        </w:rPr>
        <w:t>fficers</w:t>
      </w:r>
    </w:p>
    <w:p w14:paraId="1D8EB647" w14:textId="77777777" w:rsidR="00E56E1E" w:rsidRPr="00B128F5" w:rsidRDefault="00E56E1E" w:rsidP="00E56E1E">
      <w:pPr>
        <w:autoSpaceDE w:val="0"/>
        <w:autoSpaceDN w:val="0"/>
        <w:adjustRightInd w:val="0"/>
        <w:spacing w:after="0" w:line="240" w:lineRule="auto"/>
        <w:rPr>
          <w:rFonts w:ascii="Symbol" w:hAnsi="Symbol" w:cs="Symbol"/>
          <w:color w:val="000000"/>
          <w:sz w:val="24"/>
          <w:szCs w:val="24"/>
        </w:rPr>
      </w:pPr>
    </w:p>
    <w:p w14:paraId="06F37EB7" w14:textId="77777777" w:rsidR="00E56E1E" w:rsidRPr="00F91E38" w:rsidRDefault="00E56E1E" w:rsidP="00E56E1E">
      <w:pPr>
        <w:autoSpaceDE w:val="0"/>
        <w:autoSpaceDN w:val="0"/>
        <w:adjustRightInd w:val="0"/>
        <w:spacing w:after="56" w:line="240" w:lineRule="auto"/>
        <w:ind w:left="1134" w:hanging="283"/>
        <w:rPr>
          <w:rFonts w:ascii="Arial" w:hAnsi="Arial" w:cs="Arial"/>
          <w:color w:val="000000"/>
          <w:sz w:val="24"/>
          <w:szCs w:val="24"/>
        </w:rPr>
      </w:pPr>
      <w:r w:rsidRPr="00F91E38">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sidRPr="00F91E38">
        <w:rPr>
          <w:rFonts w:ascii="Symbol" w:hAnsi="Symbol" w:cs="Symbol"/>
          <w:color w:val="000000"/>
          <w:sz w:val="24"/>
          <w:szCs w:val="24"/>
        </w:rPr>
        <w:t></w:t>
      </w:r>
      <w:r w:rsidRPr="00713A86">
        <w:rPr>
          <w:rFonts w:ascii="Arial" w:hAnsi="Arial" w:cs="Arial"/>
          <w:color w:val="000000"/>
          <w:sz w:val="24"/>
          <w:szCs w:val="24"/>
        </w:rPr>
        <w:t xml:space="preserve">WYPF </w:t>
      </w:r>
      <w:r w:rsidRPr="00F91E38">
        <w:rPr>
          <w:rFonts w:ascii="Arial" w:hAnsi="Arial" w:cs="Arial"/>
          <w:color w:val="000000"/>
          <w:sz w:val="24"/>
          <w:szCs w:val="24"/>
        </w:rPr>
        <w:t>officers continually review and ensure that data collection is fit-for-purpose and processes are in place to monitor accuracy and timeliness. All processes will have working instructions in place to assist with staff training, understanding and compliance.</w:t>
      </w:r>
    </w:p>
    <w:p w14:paraId="4650D971" w14:textId="77777777" w:rsidR="00E56E1E" w:rsidRPr="00F91E38" w:rsidRDefault="00E56E1E" w:rsidP="00E56E1E">
      <w:pPr>
        <w:autoSpaceDE w:val="0"/>
        <w:autoSpaceDN w:val="0"/>
        <w:adjustRightInd w:val="0"/>
        <w:spacing w:after="56" w:line="240" w:lineRule="auto"/>
        <w:ind w:left="1134" w:hanging="283"/>
        <w:rPr>
          <w:rFonts w:ascii="Arial" w:hAnsi="Arial" w:cs="Arial"/>
          <w:color w:val="000000"/>
          <w:sz w:val="24"/>
          <w:szCs w:val="24"/>
        </w:rPr>
      </w:pPr>
    </w:p>
    <w:p w14:paraId="26B2AF46" w14:textId="77777777" w:rsidR="00E56E1E" w:rsidRPr="00F91E38" w:rsidRDefault="00E56E1E" w:rsidP="00E56E1E">
      <w:pPr>
        <w:pStyle w:val="ListParagraph"/>
        <w:numPr>
          <w:ilvl w:val="0"/>
          <w:numId w:val="15"/>
        </w:numPr>
        <w:autoSpaceDE w:val="0"/>
        <w:autoSpaceDN w:val="0"/>
        <w:adjustRightInd w:val="0"/>
        <w:spacing w:after="0" w:line="240" w:lineRule="auto"/>
        <w:ind w:left="1134" w:hanging="283"/>
        <w:rPr>
          <w:rFonts w:ascii="Arial" w:hAnsi="Arial" w:cs="Arial"/>
          <w:color w:val="000000"/>
          <w:sz w:val="24"/>
          <w:szCs w:val="24"/>
        </w:rPr>
      </w:pPr>
      <w:r w:rsidRPr="00F91E38">
        <w:rPr>
          <w:rFonts w:ascii="Arial" w:hAnsi="Arial" w:cs="Arial"/>
          <w:color w:val="000000"/>
          <w:sz w:val="24"/>
          <w:szCs w:val="24"/>
        </w:rPr>
        <w:t xml:space="preserve">Team managers are responsible for ensuring that staff have the appropriate level of UPM access to fulfil their duties and that access is withdrawn upon the member of staff leaving the team. This minimises the risk of accidental loss, errors and unauthorised activity. </w:t>
      </w:r>
    </w:p>
    <w:p w14:paraId="2FFAE77F" w14:textId="77777777" w:rsidR="00E56E1E" w:rsidRDefault="00E56E1E" w:rsidP="00E56E1E">
      <w:pPr>
        <w:pStyle w:val="ListParagraph"/>
        <w:autoSpaceDE w:val="0"/>
        <w:autoSpaceDN w:val="0"/>
        <w:adjustRightInd w:val="0"/>
        <w:spacing w:after="0" w:line="240" w:lineRule="auto"/>
        <w:ind w:left="709" w:hanging="142"/>
        <w:rPr>
          <w:rFonts w:ascii="Arial" w:hAnsi="Arial" w:cs="Arial"/>
          <w:color w:val="000000"/>
          <w:sz w:val="23"/>
          <w:szCs w:val="23"/>
        </w:rPr>
      </w:pPr>
    </w:p>
    <w:p w14:paraId="478FCF86" w14:textId="77777777" w:rsidR="00E56E1E" w:rsidRPr="008F29F9" w:rsidRDefault="00E56E1E" w:rsidP="00E56E1E">
      <w:pPr>
        <w:tabs>
          <w:tab w:val="left" w:pos="567"/>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5</w:t>
      </w:r>
      <w:r w:rsidRPr="008F29F9">
        <w:rPr>
          <w:rFonts w:ascii="Arial" w:hAnsi="Arial" w:cs="Arial"/>
          <w:b/>
          <w:bCs/>
          <w:color w:val="000000"/>
          <w:sz w:val="24"/>
          <w:szCs w:val="24"/>
        </w:rPr>
        <w:t>.2</w:t>
      </w:r>
      <w:r w:rsidRPr="00B128F5">
        <w:rPr>
          <w:rFonts w:ascii="Arial" w:hAnsi="Arial" w:cs="Arial"/>
          <w:b/>
          <w:bCs/>
          <w:color w:val="000000"/>
          <w:sz w:val="24"/>
          <w:szCs w:val="24"/>
        </w:rPr>
        <w:t xml:space="preserve"> </w:t>
      </w:r>
      <w:r>
        <w:rPr>
          <w:rFonts w:ascii="Arial" w:hAnsi="Arial" w:cs="Arial"/>
          <w:b/>
          <w:bCs/>
          <w:color w:val="000000"/>
          <w:sz w:val="24"/>
          <w:szCs w:val="24"/>
        </w:rPr>
        <w:tab/>
        <w:t>Fire Authority</w:t>
      </w:r>
      <w:r w:rsidRPr="00B128F5">
        <w:rPr>
          <w:rFonts w:ascii="Arial" w:hAnsi="Arial" w:cs="Arial"/>
          <w:b/>
          <w:bCs/>
          <w:color w:val="000000"/>
          <w:sz w:val="24"/>
          <w:szCs w:val="24"/>
        </w:rPr>
        <w:t xml:space="preserve"> </w:t>
      </w:r>
    </w:p>
    <w:p w14:paraId="73192018" w14:textId="77777777" w:rsidR="00E56E1E" w:rsidRPr="00B128F5" w:rsidRDefault="00E56E1E" w:rsidP="00E56E1E">
      <w:pPr>
        <w:autoSpaceDE w:val="0"/>
        <w:autoSpaceDN w:val="0"/>
        <w:adjustRightInd w:val="0"/>
        <w:spacing w:after="0" w:line="240" w:lineRule="auto"/>
        <w:rPr>
          <w:rFonts w:ascii="Arial" w:hAnsi="Arial" w:cs="Arial"/>
          <w:color w:val="000000"/>
          <w:sz w:val="23"/>
          <w:szCs w:val="23"/>
        </w:rPr>
      </w:pPr>
    </w:p>
    <w:p w14:paraId="25F11F73" w14:textId="77777777" w:rsidR="00E56E1E" w:rsidRPr="00F91E38" w:rsidRDefault="00E56E1E" w:rsidP="00E56E1E">
      <w:pPr>
        <w:pStyle w:val="ListParagraph"/>
        <w:numPr>
          <w:ilvl w:val="0"/>
          <w:numId w:val="15"/>
        </w:numPr>
        <w:autoSpaceDE w:val="0"/>
        <w:autoSpaceDN w:val="0"/>
        <w:adjustRightInd w:val="0"/>
        <w:spacing w:after="56" w:line="240" w:lineRule="auto"/>
        <w:ind w:left="1134" w:hanging="283"/>
        <w:rPr>
          <w:rFonts w:ascii="Arial" w:hAnsi="Arial" w:cs="Arial"/>
          <w:color w:val="000000"/>
          <w:sz w:val="24"/>
          <w:szCs w:val="24"/>
        </w:rPr>
      </w:pPr>
      <w:r>
        <w:rPr>
          <w:rFonts w:ascii="Arial" w:hAnsi="Arial" w:cs="Arial"/>
          <w:color w:val="000000"/>
          <w:sz w:val="24"/>
          <w:szCs w:val="24"/>
        </w:rPr>
        <w:t>WYPF</w:t>
      </w:r>
      <w:r w:rsidRPr="00F91E38">
        <w:rPr>
          <w:rFonts w:ascii="Arial" w:hAnsi="Arial" w:cs="Arial"/>
          <w:color w:val="000000"/>
          <w:sz w:val="24"/>
          <w:szCs w:val="24"/>
        </w:rPr>
        <w:t xml:space="preserve"> is reliant upon the accuracy, completeness and timeliness of data submitted by the Fire Authority. </w:t>
      </w:r>
    </w:p>
    <w:p w14:paraId="2E503374" w14:textId="77777777" w:rsidR="00E56E1E" w:rsidRPr="00F91E38" w:rsidRDefault="00E56E1E" w:rsidP="00E56E1E">
      <w:pPr>
        <w:pStyle w:val="ListParagraph"/>
        <w:autoSpaceDE w:val="0"/>
        <w:autoSpaceDN w:val="0"/>
        <w:adjustRightInd w:val="0"/>
        <w:spacing w:after="56" w:line="240" w:lineRule="auto"/>
        <w:ind w:left="1134" w:hanging="283"/>
        <w:rPr>
          <w:rFonts w:ascii="Arial" w:hAnsi="Arial" w:cs="Arial"/>
          <w:color w:val="000000"/>
          <w:sz w:val="24"/>
          <w:szCs w:val="24"/>
        </w:rPr>
      </w:pPr>
    </w:p>
    <w:p w14:paraId="55D2B737" w14:textId="77777777" w:rsidR="00E56E1E" w:rsidRPr="00F91E38" w:rsidRDefault="00E56E1E" w:rsidP="00E56E1E">
      <w:pPr>
        <w:pStyle w:val="ListParagraph"/>
        <w:numPr>
          <w:ilvl w:val="0"/>
          <w:numId w:val="15"/>
        </w:numPr>
        <w:autoSpaceDE w:val="0"/>
        <w:autoSpaceDN w:val="0"/>
        <w:adjustRightInd w:val="0"/>
        <w:spacing w:after="56" w:line="240" w:lineRule="auto"/>
        <w:ind w:left="1134" w:hanging="283"/>
        <w:rPr>
          <w:rFonts w:ascii="Arial" w:hAnsi="Arial" w:cs="Arial"/>
          <w:color w:val="000000"/>
          <w:sz w:val="24"/>
          <w:szCs w:val="24"/>
        </w:rPr>
      </w:pPr>
      <w:r>
        <w:rPr>
          <w:rFonts w:ascii="Arial" w:hAnsi="Arial" w:cs="Arial"/>
          <w:color w:val="000000"/>
          <w:sz w:val="24"/>
          <w:szCs w:val="24"/>
        </w:rPr>
        <w:t>WYPF</w:t>
      </w:r>
      <w:r w:rsidRPr="00F91E38">
        <w:rPr>
          <w:rFonts w:ascii="Arial" w:hAnsi="Arial" w:cs="Arial"/>
          <w:color w:val="000000"/>
          <w:sz w:val="24"/>
          <w:szCs w:val="24"/>
        </w:rPr>
        <w:t xml:space="preserve"> will work with each Fire Authority throughout the year to support the provision of data to the required standard. </w:t>
      </w:r>
    </w:p>
    <w:p w14:paraId="5FB69B79" w14:textId="77777777" w:rsidR="000E651F" w:rsidRDefault="000E651F" w:rsidP="000E651F">
      <w:pPr>
        <w:autoSpaceDE w:val="0"/>
        <w:autoSpaceDN w:val="0"/>
        <w:adjustRightInd w:val="0"/>
        <w:spacing w:after="0" w:line="240" w:lineRule="auto"/>
        <w:rPr>
          <w:rFonts w:ascii="Arial" w:hAnsi="Arial" w:cs="Arial"/>
          <w:b/>
          <w:color w:val="000000"/>
          <w:sz w:val="24"/>
          <w:szCs w:val="24"/>
        </w:rPr>
      </w:pPr>
    </w:p>
    <w:p w14:paraId="2BE7757D" w14:textId="77777777" w:rsidR="000E651F" w:rsidRDefault="000E651F" w:rsidP="000E651F">
      <w:pPr>
        <w:autoSpaceDE w:val="0"/>
        <w:autoSpaceDN w:val="0"/>
        <w:adjustRightInd w:val="0"/>
        <w:spacing w:after="0" w:line="240" w:lineRule="auto"/>
        <w:rPr>
          <w:rFonts w:ascii="Arial" w:hAnsi="Arial" w:cs="Arial"/>
          <w:b/>
          <w:color w:val="000000"/>
          <w:sz w:val="24"/>
          <w:szCs w:val="24"/>
        </w:rPr>
      </w:pPr>
    </w:p>
    <w:p w14:paraId="47A48B22" w14:textId="77777777" w:rsidR="000E651F" w:rsidRDefault="000E651F" w:rsidP="000E651F">
      <w:pPr>
        <w:autoSpaceDE w:val="0"/>
        <w:autoSpaceDN w:val="0"/>
        <w:adjustRightInd w:val="0"/>
        <w:spacing w:after="0" w:line="240" w:lineRule="auto"/>
        <w:rPr>
          <w:rFonts w:ascii="Arial" w:hAnsi="Arial" w:cs="Arial"/>
          <w:b/>
          <w:color w:val="000000"/>
          <w:sz w:val="24"/>
          <w:szCs w:val="24"/>
        </w:rPr>
      </w:pPr>
    </w:p>
    <w:p w14:paraId="0AB6F214" w14:textId="77777777" w:rsidR="000E651F" w:rsidRDefault="000E651F" w:rsidP="000E651F">
      <w:pPr>
        <w:autoSpaceDE w:val="0"/>
        <w:autoSpaceDN w:val="0"/>
        <w:adjustRightInd w:val="0"/>
        <w:spacing w:after="0" w:line="240" w:lineRule="auto"/>
        <w:rPr>
          <w:rFonts w:ascii="Arial" w:hAnsi="Arial" w:cs="Arial"/>
          <w:b/>
          <w:color w:val="000000"/>
          <w:sz w:val="24"/>
          <w:szCs w:val="24"/>
        </w:rPr>
      </w:pPr>
    </w:p>
    <w:p w14:paraId="1EB2F2AC" w14:textId="0E7A73BE" w:rsidR="00E56E1E" w:rsidRPr="000E651F" w:rsidRDefault="00E56E1E" w:rsidP="000E651F">
      <w:pPr>
        <w:autoSpaceDE w:val="0"/>
        <w:autoSpaceDN w:val="0"/>
        <w:adjustRightInd w:val="0"/>
        <w:spacing w:after="0" w:line="240" w:lineRule="auto"/>
        <w:rPr>
          <w:rFonts w:ascii="Arial" w:hAnsi="Arial" w:cs="Arial"/>
          <w:color w:val="000000"/>
          <w:sz w:val="24"/>
          <w:szCs w:val="24"/>
        </w:rPr>
      </w:pPr>
      <w:r w:rsidRPr="000E651F">
        <w:rPr>
          <w:rFonts w:ascii="Arial" w:hAnsi="Arial" w:cs="Arial"/>
          <w:b/>
          <w:color w:val="000000"/>
          <w:sz w:val="24"/>
          <w:szCs w:val="24"/>
        </w:rPr>
        <w:t>Ongoing Data Cleansing</w:t>
      </w:r>
    </w:p>
    <w:p w14:paraId="521465AF" w14:textId="77777777" w:rsidR="00E56E1E" w:rsidRDefault="00E56E1E" w:rsidP="00E56E1E">
      <w:pPr>
        <w:autoSpaceDE w:val="0"/>
        <w:autoSpaceDN w:val="0"/>
        <w:adjustRightInd w:val="0"/>
        <w:spacing w:after="0" w:line="240" w:lineRule="auto"/>
        <w:ind w:left="426" w:hanging="426"/>
        <w:rPr>
          <w:rFonts w:ascii="Arial" w:hAnsi="Arial" w:cs="Arial"/>
          <w:b/>
          <w:color w:val="000000"/>
          <w:sz w:val="23"/>
          <w:szCs w:val="23"/>
        </w:rPr>
      </w:pPr>
    </w:p>
    <w:p w14:paraId="738DC310" w14:textId="77777777" w:rsidR="00E56E1E" w:rsidRDefault="00E56E1E" w:rsidP="00E56E1E">
      <w:pPr>
        <w:pStyle w:val="ListParagraph"/>
        <w:numPr>
          <w:ilvl w:val="1"/>
          <w:numId w:val="24"/>
        </w:numPr>
        <w:autoSpaceDE w:val="0"/>
        <w:autoSpaceDN w:val="0"/>
        <w:adjustRightInd w:val="0"/>
        <w:spacing w:after="0" w:line="240" w:lineRule="auto"/>
        <w:ind w:left="567" w:hanging="567"/>
        <w:rPr>
          <w:rFonts w:ascii="Arial" w:hAnsi="Arial" w:cs="Arial"/>
          <w:b/>
          <w:bCs/>
          <w:sz w:val="24"/>
          <w:szCs w:val="24"/>
        </w:rPr>
      </w:pPr>
      <w:r w:rsidRPr="004338F4">
        <w:rPr>
          <w:rFonts w:ascii="Arial" w:hAnsi="Arial" w:cs="Arial"/>
          <w:b/>
          <w:bCs/>
          <w:sz w:val="24"/>
          <w:szCs w:val="24"/>
        </w:rPr>
        <w:t xml:space="preserve">Monthly Returns </w:t>
      </w:r>
      <w:r>
        <w:rPr>
          <w:rFonts w:ascii="Arial" w:hAnsi="Arial" w:cs="Arial"/>
          <w:b/>
          <w:bCs/>
          <w:sz w:val="24"/>
          <w:szCs w:val="24"/>
        </w:rPr>
        <w:t>d</w:t>
      </w:r>
      <w:r w:rsidRPr="004338F4">
        <w:rPr>
          <w:rFonts w:ascii="Arial" w:hAnsi="Arial" w:cs="Arial"/>
          <w:b/>
          <w:bCs/>
          <w:sz w:val="24"/>
          <w:szCs w:val="24"/>
        </w:rPr>
        <w:t>ata quality checks</w:t>
      </w:r>
    </w:p>
    <w:p w14:paraId="20812A82" w14:textId="77777777" w:rsidR="00E56E1E" w:rsidRPr="00A12CFE" w:rsidRDefault="00E56E1E" w:rsidP="00E56E1E">
      <w:pPr>
        <w:pStyle w:val="ListParagraph"/>
        <w:autoSpaceDE w:val="0"/>
        <w:autoSpaceDN w:val="0"/>
        <w:adjustRightInd w:val="0"/>
        <w:spacing w:after="0" w:line="240" w:lineRule="auto"/>
        <w:ind w:left="426"/>
        <w:rPr>
          <w:rFonts w:ascii="Arial" w:hAnsi="Arial" w:cs="Arial"/>
          <w:bCs/>
          <w:sz w:val="24"/>
          <w:szCs w:val="24"/>
        </w:rPr>
      </w:pPr>
    </w:p>
    <w:p w14:paraId="16489412" w14:textId="77777777" w:rsidR="00E56E1E" w:rsidRPr="00DB6E32" w:rsidRDefault="00E56E1E" w:rsidP="00E56E1E">
      <w:pPr>
        <w:autoSpaceDE w:val="0"/>
        <w:autoSpaceDN w:val="0"/>
        <w:adjustRightInd w:val="0"/>
        <w:spacing w:after="0" w:line="240" w:lineRule="auto"/>
        <w:ind w:left="567"/>
        <w:rPr>
          <w:rFonts w:ascii="Arial" w:hAnsi="Arial" w:cs="Arial"/>
          <w:bCs/>
          <w:sz w:val="24"/>
          <w:szCs w:val="24"/>
        </w:rPr>
      </w:pPr>
      <w:r w:rsidRPr="00DB6E32">
        <w:rPr>
          <w:rFonts w:ascii="Arial" w:hAnsi="Arial" w:cs="Arial"/>
          <w:bCs/>
          <w:sz w:val="24"/>
          <w:szCs w:val="24"/>
        </w:rPr>
        <w:t>WYPF embraced monthly contribution postings several years ago with the aim of simplification, systems integration, increased data accuracy and complete up to date member records. The benefits include ensuring that employe</w:t>
      </w:r>
      <w:r>
        <w:rPr>
          <w:rFonts w:ascii="Arial" w:hAnsi="Arial" w:cs="Arial"/>
          <w:bCs/>
          <w:sz w:val="24"/>
          <w:szCs w:val="24"/>
        </w:rPr>
        <w:t>e’s</w:t>
      </w:r>
      <w:r w:rsidRPr="00DB6E32">
        <w:rPr>
          <w:rFonts w:ascii="Arial" w:hAnsi="Arial" w:cs="Arial"/>
          <w:bCs/>
          <w:sz w:val="24"/>
          <w:szCs w:val="24"/>
        </w:rPr>
        <w:t xml:space="preserve"> contributions, member’s personal details, and financial records are up to date, accurate and complete. </w:t>
      </w:r>
    </w:p>
    <w:p w14:paraId="79653E04" w14:textId="77777777" w:rsidR="00E56E1E" w:rsidRDefault="00E56E1E" w:rsidP="00E56E1E">
      <w:pPr>
        <w:pStyle w:val="Default"/>
        <w:ind w:left="567"/>
      </w:pPr>
    </w:p>
    <w:p w14:paraId="3C092A98" w14:textId="77777777" w:rsidR="00E56E1E" w:rsidRDefault="00E56E1E" w:rsidP="00E56E1E">
      <w:pPr>
        <w:pStyle w:val="Default"/>
        <w:numPr>
          <w:ilvl w:val="1"/>
          <w:numId w:val="24"/>
        </w:numPr>
        <w:ind w:left="567" w:hanging="567"/>
        <w:rPr>
          <w:b/>
        </w:rPr>
      </w:pPr>
      <w:r w:rsidRPr="00181895">
        <w:rPr>
          <w:b/>
        </w:rPr>
        <w:t>National Fraud Initiative</w:t>
      </w:r>
    </w:p>
    <w:p w14:paraId="46B3EEE5" w14:textId="77777777" w:rsidR="00E56E1E" w:rsidRPr="00F91E38" w:rsidRDefault="00E56E1E" w:rsidP="00E56E1E">
      <w:pPr>
        <w:pStyle w:val="NormalWeb"/>
        <w:ind w:left="567"/>
        <w:rPr>
          <w:rFonts w:ascii="Arial" w:hAnsi="Arial" w:cs="Arial"/>
          <w:lang w:val="en"/>
        </w:rPr>
      </w:pPr>
      <w:r w:rsidRPr="00F91E38">
        <w:rPr>
          <w:rFonts w:ascii="Arial" w:hAnsi="Arial" w:cs="Arial"/>
          <w:lang w:val="en"/>
        </w:rPr>
        <w:t>The National Fraud Initiative (NFI) matches electronic data within and between public and private sector bodies to prevent and detect fraud. These bodies include police authorities, local probation boards, fire and rescue authorities as well as local councils and a number of private sector bodies.</w:t>
      </w:r>
      <w:r>
        <w:rPr>
          <w:rFonts w:ascii="Arial" w:hAnsi="Arial" w:cs="Arial"/>
          <w:lang w:val="en"/>
        </w:rPr>
        <w:t xml:space="preserve">  WYPF </w:t>
      </w:r>
      <w:r w:rsidRPr="00F91E38">
        <w:rPr>
          <w:rFonts w:ascii="Arial" w:hAnsi="Arial" w:cs="Arial"/>
          <w:lang w:val="en"/>
        </w:rPr>
        <w:t>submit data to National Frau</w:t>
      </w:r>
      <w:r w:rsidRPr="008D3EED">
        <w:rPr>
          <w:rFonts w:ascii="Arial" w:hAnsi="Arial" w:cs="Arial"/>
          <w:lang w:val="en"/>
        </w:rPr>
        <w:t>d Initiative on a regular basis to identify deceased members</w:t>
      </w:r>
      <w:r>
        <w:rPr>
          <w:rFonts w:ascii="Arial" w:hAnsi="Arial" w:cs="Arial"/>
          <w:lang w:val="en"/>
        </w:rPr>
        <w:t xml:space="preserve"> and members who are no longer entitled to receive a pension. </w:t>
      </w:r>
      <w:r w:rsidRPr="008D3EED">
        <w:rPr>
          <w:rFonts w:ascii="Arial" w:hAnsi="Arial" w:cs="Arial"/>
          <w:lang w:val="en"/>
        </w:rPr>
        <w:t xml:space="preserve"> </w:t>
      </w:r>
    </w:p>
    <w:p w14:paraId="7FE0B3AF" w14:textId="77777777" w:rsidR="00E56E1E" w:rsidRPr="008D3EED" w:rsidRDefault="00E56E1E" w:rsidP="00E56E1E">
      <w:pPr>
        <w:pStyle w:val="Default"/>
        <w:numPr>
          <w:ilvl w:val="1"/>
          <w:numId w:val="24"/>
        </w:numPr>
        <w:ind w:left="567" w:hanging="567"/>
        <w:rPr>
          <w:b/>
        </w:rPr>
      </w:pPr>
      <w:r>
        <w:rPr>
          <w:b/>
        </w:rPr>
        <w:t>Mortality screening and tracing service</w:t>
      </w:r>
    </w:p>
    <w:p w14:paraId="6A5A4160" w14:textId="77777777" w:rsidR="00E56E1E" w:rsidRDefault="00E56E1E" w:rsidP="00E56E1E">
      <w:pPr>
        <w:pStyle w:val="Default"/>
        <w:rPr>
          <w:sz w:val="23"/>
          <w:szCs w:val="23"/>
        </w:rPr>
      </w:pPr>
    </w:p>
    <w:p w14:paraId="238AE302" w14:textId="77777777" w:rsidR="00E56E1E" w:rsidRPr="00F91E38" w:rsidRDefault="00E56E1E" w:rsidP="00E56E1E">
      <w:pPr>
        <w:pStyle w:val="Default"/>
        <w:ind w:left="567"/>
      </w:pPr>
      <w:r w:rsidRPr="00F91E38">
        <w:t>WYPF engage with a Tracing Bureau for both monthly mortality screening and for members we don’t have a current address for.</w:t>
      </w:r>
      <w:r>
        <w:t xml:space="preserve">  For deferred members, where a current address for a lost contact cannot be found by the Tracing Bureau, a more detailed check is carried out 3 months before payment of pension is due.</w:t>
      </w:r>
    </w:p>
    <w:p w14:paraId="2233831E" w14:textId="77777777" w:rsidR="00E56E1E" w:rsidRDefault="00E56E1E" w:rsidP="00E56E1E">
      <w:pPr>
        <w:pStyle w:val="Default"/>
        <w:ind w:left="567"/>
        <w:rPr>
          <w:b/>
        </w:rPr>
      </w:pPr>
    </w:p>
    <w:p w14:paraId="2D39E300" w14:textId="77777777" w:rsidR="00E56E1E" w:rsidRPr="004338F4" w:rsidRDefault="00E56E1E" w:rsidP="00E56E1E">
      <w:pPr>
        <w:pStyle w:val="Default"/>
        <w:ind w:left="567" w:hanging="567"/>
        <w:rPr>
          <w:b/>
        </w:rPr>
      </w:pPr>
      <w:r w:rsidRPr="004338F4">
        <w:rPr>
          <w:b/>
        </w:rPr>
        <w:t>6.</w:t>
      </w:r>
      <w:r>
        <w:rPr>
          <w:b/>
        </w:rPr>
        <w:t>4</w:t>
      </w:r>
      <w:r w:rsidRPr="004338F4">
        <w:rPr>
          <w:b/>
        </w:rPr>
        <w:t xml:space="preserve"> </w:t>
      </w:r>
      <w:r>
        <w:rPr>
          <w:b/>
        </w:rPr>
        <w:tab/>
      </w:r>
      <w:r w:rsidRPr="004338F4">
        <w:rPr>
          <w:b/>
        </w:rPr>
        <w:t>Annual Benefits Statement checks</w:t>
      </w:r>
    </w:p>
    <w:p w14:paraId="20C64D52" w14:textId="77777777" w:rsidR="00E56E1E" w:rsidRDefault="00E56E1E" w:rsidP="00E56E1E">
      <w:pPr>
        <w:pStyle w:val="Default"/>
        <w:ind w:left="567" w:hanging="567"/>
        <w:rPr>
          <w:sz w:val="23"/>
          <w:szCs w:val="23"/>
        </w:rPr>
      </w:pPr>
    </w:p>
    <w:p w14:paraId="7290FFDA" w14:textId="77777777" w:rsidR="00E56E1E" w:rsidRPr="004338F4" w:rsidRDefault="00E56E1E" w:rsidP="00E56E1E">
      <w:pPr>
        <w:pStyle w:val="Default"/>
        <w:ind w:left="567"/>
      </w:pPr>
      <w:r w:rsidRPr="004338F4">
        <w:t>Before producing an ABS each year certain checks are applied to active records to ensure accurate data is used in the production of the ABS. These checks include:</w:t>
      </w:r>
    </w:p>
    <w:p w14:paraId="3FB44FD2" w14:textId="77777777" w:rsidR="00E56E1E" w:rsidRPr="004338F4" w:rsidRDefault="00E56E1E" w:rsidP="00E56E1E">
      <w:pPr>
        <w:pStyle w:val="Default"/>
        <w:ind w:left="284"/>
      </w:pPr>
    </w:p>
    <w:p w14:paraId="03670E6C" w14:textId="77777777" w:rsidR="00E56E1E" w:rsidRDefault="00E56E1E" w:rsidP="00E56E1E">
      <w:pPr>
        <w:pStyle w:val="Default"/>
        <w:numPr>
          <w:ilvl w:val="0"/>
          <w:numId w:val="22"/>
        </w:numPr>
        <w:ind w:left="1418" w:hanging="567"/>
      </w:pPr>
      <w:r w:rsidRPr="004338F4">
        <w:t>Ensuring contributions are received for every month during the year</w:t>
      </w:r>
      <w:r>
        <w:t>,</w:t>
      </w:r>
    </w:p>
    <w:p w14:paraId="23A104A0" w14:textId="77777777" w:rsidR="00E56E1E" w:rsidRPr="004338F4" w:rsidRDefault="00E56E1E" w:rsidP="00E56E1E">
      <w:pPr>
        <w:pStyle w:val="Default"/>
        <w:ind w:left="1418" w:hanging="567"/>
      </w:pPr>
    </w:p>
    <w:p w14:paraId="733B3B39" w14:textId="77777777" w:rsidR="00E56E1E" w:rsidRPr="004338F4" w:rsidRDefault="00E56E1E" w:rsidP="00E56E1E">
      <w:pPr>
        <w:pStyle w:val="Default"/>
        <w:numPr>
          <w:ilvl w:val="0"/>
          <w:numId w:val="22"/>
        </w:numPr>
        <w:ind w:left="1418" w:hanging="567"/>
      </w:pPr>
      <w:r w:rsidRPr="004338F4">
        <w:t>Checks to make sure there are no spikes in car</w:t>
      </w:r>
      <w:r>
        <w:t>e</w:t>
      </w:r>
      <w:r w:rsidRPr="004338F4">
        <w:t xml:space="preserve"> pensionable pay</w:t>
      </w:r>
      <w:r>
        <w:t>,</w:t>
      </w:r>
    </w:p>
    <w:p w14:paraId="425BF663" w14:textId="77777777" w:rsidR="00E56E1E" w:rsidRDefault="00E56E1E" w:rsidP="00E56E1E">
      <w:pPr>
        <w:pStyle w:val="Default"/>
        <w:ind w:left="1418" w:hanging="567"/>
      </w:pPr>
    </w:p>
    <w:p w14:paraId="5D081765" w14:textId="77777777" w:rsidR="00E56E1E" w:rsidRPr="004338F4" w:rsidRDefault="00E56E1E" w:rsidP="00E56E1E">
      <w:pPr>
        <w:pStyle w:val="Default"/>
        <w:numPr>
          <w:ilvl w:val="0"/>
          <w:numId w:val="22"/>
        </w:numPr>
        <w:ind w:left="1418" w:hanging="567"/>
      </w:pPr>
      <w:r w:rsidRPr="004338F4">
        <w:t>Checks to ensure the final pay has not increased by 20% or decrease</w:t>
      </w:r>
      <w:r>
        <w:t>d</w:t>
      </w:r>
      <w:r w:rsidRPr="004338F4">
        <w:t xml:space="preserve"> by 10%</w:t>
      </w:r>
      <w:r>
        <w:t>,</w:t>
      </w:r>
    </w:p>
    <w:p w14:paraId="1A7658F5" w14:textId="77777777" w:rsidR="00E56E1E" w:rsidRDefault="00E56E1E" w:rsidP="00E56E1E">
      <w:pPr>
        <w:pStyle w:val="Default"/>
        <w:ind w:left="1418"/>
      </w:pPr>
    </w:p>
    <w:p w14:paraId="493F6B9F" w14:textId="77777777" w:rsidR="00E56E1E" w:rsidRPr="004338F4" w:rsidRDefault="00E56E1E" w:rsidP="00E56E1E">
      <w:pPr>
        <w:pStyle w:val="Default"/>
        <w:numPr>
          <w:ilvl w:val="0"/>
          <w:numId w:val="22"/>
        </w:numPr>
        <w:ind w:left="1418" w:hanging="567"/>
      </w:pPr>
      <w:r w:rsidRPr="004338F4">
        <w:t xml:space="preserve">Checks </w:t>
      </w:r>
      <w:r>
        <w:t xml:space="preserve">to ensure there aren’t any outstanding </w:t>
      </w:r>
      <w:r w:rsidRPr="004338F4">
        <w:t>process</w:t>
      </w:r>
      <w:r>
        <w:t>es,</w:t>
      </w:r>
      <w:r w:rsidRPr="004338F4">
        <w:t xml:space="preserve"> </w:t>
      </w:r>
    </w:p>
    <w:p w14:paraId="21108A94" w14:textId="77777777" w:rsidR="00E56E1E" w:rsidRDefault="00E56E1E" w:rsidP="00E56E1E">
      <w:pPr>
        <w:pStyle w:val="Default"/>
        <w:ind w:left="1418" w:hanging="567"/>
      </w:pPr>
    </w:p>
    <w:p w14:paraId="12A1251D" w14:textId="77777777" w:rsidR="00E56E1E" w:rsidRPr="004338F4" w:rsidRDefault="00E56E1E" w:rsidP="00E56E1E">
      <w:pPr>
        <w:pStyle w:val="Default"/>
        <w:numPr>
          <w:ilvl w:val="0"/>
          <w:numId w:val="22"/>
        </w:numPr>
        <w:ind w:left="1418" w:hanging="567"/>
      </w:pPr>
      <w:r w:rsidRPr="004338F4">
        <w:t xml:space="preserve">Address check to compare the address held on the record and that supplied on the monthly return </w:t>
      </w:r>
    </w:p>
    <w:p w14:paraId="4B1978BD" w14:textId="77777777" w:rsidR="00E56E1E" w:rsidRDefault="00E56E1E" w:rsidP="00E56E1E">
      <w:pPr>
        <w:pStyle w:val="Default"/>
        <w:ind w:left="1134" w:hanging="283"/>
      </w:pPr>
    </w:p>
    <w:p w14:paraId="2B39D523" w14:textId="77777777" w:rsidR="00E56E1E" w:rsidRPr="004338F4" w:rsidRDefault="00E56E1E" w:rsidP="00E56E1E">
      <w:pPr>
        <w:pStyle w:val="Default"/>
        <w:ind w:left="567"/>
      </w:pPr>
      <w:r w:rsidRPr="004338F4">
        <w:t xml:space="preserve">If these checks identify further information is required from </w:t>
      </w:r>
      <w:r>
        <w:t>the Fire Authority</w:t>
      </w:r>
      <w:r w:rsidRPr="004338F4">
        <w:t xml:space="preserve"> the ABS production for this case will be blocked and a query will be referred back to the </w:t>
      </w:r>
      <w:r>
        <w:t>Fire Authority</w:t>
      </w:r>
      <w:r w:rsidRPr="004338F4">
        <w:t xml:space="preserve">. Upon receipt of the appropriate information the record will be updated </w:t>
      </w:r>
      <w:r>
        <w:t xml:space="preserve">and </w:t>
      </w:r>
      <w:r w:rsidRPr="004338F4">
        <w:t>the ABS will be released for production.</w:t>
      </w:r>
    </w:p>
    <w:p w14:paraId="64B25776" w14:textId="77777777" w:rsidR="00E56E1E" w:rsidRDefault="00E56E1E" w:rsidP="00E56E1E">
      <w:pPr>
        <w:pStyle w:val="Default"/>
        <w:ind w:left="709"/>
        <w:rPr>
          <w:sz w:val="23"/>
          <w:szCs w:val="23"/>
        </w:rPr>
      </w:pPr>
    </w:p>
    <w:p w14:paraId="28D2291A" w14:textId="77777777" w:rsidR="00E56E1E" w:rsidRDefault="00E56E1E" w:rsidP="00E56E1E">
      <w:pPr>
        <w:tabs>
          <w:tab w:val="left" w:pos="426"/>
        </w:tabs>
        <w:rPr>
          <w:rFonts w:ascii="Arial" w:hAnsi="Arial" w:cs="Arial"/>
          <w:b/>
          <w:sz w:val="24"/>
          <w:szCs w:val="24"/>
        </w:rPr>
      </w:pPr>
      <w:r w:rsidRPr="002E36EC">
        <w:rPr>
          <w:rFonts w:ascii="Arial" w:hAnsi="Arial" w:cs="Arial"/>
          <w:b/>
          <w:sz w:val="24"/>
          <w:szCs w:val="24"/>
        </w:rPr>
        <w:t>6.5</w:t>
      </w:r>
      <w:r>
        <w:rPr>
          <w:rFonts w:ascii="Arial" w:hAnsi="Arial" w:cs="Arial"/>
          <w:b/>
          <w:sz w:val="24"/>
          <w:szCs w:val="24"/>
        </w:rPr>
        <w:tab/>
        <w:t>Deferred pensions increase</w:t>
      </w:r>
    </w:p>
    <w:p w14:paraId="217F9F1E" w14:textId="77777777" w:rsidR="00E56E1E" w:rsidRDefault="00E56E1E" w:rsidP="00E56E1E">
      <w:pPr>
        <w:pStyle w:val="ListParagraph"/>
        <w:ind w:left="567"/>
        <w:rPr>
          <w:rFonts w:ascii="Arial" w:hAnsi="Arial" w:cs="Arial"/>
          <w:sz w:val="24"/>
          <w:szCs w:val="24"/>
        </w:rPr>
      </w:pPr>
      <w:r w:rsidRPr="002E36EC">
        <w:rPr>
          <w:rFonts w:ascii="Arial" w:hAnsi="Arial" w:cs="Arial"/>
          <w:sz w:val="24"/>
          <w:szCs w:val="24"/>
        </w:rPr>
        <w:t xml:space="preserve">As part of the </w:t>
      </w:r>
      <w:r>
        <w:rPr>
          <w:rFonts w:ascii="Arial" w:hAnsi="Arial" w:cs="Arial"/>
          <w:sz w:val="24"/>
          <w:szCs w:val="24"/>
        </w:rPr>
        <w:t xml:space="preserve">annual </w:t>
      </w:r>
      <w:r w:rsidRPr="002E36EC">
        <w:rPr>
          <w:rFonts w:ascii="Arial" w:hAnsi="Arial" w:cs="Arial"/>
          <w:sz w:val="24"/>
          <w:szCs w:val="24"/>
        </w:rPr>
        <w:t xml:space="preserve">deferred pensions increase </w:t>
      </w:r>
      <w:r>
        <w:rPr>
          <w:rFonts w:ascii="Arial" w:hAnsi="Arial" w:cs="Arial"/>
          <w:sz w:val="24"/>
          <w:szCs w:val="24"/>
        </w:rPr>
        <w:t>process</w:t>
      </w:r>
      <w:r w:rsidRPr="002E36EC">
        <w:rPr>
          <w:rFonts w:ascii="Arial" w:hAnsi="Arial" w:cs="Arial"/>
          <w:sz w:val="24"/>
          <w:szCs w:val="24"/>
        </w:rPr>
        <w:t xml:space="preserve"> certain data errors are identified and pensions increase is blocked until they are resolved.  These </w:t>
      </w:r>
      <w:r>
        <w:rPr>
          <w:rFonts w:ascii="Arial" w:hAnsi="Arial" w:cs="Arial"/>
          <w:sz w:val="24"/>
          <w:szCs w:val="24"/>
        </w:rPr>
        <w:t xml:space="preserve">errors </w:t>
      </w:r>
      <w:r w:rsidRPr="002E36EC">
        <w:rPr>
          <w:rFonts w:ascii="Arial" w:hAnsi="Arial" w:cs="Arial"/>
          <w:sz w:val="24"/>
          <w:szCs w:val="24"/>
        </w:rPr>
        <w:t>include:</w:t>
      </w:r>
    </w:p>
    <w:p w14:paraId="3807FF1E" w14:textId="77777777" w:rsidR="00E56E1E" w:rsidRPr="002E36EC" w:rsidRDefault="00E56E1E" w:rsidP="00E56E1E">
      <w:pPr>
        <w:pStyle w:val="ListParagraph"/>
        <w:rPr>
          <w:rFonts w:ascii="Arial" w:hAnsi="Arial" w:cs="Arial"/>
          <w:sz w:val="24"/>
          <w:szCs w:val="24"/>
        </w:rPr>
      </w:pPr>
    </w:p>
    <w:p w14:paraId="25D2E4BD" w14:textId="77777777" w:rsidR="00E56E1E" w:rsidRDefault="00E56E1E" w:rsidP="00E56E1E">
      <w:pPr>
        <w:pStyle w:val="ListParagraph"/>
        <w:numPr>
          <w:ilvl w:val="0"/>
          <w:numId w:val="30"/>
        </w:numPr>
        <w:ind w:left="1418" w:hanging="567"/>
        <w:rPr>
          <w:rFonts w:ascii="Arial" w:hAnsi="Arial" w:cs="Arial"/>
          <w:sz w:val="24"/>
          <w:szCs w:val="24"/>
        </w:rPr>
      </w:pPr>
      <w:r w:rsidRPr="002E36EC">
        <w:rPr>
          <w:rFonts w:ascii="Arial" w:hAnsi="Arial" w:cs="Arial"/>
          <w:sz w:val="24"/>
          <w:szCs w:val="24"/>
        </w:rPr>
        <w:t>Incorrect elements present</w:t>
      </w:r>
      <w:r>
        <w:rPr>
          <w:rFonts w:ascii="Arial" w:hAnsi="Arial" w:cs="Arial"/>
          <w:sz w:val="24"/>
          <w:szCs w:val="24"/>
        </w:rPr>
        <w:t>,</w:t>
      </w:r>
    </w:p>
    <w:p w14:paraId="269DDB09" w14:textId="77777777" w:rsidR="00E56E1E" w:rsidRPr="002E36EC" w:rsidRDefault="00E56E1E" w:rsidP="00E56E1E">
      <w:pPr>
        <w:pStyle w:val="ListParagraph"/>
        <w:ind w:left="1418" w:hanging="567"/>
        <w:rPr>
          <w:rFonts w:ascii="Arial" w:hAnsi="Arial" w:cs="Arial"/>
          <w:sz w:val="24"/>
          <w:szCs w:val="24"/>
        </w:rPr>
      </w:pPr>
    </w:p>
    <w:p w14:paraId="10E8C0D7" w14:textId="77777777" w:rsidR="00E56E1E" w:rsidRDefault="00E56E1E" w:rsidP="00E56E1E">
      <w:pPr>
        <w:pStyle w:val="ListParagraph"/>
        <w:numPr>
          <w:ilvl w:val="0"/>
          <w:numId w:val="30"/>
        </w:numPr>
        <w:ind w:left="1418" w:hanging="567"/>
        <w:rPr>
          <w:rFonts w:ascii="Arial" w:hAnsi="Arial" w:cs="Arial"/>
          <w:sz w:val="24"/>
          <w:szCs w:val="24"/>
        </w:rPr>
      </w:pPr>
      <w:r w:rsidRPr="002E36EC">
        <w:rPr>
          <w:rFonts w:ascii="Arial" w:hAnsi="Arial" w:cs="Arial"/>
          <w:sz w:val="24"/>
          <w:szCs w:val="24"/>
        </w:rPr>
        <w:t>Spouse elements that don’t match member elements</w:t>
      </w:r>
      <w:r>
        <w:rPr>
          <w:rFonts w:ascii="Arial" w:hAnsi="Arial" w:cs="Arial"/>
          <w:sz w:val="24"/>
          <w:szCs w:val="24"/>
        </w:rPr>
        <w:t>,</w:t>
      </w:r>
      <w:r w:rsidRPr="002E36EC">
        <w:rPr>
          <w:rFonts w:ascii="Arial" w:hAnsi="Arial" w:cs="Arial"/>
          <w:sz w:val="24"/>
          <w:szCs w:val="24"/>
        </w:rPr>
        <w:t xml:space="preserve"> </w:t>
      </w:r>
    </w:p>
    <w:p w14:paraId="4C3AA00B" w14:textId="77777777" w:rsidR="00E56E1E" w:rsidRPr="002E36EC" w:rsidRDefault="00E56E1E" w:rsidP="00E56E1E">
      <w:pPr>
        <w:pStyle w:val="ListParagraph"/>
        <w:ind w:left="1418" w:hanging="567"/>
        <w:rPr>
          <w:rFonts w:ascii="Arial" w:hAnsi="Arial" w:cs="Arial"/>
          <w:sz w:val="24"/>
          <w:szCs w:val="24"/>
        </w:rPr>
      </w:pPr>
    </w:p>
    <w:p w14:paraId="001A98B9" w14:textId="77777777" w:rsidR="00E56E1E" w:rsidRDefault="00E56E1E" w:rsidP="00E56E1E">
      <w:pPr>
        <w:pStyle w:val="ListParagraph"/>
        <w:numPr>
          <w:ilvl w:val="0"/>
          <w:numId w:val="30"/>
        </w:numPr>
        <w:ind w:left="1418" w:hanging="567"/>
        <w:rPr>
          <w:rFonts w:ascii="Arial" w:hAnsi="Arial" w:cs="Arial"/>
          <w:sz w:val="24"/>
          <w:szCs w:val="24"/>
        </w:rPr>
      </w:pPr>
      <w:r w:rsidRPr="002E36EC">
        <w:rPr>
          <w:rFonts w:ascii="Arial" w:hAnsi="Arial" w:cs="Arial"/>
          <w:sz w:val="24"/>
          <w:szCs w:val="24"/>
        </w:rPr>
        <w:t>Incorrect dates for the first entry after the member is deferred</w:t>
      </w:r>
      <w:r>
        <w:rPr>
          <w:rFonts w:ascii="Arial" w:hAnsi="Arial" w:cs="Arial"/>
          <w:sz w:val="24"/>
          <w:szCs w:val="24"/>
        </w:rPr>
        <w:t>,</w:t>
      </w:r>
    </w:p>
    <w:p w14:paraId="176192B4" w14:textId="77777777" w:rsidR="00E56E1E" w:rsidRPr="002E36EC" w:rsidRDefault="00E56E1E" w:rsidP="00E56E1E">
      <w:pPr>
        <w:pStyle w:val="ListParagraph"/>
        <w:ind w:left="1418" w:hanging="567"/>
        <w:rPr>
          <w:rFonts w:ascii="Arial" w:hAnsi="Arial" w:cs="Arial"/>
          <w:sz w:val="24"/>
          <w:szCs w:val="24"/>
        </w:rPr>
      </w:pPr>
    </w:p>
    <w:p w14:paraId="1545BE4A" w14:textId="77777777" w:rsidR="00E56E1E" w:rsidRDefault="00E56E1E" w:rsidP="00E56E1E">
      <w:pPr>
        <w:pStyle w:val="ListParagraph"/>
        <w:numPr>
          <w:ilvl w:val="0"/>
          <w:numId w:val="30"/>
        </w:numPr>
        <w:ind w:left="1418" w:hanging="567"/>
        <w:rPr>
          <w:rFonts w:ascii="Arial" w:hAnsi="Arial" w:cs="Arial"/>
          <w:sz w:val="24"/>
          <w:szCs w:val="24"/>
        </w:rPr>
      </w:pPr>
      <w:r w:rsidRPr="002E36EC">
        <w:rPr>
          <w:rFonts w:ascii="Arial" w:hAnsi="Arial" w:cs="Arial"/>
          <w:sz w:val="24"/>
          <w:szCs w:val="24"/>
        </w:rPr>
        <w:t>Data errors are corrected to allow deferred pensions increase to run on to individual deferred folders.</w:t>
      </w:r>
    </w:p>
    <w:p w14:paraId="2FA1D5E3" w14:textId="77777777" w:rsidR="00E56E1E" w:rsidRPr="002E36EC" w:rsidRDefault="00E56E1E" w:rsidP="00E56E1E">
      <w:pPr>
        <w:pStyle w:val="ListParagraph"/>
        <w:rPr>
          <w:rFonts w:ascii="Arial" w:hAnsi="Arial" w:cs="Arial"/>
          <w:sz w:val="24"/>
          <w:szCs w:val="24"/>
        </w:rPr>
      </w:pPr>
    </w:p>
    <w:p w14:paraId="6E97298E" w14:textId="77777777" w:rsidR="00E56E1E" w:rsidRDefault="00E56E1E" w:rsidP="00E56E1E">
      <w:pPr>
        <w:rPr>
          <w:rFonts w:ascii="Arial" w:hAnsi="Arial" w:cs="Arial"/>
          <w:b/>
          <w:sz w:val="24"/>
          <w:szCs w:val="24"/>
        </w:rPr>
      </w:pPr>
      <w:r>
        <w:rPr>
          <w:rFonts w:ascii="Arial" w:hAnsi="Arial" w:cs="Arial"/>
          <w:b/>
          <w:sz w:val="24"/>
          <w:szCs w:val="24"/>
        </w:rPr>
        <w:t xml:space="preserve">6.6   Annual deferred benefit statements </w:t>
      </w:r>
    </w:p>
    <w:p w14:paraId="38221290" w14:textId="77777777" w:rsidR="00E56E1E" w:rsidRPr="002E36EC" w:rsidRDefault="00E56E1E" w:rsidP="00E56E1E">
      <w:pPr>
        <w:ind w:left="600"/>
        <w:rPr>
          <w:rFonts w:ascii="Arial" w:hAnsi="Arial" w:cs="Arial"/>
          <w:sz w:val="24"/>
          <w:szCs w:val="24"/>
        </w:rPr>
      </w:pPr>
      <w:r w:rsidRPr="002E36EC">
        <w:rPr>
          <w:rFonts w:ascii="Arial" w:hAnsi="Arial" w:cs="Arial"/>
          <w:sz w:val="24"/>
          <w:szCs w:val="24"/>
        </w:rPr>
        <w:t>Before producing the annual deferred benefit statements data errors that would result in potentially incorrect statements being produced are identified.  These include:</w:t>
      </w:r>
    </w:p>
    <w:p w14:paraId="0E2F0066" w14:textId="77777777" w:rsidR="00E56E1E" w:rsidRDefault="00E56E1E" w:rsidP="00E56E1E">
      <w:pPr>
        <w:pStyle w:val="ListParagraph"/>
        <w:numPr>
          <w:ilvl w:val="0"/>
          <w:numId w:val="31"/>
        </w:numPr>
        <w:ind w:hanging="11"/>
        <w:rPr>
          <w:rFonts w:ascii="Arial" w:hAnsi="Arial" w:cs="Arial"/>
          <w:sz w:val="24"/>
          <w:szCs w:val="24"/>
        </w:rPr>
      </w:pPr>
      <w:r w:rsidRPr="002E36EC">
        <w:rPr>
          <w:rFonts w:ascii="Arial" w:hAnsi="Arial" w:cs="Arial"/>
          <w:sz w:val="24"/>
          <w:szCs w:val="24"/>
        </w:rPr>
        <w:t>Deferred pensions increase not updated</w:t>
      </w:r>
      <w:r>
        <w:rPr>
          <w:rFonts w:ascii="Arial" w:hAnsi="Arial" w:cs="Arial"/>
          <w:sz w:val="24"/>
          <w:szCs w:val="24"/>
        </w:rPr>
        <w:t>,</w:t>
      </w:r>
      <w:r w:rsidRPr="002E36EC">
        <w:rPr>
          <w:rFonts w:ascii="Arial" w:hAnsi="Arial" w:cs="Arial"/>
          <w:sz w:val="24"/>
          <w:szCs w:val="24"/>
        </w:rPr>
        <w:t xml:space="preserve"> </w:t>
      </w:r>
    </w:p>
    <w:p w14:paraId="3C2EF39D" w14:textId="77777777" w:rsidR="00E56E1E" w:rsidRDefault="00E56E1E" w:rsidP="00E56E1E">
      <w:pPr>
        <w:pStyle w:val="ListParagraph"/>
        <w:ind w:hanging="11"/>
        <w:rPr>
          <w:rFonts w:ascii="Arial" w:hAnsi="Arial" w:cs="Arial"/>
          <w:sz w:val="24"/>
          <w:szCs w:val="24"/>
        </w:rPr>
      </w:pPr>
    </w:p>
    <w:p w14:paraId="7044AE77" w14:textId="77777777" w:rsidR="00E56E1E" w:rsidRDefault="00E56E1E" w:rsidP="00E56E1E">
      <w:pPr>
        <w:pStyle w:val="ListParagraph"/>
        <w:numPr>
          <w:ilvl w:val="0"/>
          <w:numId w:val="31"/>
        </w:numPr>
        <w:ind w:hanging="11"/>
        <w:rPr>
          <w:rFonts w:ascii="Arial" w:hAnsi="Arial" w:cs="Arial"/>
          <w:sz w:val="24"/>
          <w:szCs w:val="24"/>
        </w:rPr>
      </w:pPr>
      <w:r w:rsidRPr="002E36EC">
        <w:rPr>
          <w:rFonts w:ascii="Arial" w:hAnsi="Arial" w:cs="Arial"/>
          <w:sz w:val="24"/>
          <w:szCs w:val="24"/>
        </w:rPr>
        <w:t>Multiple ‘normal payment’ dates being held on the deferred folder</w:t>
      </w:r>
      <w:r>
        <w:rPr>
          <w:rFonts w:ascii="Arial" w:hAnsi="Arial" w:cs="Arial"/>
          <w:sz w:val="24"/>
          <w:szCs w:val="24"/>
        </w:rPr>
        <w:t>,</w:t>
      </w:r>
      <w:r w:rsidRPr="002E36EC">
        <w:rPr>
          <w:rFonts w:ascii="Arial" w:hAnsi="Arial" w:cs="Arial"/>
          <w:sz w:val="24"/>
          <w:szCs w:val="24"/>
        </w:rPr>
        <w:t xml:space="preserve"> </w:t>
      </w:r>
    </w:p>
    <w:p w14:paraId="15E602AB" w14:textId="77777777" w:rsidR="00E56E1E" w:rsidRPr="002E36EC" w:rsidRDefault="00E56E1E" w:rsidP="00E56E1E">
      <w:pPr>
        <w:pStyle w:val="ListParagraph"/>
        <w:ind w:hanging="11"/>
        <w:rPr>
          <w:rFonts w:ascii="Arial" w:hAnsi="Arial" w:cs="Arial"/>
          <w:sz w:val="24"/>
          <w:szCs w:val="24"/>
        </w:rPr>
      </w:pPr>
    </w:p>
    <w:p w14:paraId="34012247" w14:textId="77777777" w:rsidR="00E56E1E" w:rsidRDefault="00E56E1E" w:rsidP="00E56E1E">
      <w:pPr>
        <w:pStyle w:val="ListParagraph"/>
        <w:numPr>
          <w:ilvl w:val="0"/>
          <w:numId w:val="31"/>
        </w:numPr>
        <w:ind w:hanging="11"/>
        <w:rPr>
          <w:rFonts w:ascii="Arial" w:hAnsi="Arial" w:cs="Arial"/>
          <w:sz w:val="24"/>
          <w:szCs w:val="24"/>
        </w:rPr>
      </w:pPr>
      <w:r w:rsidRPr="002E36EC">
        <w:rPr>
          <w:rFonts w:ascii="Arial" w:hAnsi="Arial" w:cs="Arial"/>
          <w:sz w:val="24"/>
          <w:szCs w:val="24"/>
        </w:rPr>
        <w:t>Multiple entries for the same date shown on the pension history screen</w:t>
      </w:r>
      <w:r>
        <w:rPr>
          <w:rFonts w:ascii="Arial" w:hAnsi="Arial" w:cs="Arial"/>
          <w:sz w:val="24"/>
          <w:szCs w:val="24"/>
        </w:rPr>
        <w:t>,</w:t>
      </w:r>
    </w:p>
    <w:p w14:paraId="2A8CD490" w14:textId="77777777" w:rsidR="00E56E1E" w:rsidRPr="002E36EC" w:rsidRDefault="00E56E1E" w:rsidP="00E56E1E">
      <w:pPr>
        <w:pStyle w:val="ListParagraph"/>
        <w:ind w:hanging="11"/>
        <w:rPr>
          <w:rFonts w:ascii="Arial" w:hAnsi="Arial" w:cs="Arial"/>
          <w:sz w:val="24"/>
          <w:szCs w:val="24"/>
        </w:rPr>
      </w:pPr>
    </w:p>
    <w:p w14:paraId="77C358D3" w14:textId="77777777" w:rsidR="00E56E1E" w:rsidRDefault="00E56E1E" w:rsidP="00E56E1E">
      <w:pPr>
        <w:pStyle w:val="ListParagraph"/>
        <w:numPr>
          <w:ilvl w:val="0"/>
          <w:numId w:val="31"/>
        </w:numPr>
        <w:ind w:hanging="11"/>
        <w:rPr>
          <w:rFonts w:ascii="Arial" w:hAnsi="Arial" w:cs="Arial"/>
          <w:sz w:val="24"/>
          <w:szCs w:val="24"/>
        </w:rPr>
      </w:pPr>
      <w:r w:rsidRPr="002E36EC">
        <w:rPr>
          <w:rFonts w:ascii="Arial" w:hAnsi="Arial" w:cs="Arial"/>
          <w:sz w:val="24"/>
          <w:szCs w:val="24"/>
        </w:rPr>
        <w:t>Initial entries on the pension history missing</w:t>
      </w:r>
      <w:r>
        <w:rPr>
          <w:rFonts w:ascii="Arial" w:hAnsi="Arial" w:cs="Arial"/>
          <w:sz w:val="24"/>
          <w:szCs w:val="24"/>
        </w:rPr>
        <w:t>,</w:t>
      </w:r>
      <w:r w:rsidRPr="002E36EC">
        <w:rPr>
          <w:rFonts w:ascii="Arial" w:hAnsi="Arial" w:cs="Arial"/>
          <w:sz w:val="24"/>
          <w:szCs w:val="24"/>
        </w:rPr>
        <w:t xml:space="preserve"> </w:t>
      </w:r>
    </w:p>
    <w:p w14:paraId="1C337F8E" w14:textId="77777777" w:rsidR="00E56E1E" w:rsidRPr="002E36EC" w:rsidRDefault="00E56E1E" w:rsidP="00E56E1E">
      <w:pPr>
        <w:pStyle w:val="ListParagraph"/>
        <w:ind w:hanging="11"/>
        <w:rPr>
          <w:rFonts w:ascii="Arial" w:hAnsi="Arial" w:cs="Arial"/>
          <w:sz w:val="24"/>
          <w:szCs w:val="24"/>
        </w:rPr>
      </w:pPr>
    </w:p>
    <w:p w14:paraId="7EB12973" w14:textId="77777777" w:rsidR="00E56E1E" w:rsidRPr="002E36EC" w:rsidRDefault="00E56E1E" w:rsidP="00E56E1E">
      <w:pPr>
        <w:pStyle w:val="ListParagraph"/>
        <w:numPr>
          <w:ilvl w:val="0"/>
          <w:numId w:val="31"/>
        </w:numPr>
        <w:ind w:hanging="11"/>
        <w:rPr>
          <w:rFonts w:ascii="Arial" w:hAnsi="Arial" w:cs="Arial"/>
          <w:b/>
          <w:sz w:val="24"/>
          <w:szCs w:val="24"/>
        </w:rPr>
      </w:pPr>
      <w:r w:rsidRPr="002E36EC">
        <w:rPr>
          <w:rFonts w:ascii="Arial" w:hAnsi="Arial" w:cs="Arial"/>
          <w:sz w:val="24"/>
          <w:szCs w:val="24"/>
        </w:rPr>
        <w:t>Service start date mismatches</w:t>
      </w:r>
      <w:r>
        <w:rPr>
          <w:rFonts w:ascii="Arial" w:hAnsi="Arial" w:cs="Arial"/>
          <w:sz w:val="24"/>
          <w:szCs w:val="24"/>
        </w:rPr>
        <w:t>.</w:t>
      </w:r>
      <w:r w:rsidRPr="002E36EC">
        <w:rPr>
          <w:rFonts w:ascii="Arial" w:hAnsi="Arial" w:cs="Arial"/>
          <w:b/>
          <w:sz w:val="24"/>
          <w:szCs w:val="24"/>
        </w:rPr>
        <w:tab/>
      </w:r>
      <w:r w:rsidRPr="002E36EC">
        <w:rPr>
          <w:rFonts w:ascii="Arial" w:hAnsi="Arial" w:cs="Arial"/>
          <w:b/>
          <w:sz w:val="24"/>
          <w:szCs w:val="24"/>
        </w:rPr>
        <w:tab/>
      </w:r>
    </w:p>
    <w:p w14:paraId="6D9009D3" w14:textId="77777777" w:rsidR="00E56E1E" w:rsidRDefault="00E56E1E" w:rsidP="00E56E1E">
      <w:pPr>
        <w:tabs>
          <w:tab w:val="left" w:pos="284"/>
          <w:tab w:val="left" w:pos="567"/>
        </w:tabs>
        <w:ind w:left="567" w:hanging="567"/>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362E10">
        <w:rPr>
          <w:rFonts w:ascii="Arial" w:hAnsi="Arial" w:cs="Arial"/>
          <w:sz w:val="24"/>
          <w:szCs w:val="24"/>
        </w:rPr>
        <w:t xml:space="preserve">Once these errors are resolved and the records is </w:t>
      </w:r>
      <w:r>
        <w:rPr>
          <w:rFonts w:ascii="Arial" w:hAnsi="Arial" w:cs="Arial"/>
          <w:sz w:val="24"/>
          <w:szCs w:val="24"/>
        </w:rPr>
        <w:t xml:space="preserve">updated the deferred ABS will be </w:t>
      </w:r>
      <w:r w:rsidRPr="00362E10">
        <w:rPr>
          <w:rFonts w:ascii="Arial" w:hAnsi="Arial" w:cs="Arial"/>
          <w:sz w:val="24"/>
          <w:szCs w:val="24"/>
        </w:rPr>
        <w:t>released for production.</w:t>
      </w:r>
    </w:p>
    <w:p w14:paraId="49D5D6F7" w14:textId="77777777" w:rsidR="00E56E1E" w:rsidRPr="008F29F9" w:rsidRDefault="00E56E1E" w:rsidP="00E56E1E">
      <w:pPr>
        <w:ind w:left="284" w:hanging="284"/>
        <w:rPr>
          <w:rFonts w:ascii="Arial" w:hAnsi="Arial" w:cs="Arial"/>
          <w:b/>
          <w:sz w:val="24"/>
          <w:szCs w:val="24"/>
        </w:rPr>
      </w:pPr>
      <w:r>
        <w:rPr>
          <w:rFonts w:ascii="Arial" w:hAnsi="Arial" w:cs="Arial"/>
          <w:b/>
          <w:sz w:val="24"/>
          <w:szCs w:val="24"/>
        </w:rPr>
        <w:t xml:space="preserve">7 </w:t>
      </w:r>
      <w:r>
        <w:rPr>
          <w:rFonts w:ascii="Arial" w:hAnsi="Arial" w:cs="Arial"/>
          <w:b/>
          <w:sz w:val="24"/>
          <w:szCs w:val="24"/>
        </w:rPr>
        <w:tab/>
        <w:t>D</w:t>
      </w:r>
      <w:r w:rsidRPr="008F29F9">
        <w:rPr>
          <w:rFonts w:ascii="Arial" w:hAnsi="Arial" w:cs="Arial"/>
          <w:b/>
          <w:sz w:val="24"/>
          <w:szCs w:val="24"/>
        </w:rPr>
        <w:t>ata errors</w:t>
      </w:r>
    </w:p>
    <w:p w14:paraId="2BA4B08D" w14:textId="77777777" w:rsidR="00E56E1E" w:rsidRPr="008F29F9" w:rsidRDefault="00E56E1E" w:rsidP="00E56E1E">
      <w:pPr>
        <w:ind w:left="567"/>
        <w:rPr>
          <w:rFonts w:ascii="Arial" w:hAnsi="Arial" w:cs="Arial"/>
          <w:sz w:val="24"/>
          <w:szCs w:val="24"/>
        </w:rPr>
      </w:pPr>
      <w:r w:rsidRPr="008F29F9">
        <w:rPr>
          <w:rFonts w:ascii="Arial" w:hAnsi="Arial" w:cs="Arial"/>
          <w:sz w:val="24"/>
          <w:szCs w:val="24"/>
        </w:rPr>
        <w:t>When tackling data errors</w:t>
      </w:r>
      <w:r>
        <w:rPr>
          <w:rFonts w:ascii="Arial" w:hAnsi="Arial" w:cs="Arial"/>
          <w:sz w:val="24"/>
          <w:szCs w:val="24"/>
        </w:rPr>
        <w:t xml:space="preserve"> </w:t>
      </w:r>
      <w:r w:rsidRPr="008F29F9">
        <w:rPr>
          <w:rFonts w:ascii="Arial" w:hAnsi="Arial" w:cs="Arial"/>
          <w:sz w:val="24"/>
          <w:szCs w:val="24"/>
        </w:rPr>
        <w:t xml:space="preserve">the following considerations will be used when making the decision on the </w:t>
      </w:r>
      <w:r>
        <w:rPr>
          <w:rFonts w:ascii="Arial" w:hAnsi="Arial" w:cs="Arial"/>
          <w:sz w:val="24"/>
          <w:szCs w:val="24"/>
        </w:rPr>
        <w:t>priority of errors to be resolved</w:t>
      </w:r>
      <w:r w:rsidRPr="008F29F9">
        <w:rPr>
          <w:rFonts w:ascii="Arial" w:hAnsi="Arial" w:cs="Arial"/>
          <w:sz w:val="24"/>
          <w:szCs w:val="24"/>
        </w:rPr>
        <w:t>:</w:t>
      </w:r>
    </w:p>
    <w:p w14:paraId="6815DD7F" w14:textId="77777777" w:rsidR="00E56E1E" w:rsidRPr="008F29F9" w:rsidRDefault="00E56E1E" w:rsidP="00E56E1E">
      <w:pPr>
        <w:pStyle w:val="ListParagraph"/>
        <w:numPr>
          <w:ilvl w:val="0"/>
          <w:numId w:val="6"/>
        </w:numPr>
        <w:spacing w:after="0" w:line="240" w:lineRule="auto"/>
        <w:ind w:left="709" w:firstLine="142"/>
        <w:rPr>
          <w:rFonts w:ascii="Arial" w:hAnsi="Arial" w:cs="Arial"/>
          <w:sz w:val="24"/>
          <w:szCs w:val="24"/>
        </w:rPr>
      </w:pPr>
      <w:r w:rsidRPr="008F29F9">
        <w:rPr>
          <w:rFonts w:ascii="Arial" w:hAnsi="Arial" w:cs="Arial"/>
          <w:sz w:val="24"/>
          <w:szCs w:val="24"/>
        </w:rPr>
        <w:t>Priority identified on the error report</w:t>
      </w:r>
    </w:p>
    <w:p w14:paraId="29DF4DE5" w14:textId="77777777" w:rsidR="00E56E1E" w:rsidRDefault="00E56E1E" w:rsidP="00E56E1E">
      <w:pPr>
        <w:pStyle w:val="ListParagraph"/>
        <w:spacing w:after="0" w:line="240" w:lineRule="auto"/>
        <w:ind w:left="709" w:firstLine="142"/>
        <w:rPr>
          <w:rFonts w:ascii="Arial" w:hAnsi="Arial" w:cs="Arial"/>
          <w:sz w:val="24"/>
          <w:szCs w:val="24"/>
        </w:rPr>
      </w:pPr>
    </w:p>
    <w:p w14:paraId="76BC0E39" w14:textId="77777777" w:rsidR="00E56E1E" w:rsidRDefault="00E56E1E" w:rsidP="00E56E1E">
      <w:pPr>
        <w:pStyle w:val="ListParagraph"/>
        <w:numPr>
          <w:ilvl w:val="0"/>
          <w:numId w:val="6"/>
        </w:numPr>
        <w:spacing w:after="0" w:line="240" w:lineRule="auto"/>
        <w:ind w:left="709" w:firstLine="142"/>
        <w:rPr>
          <w:rFonts w:ascii="Arial" w:hAnsi="Arial" w:cs="Arial"/>
          <w:sz w:val="24"/>
          <w:szCs w:val="24"/>
        </w:rPr>
      </w:pPr>
      <w:r w:rsidRPr="008F29F9">
        <w:rPr>
          <w:rFonts w:ascii="Arial" w:hAnsi="Arial" w:cs="Arial"/>
          <w:sz w:val="24"/>
          <w:szCs w:val="24"/>
        </w:rPr>
        <w:t>Data improvement plans objectives</w:t>
      </w:r>
    </w:p>
    <w:p w14:paraId="277A9E37" w14:textId="77777777" w:rsidR="00E56E1E" w:rsidRPr="003B6700" w:rsidRDefault="00E56E1E" w:rsidP="00E56E1E">
      <w:pPr>
        <w:pStyle w:val="ListParagraph"/>
        <w:spacing w:after="0" w:line="240" w:lineRule="auto"/>
        <w:rPr>
          <w:rFonts w:ascii="Arial" w:hAnsi="Arial" w:cs="Arial"/>
          <w:sz w:val="24"/>
          <w:szCs w:val="24"/>
        </w:rPr>
      </w:pPr>
    </w:p>
    <w:p w14:paraId="2614610D" w14:textId="77777777" w:rsidR="00E56E1E" w:rsidRPr="00F91E38" w:rsidRDefault="00E56E1E" w:rsidP="00E56E1E">
      <w:pPr>
        <w:spacing w:after="0" w:line="240" w:lineRule="auto"/>
        <w:ind w:left="284" w:hanging="284"/>
        <w:rPr>
          <w:rFonts w:ascii="Arial" w:hAnsi="Arial" w:cs="Arial"/>
          <w:b/>
          <w:sz w:val="24"/>
          <w:szCs w:val="24"/>
        </w:rPr>
      </w:pPr>
      <w:r>
        <w:rPr>
          <w:rFonts w:ascii="Arial" w:hAnsi="Arial" w:cs="Arial"/>
          <w:b/>
          <w:sz w:val="24"/>
          <w:szCs w:val="24"/>
        </w:rPr>
        <w:t>8</w:t>
      </w:r>
      <w:r w:rsidRPr="00F91E38">
        <w:rPr>
          <w:rFonts w:ascii="Arial" w:hAnsi="Arial" w:cs="Arial"/>
          <w:b/>
          <w:sz w:val="24"/>
          <w:szCs w:val="24"/>
        </w:rPr>
        <w:t xml:space="preserve"> </w:t>
      </w:r>
      <w:r>
        <w:rPr>
          <w:rFonts w:ascii="Arial" w:hAnsi="Arial" w:cs="Arial"/>
          <w:b/>
          <w:sz w:val="24"/>
          <w:szCs w:val="24"/>
        </w:rPr>
        <w:tab/>
      </w:r>
      <w:r w:rsidRPr="00F91E38">
        <w:rPr>
          <w:rFonts w:ascii="Arial" w:hAnsi="Arial" w:cs="Arial"/>
          <w:b/>
          <w:sz w:val="24"/>
          <w:szCs w:val="24"/>
        </w:rPr>
        <w:t>Frequency</w:t>
      </w:r>
    </w:p>
    <w:p w14:paraId="76DBE49E" w14:textId="77777777" w:rsidR="00E56E1E" w:rsidRDefault="00E56E1E" w:rsidP="00E56E1E">
      <w:pPr>
        <w:spacing w:after="0" w:line="240" w:lineRule="auto"/>
        <w:ind w:left="567"/>
        <w:rPr>
          <w:rFonts w:ascii="Arial" w:hAnsi="Arial" w:cs="Arial"/>
          <w:sz w:val="24"/>
          <w:szCs w:val="24"/>
        </w:rPr>
      </w:pPr>
    </w:p>
    <w:p w14:paraId="6CDE8ABD" w14:textId="77777777" w:rsidR="00E56E1E" w:rsidRDefault="00E56E1E" w:rsidP="00E56E1E">
      <w:pPr>
        <w:spacing w:after="0" w:line="240" w:lineRule="auto"/>
        <w:ind w:left="567"/>
        <w:rPr>
          <w:rFonts w:ascii="Arial" w:hAnsi="Arial" w:cs="Arial"/>
          <w:sz w:val="24"/>
          <w:szCs w:val="24"/>
        </w:rPr>
      </w:pPr>
      <w:r>
        <w:rPr>
          <w:rFonts w:ascii="Arial" w:hAnsi="Arial" w:cs="Arial"/>
          <w:sz w:val="24"/>
          <w:szCs w:val="24"/>
        </w:rPr>
        <w:t>Data Quality reports will be run on a quarterly basis to measure the data quality scores and identify any further action that may be required.</w:t>
      </w:r>
    </w:p>
    <w:p w14:paraId="307D72EA" w14:textId="77777777" w:rsidR="00E56E1E" w:rsidRDefault="00E56E1E" w:rsidP="00E56E1E">
      <w:pPr>
        <w:spacing w:after="0" w:line="240" w:lineRule="auto"/>
        <w:ind w:left="567"/>
        <w:rPr>
          <w:rFonts w:ascii="Arial" w:hAnsi="Arial" w:cs="Arial"/>
          <w:sz w:val="24"/>
          <w:szCs w:val="24"/>
        </w:rPr>
      </w:pPr>
    </w:p>
    <w:p w14:paraId="57AE5765" w14:textId="77777777" w:rsidR="00E56E1E" w:rsidRPr="002E36EC" w:rsidRDefault="00E56E1E" w:rsidP="00E56E1E">
      <w:pPr>
        <w:tabs>
          <w:tab w:val="left" w:pos="142"/>
        </w:tabs>
        <w:spacing w:after="0" w:line="240" w:lineRule="auto"/>
        <w:rPr>
          <w:rFonts w:ascii="Arial" w:hAnsi="Arial" w:cs="Arial"/>
          <w:b/>
          <w:sz w:val="24"/>
          <w:szCs w:val="24"/>
        </w:rPr>
      </w:pPr>
      <w:r>
        <w:rPr>
          <w:rFonts w:ascii="Arial" w:hAnsi="Arial" w:cs="Arial"/>
          <w:b/>
          <w:sz w:val="24"/>
          <w:szCs w:val="24"/>
        </w:rPr>
        <w:t>9</w:t>
      </w:r>
      <w:r>
        <w:rPr>
          <w:rFonts w:ascii="Arial" w:hAnsi="Arial" w:cs="Arial"/>
          <w:b/>
          <w:sz w:val="24"/>
          <w:szCs w:val="24"/>
        </w:rPr>
        <w:tab/>
        <w:t xml:space="preserve"> A</w:t>
      </w:r>
      <w:r w:rsidRPr="002E36EC">
        <w:rPr>
          <w:rFonts w:ascii="Arial" w:hAnsi="Arial" w:cs="Arial"/>
          <w:b/>
          <w:sz w:val="24"/>
          <w:szCs w:val="24"/>
        </w:rPr>
        <w:t>ppendices</w:t>
      </w:r>
    </w:p>
    <w:p w14:paraId="565B961B" w14:textId="77777777" w:rsidR="00E56E1E" w:rsidRPr="00DB43BD" w:rsidRDefault="00E56E1E" w:rsidP="00E56E1E">
      <w:pPr>
        <w:pStyle w:val="ListParagraph"/>
        <w:tabs>
          <w:tab w:val="left" w:pos="567"/>
        </w:tabs>
        <w:spacing w:after="0" w:line="240" w:lineRule="auto"/>
        <w:ind w:left="1134"/>
        <w:rPr>
          <w:rFonts w:ascii="Arial" w:hAnsi="Arial" w:cs="Arial"/>
          <w:sz w:val="24"/>
          <w:szCs w:val="24"/>
        </w:rPr>
      </w:pPr>
    </w:p>
    <w:p w14:paraId="129A708A" w14:textId="639C0434" w:rsidR="00E56E1E" w:rsidRPr="007B63FA" w:rsidRDefault="00E56E1E" w:rsidP="00E56E1E">
      <w:pPr>
        <w:pStyle w:val="ListParagraph"/>
        <w:numPr>
          <w:ilvl w:val="0"/>
          <w:numId w:val="25"/>
        </w:numPr>
        <w:spacing w:after="0" w:line="240" w:lineRule="auto"/>
        <w:ind w:left="1134" w:hanging="283"/>
        <w:rPr>
          <w:rFonts w:ascii="Arial" w:hAnsi="Arial" w:cs="Arial"/>
          <w:sz w:val="24"/>
          <w:szCs w:val="24"/>
        </w:rPr>
      </w:pPr>
      <w:r w:rsidRPr="007B63FA">
        <w:rPr>
          <w:rFonts w:ascii="Arial" w:hAnsi="Arial" w:cs="Arial"/>
          <w:sz w:val="24"/>
          <w:szCs w:val="24"/>
        </w:rPr>
        <w:t xml:space="preserve">Appendix </w:t>
      </w:r>
      <w:r>
        <w:rPr>
          <w:rFonts w:ascii="Arial" w:hAnsi="Arial" w:cs="Arial"/>
          <w:sz w:val="24"/>
          <w:szCs w:val="24"/>
        </w:rPr>
        <w:t>A</w:t>
      </w:r>
      <w:r w:rsidRPr="007B63FA">
        <w:rPr>
          <w:rFonts w:ascii="Arial" w:hAnsi="Arial" w:cs="Arial"/>
          <w:sz w:val="24"/>
          <w:szCs w:val="24"/>
        </w:rPr>
        <w:t xml:space="preserve"> details the Data Quality scores</w:t>
      </w:r>
    </w:p>
    <w:p w14:paraId="49DC12BB" w14:textId="77777777" w:rsidR="00E56E1E" w:rsidRDefault="00E56E1E" w:rsidP="00E56E1E">
      <w:pPr>
        <w:pStyle w:val="ListParagraph"/>
        <w:spacing w:after="0" w:line="240" w:lineRule="auto"/>
        <w:ind w:left="1134" w:hanging="283"/>
        <w:rPr>
          <w:rFonts w:ascii="Arial" w:hAnsi="Arial" w:cs="Arial"/>
          <w:sz w:val="24"/>
          <w:szCs w:val="24"/>
        </w:rPr>
      </w:pPr>
    </w:p>
    <w:p w14:paraId="7222C0B7" w14:textId="77777777" w:rsidR="002815F0" w:rsidRDefault="002815F0" w:rsidP="002815F0">
      <w:pPr>
        <w:tabs>
          <w:tab w:val="left" w:pos="4395"/>
        </w:tabs>
      </w:pPr>
    </w:p>
    <w:p w14:paraId="3A4826B0" w14:textId="77777777" w:rsidR="008F29F9" w:rsidRDefault="008F29F9" w:rsidP="00126686">
      <w:pPr>
        <w:rPr>
          <w:rFonts w:ascii="Arial" w:hAnsi="Arial" w:cs="Arial"/>
          <w:sz w:val="24"/>
          <w:szCs w:val="24"/>
        </w:rPr>
      </w:pPr>
    </w:p>
    <w:p w14:paraId="7D0111AA" w14:textId="77777777" w:rsidR="00421636" w:rsidRDefault="00421636" w:rsidP="00126686"/>
    <w:p w14:paraId="2D0F9DE5" w14:textId="77777777" w:rsidR="007E4454" w:rsidRDefault="007E4454" w:rsidP="00126686">
      <w:r>
        <w:br w:type="page"/>
      </w:r>
    </w:p>
    <w:p w14:paraId="66253054" w14:textId="77777777" w:rsidR="000E651F" w:rsidRPr="00895B6D" w:rsidRDefault="000E651F" w:rsidP="000E651F">
      <w:pPr>
        <w:ind w:left="-709" w:firstLine="709"/>
        <w:rPr>
          <w:rFonts w:ascii="Calibri" w:eastAsia="Times New Roman" w:hAnsi="Calibri" w:cs="Arial"/>
          <w:b/>
          <w:sz w:val="24"/>
          <w:szCs w:val="24"/>
        </w:rPr>
      </w:pPr>
      <w:r>
        <w:rPr>
          <w:rFonts w:ascii="Calibri" w:eastAsia="Times New Roman" w:hAnsi="Calibri" w:cs="Arial"/>
          <w:b/>
          <w:sz w:val="24"/>
          <w:szCs w:val="24"/>
        </w:rPr>
        <w:lastRenderedPageBreak/>
        <w:t xml:space="preserve">Appendix A –Nottinghamshire Fire </w:t>
      </w:r>
      <w:r w:rsidRPr="00895B6D">
        <w:rPr>
          <w:rFonts w:ascii="Calibri" w:eastAsia="Times New Roman" w:hAnsi="Calibri" w:cs="Arial"/>
          <w:b/>
          <w:sz w:val="24"/>
          <w:szCs w:val="24"/>
        </w:rPr>
        <w:t>– Data Scores</w:t>
      </w:r>
    </w:p>
    <w:tbl>
      <w:tblPr>
        <w:tblStyle w:val="TableGrid2"/>
        <w:tblW w:w="6237" w:type="dxa"/>
        <w:tblInd w:w="108" w:type="dxa"/>
        <w:tblLook w:val="04A0" w:firstRow="1" w:lastRow="0" w:firstColumn="1" w:lastColumn="0" w:noHBand="0" w:noVBand="1"/>
      </w:tblPr>
      <w:tblGrid>
        <w:gridCol w:w="2552"/>
        <w:gridCol w:w="1842"/>
        <w:gridCol w:w="1843"/>
      </w:tblGrid>
      <w:tr w:rsidR="000E651F" w:rsidRPr="00895B6D" w14:paraId="0D6B763B" w14:textId="77777777" w:rsidTr="00243D89">
        <w:tc>
          <w:tcPr>
            <w:tcW w:w="2552" w:type="dxa"/>
          </w:tcPr>
          <w:p w14:paraId="3BBBEC7E" w14:textId="77777777" w:rsidR="000E651F" w:rsidRPr="00895B6D" w:rsidRDefault="000E651F" w:rsidP="00243D89">
            <w:pPr>
              <w:rPr>
                <w:rFonts w:ascii="Calibri" w:hAnsi="Calibri" w:cs="Arial"/>
                <w:b/>
                <w:sz w:val="24"/>
                <w:szCs w:val="24"/>
              </w:rPr>
            </w:pPr>
            <w:r w:rsidRPr="00895B6D">
              <w:rPr>
                <w:rFonts w:ascii="Calibri" w:hAnsi="Calibri" w:cs="Arial"/>
                <w:b/>
                <w:sz w:val="24"/>
                <w:szCs w:val="24"/>
              </w:rPr>
              <w:t>1992 scheme</w:t>
            </w:r>
          </w:p>
        </w:tc>
        <w:tc>
          <w:tcPr>
            <w:tcW w:w="1842" w:type="dxa"/>
          </w:tcPr>
          <w:p w14:paraId="336C7FC8" w14:textId="77777777" w:rsidR="000E651F" w:rsidRPr="00895B6D" w:rsidRDefault="000E651F" w:rsidP="00243D89">
            <w:pPr>
              <w:rPr>
                <w:rFonts w:ascii="Calibri" w:hAnsi="Calibri" w:cs="Arial"/>
                <w:b/>
                <w:sz w:val="24"/>
                <w:szCs w:val="24"/>
              </w:rPr>
            </w:pPr>
            <w:r>
              <w:rPr>
                <w:rFonts w:ascii="Calibri" w:hAnsi="Calibri" w:cs="Arial"/>
                <w:b/>
                <w:sz w:val="24"/>
                <w:szCs w:val="24"/>
              </w:rPr>
              <w:t>Feb 2021</w:t>
            </w:r>
          </w:p>
        </w:tc>
        <w:tc>
          <w:tcPr>
            <w:tcW w:w="1843" w:type="dxa"/>
          </w:tcPr>
          <w:p w14:paraId="646EE59C" w14:textId="77777777" w:rsidR="000E651F" w:rsidRPr="00895B6D" w:rsidRDefault="000E651F" w:rsidP="00243D89">
            <w:pPr>
              <w:rPr>
                <w:rFonts w:ascii="Calibri" w:hAnsi="Calibri" w:cs="Arial"/>
                <w:b/>
                <w:sz w:val="24"/>
                <w:szCs w:val="24"/>
              </w:rPr>
            </w:pPr>
            <w:r>
              <w:rPr>
                <w:rFonts w:ascii="Calibri" w:hAnsi="Calibri" w:cs="Arial"/>
                <w:b/>
                <w:sz w:val="24"/>
                <w:szCs w:val="24"/>
              </w:rPr>
              <w:t>Sept 2021</w:t>
            </w:r>
          </w:p>
        </w:tc>
      </w:tr>
      <w:tr w:rsidR="000E651F" w:rsidRPr="00895B6D" w14:paraId="7B011769" w14:textId="77777777" w:rsidTr="00243D89">
        <w:tc>
          <w:tcPr>
            <w:tcW w:w="2552" w:type="dxa"/>
          </w:tcPr>
          <w:p w14:paraId="6EA35FC4" w14:textId="77777777" w:rsidR="000E651F" w:rsidRPr="00895B6D" w:rsidRDefault="000E651F" w:rsidP="00243D89">
            <w:pPr>
              <w:rPr>
                <w:rFonts w:ascii="Calibri" w:hAnsi="Calibri" w:cs="Arial"/>
                <w:sz w:val="24"/>
                <w:szCs w:val="24"/>
              </w:rPr>
            </w:pPr>
            <w:r w:rsidRPr="00895B6D">
              <w:rPr>
                <w:rFonts w:ascii="Calibri" w:hAnsi="Calibri" w:cs="Arial"/>
                <w:sz w:val="24"/>
                <w:szCs w:val="24"/>
              </w:rPr>
              <w:t>Common</w:t>
            </w:r>
          </w:p>
        </w:tc>
        <w:tc>
          <w:tcPr>
            <w:tcW w:w="1842" w:type="dxa"/>
          </w:tcPr>
          <w:p w14:paraId="0C9DD419" w14:textId="77777777" w:rsidR="000E651F" w:rsidRPr="00895B6D" w:rsidRDefault="000E651F" w:rsidP="00243D89">
            <w:pPr>
              <w:rPr>
                <w:rFonts w:ascii="Calibri" w:hAnsi="Calibri" w:cs="Arial"/>
                <w:sz w:val="24"/>
                <w:szCs w:val="24"/>
              </w:rPr>
            </w:pPr>
            <w:r>
              <w:rPr>
                <w:rFonts w:ascii="Calibri" w:hAnsi="Calibri" w:cs="Arial"/>
                <w:sz w:val="24"/>
                <w:szCs w:val="24"/>
              </w:rPr>
              <w:t>96.79</w:t>
            </w:r>
          </w:p>
        </w:tc>
        <w:tc>
          <w:tcPr>
            <w:tcW w:w="1843" w:type="dxa"/>
          </w:tcPr>
          <w:p w14:paraId="1DDE7A28" w14:textId="77777777" w:rsidR="000E651F" w:rsidRPr="00895B6D" w:rsidRDefault="000E651F" w:rsidP="00243D89">
            <w:pPr>
              <w:rPr>
                <w:rFonts w:ascii="Calibri" w:hAnsi="Calibri" w:cs="Arial"/>
                <w:sz w:val="24"/>
                <w:szCs w:val="24"/>
              </w:rPr>
            </w:pPr>
            <w:r>
              <w:rPr>
                <w:rFonts w:ascii="Calibri" w:hAnsi="Calibri" w:cs="Arial"/>
                <w:sz w:val="24"/>
                <w:szCs w:val="24"/>
              </w:rPr>
              <w:t>96.25</w:t>
            </w:r>
          </w:p>
        </w:tc>
      </w:tr>
      <w:tr w:rsidR="000E651F" w:rsidRPr="00895B6D" w14:paraId="490890A9" w14:textId="77777777" w:rsidTr="00243D89">
        <w:tc>
          <w:tcPr>
            <w:tcW w:w="2552" w:type="dxa"/>
          </w:tcPr>
          <w:p w14:paraId="73EC10E6" w14:textId="77777777" w:rsidR="000E651F" w:rsidRPr="00895B6D" w:rsidRDefault="000E651F" w:rsidP="00243D89">
            <w:pPr>
              <w:rPr>
                <w:rFonts w:ascii="Calibri" w:hAnsi="Calibri" w:cs="Arial"/>
                <w:sz w:val="24"/>
                <w:szCs w:val="24"/>
              </w:rPr>
            </w:pPr>
            <w:r w:rsidRPr="00895B6D">
              <w:rPr>
                <w:rFonts w:ascii="Calibri" w:hAnsi="Calibri" w:cs="Arial"/>
                <w:sz w:val="24"/>
                <w:szCs w:val="24"/>
              </w:rPr>
              <w:t>Scheme Specific</w:t>
            </w:r>
          </w:p>
        </w:tc>
        <w:tc>
          <w:tcPr>
            <w:tcW w:w="1842" w:type="dxa"/>
          </w:tcPr>
          <w:p w14:paraId="42514E33" w14:textId="77777777" w:rsidR="000E651F" w:rsidRPr="00895B6D" w:rsidRDefault="000E651F" w:rsidP="00243D89">
            <w:pPr>
              <w:rPr>
                <w:rFonts w:ascii="Calibri" w:hAnsi="Calibri" w:cs="Arial"/>
                <w:sz w:val="24"/>
                <w:szCs w:val="24"/>
              </w:rPr>
            </w:pPr>
            <w:r>
              <w:rPr>
                <w:rFonts w:ascii="Calibri" w:hAnsi="Calibri" w:cs="Arial"/>
                <w:sz w:val="24"/>
                <w:szCs w:val="24"/>
              </w:rPr>
              <w:t>66.08</w:t>
            </w:r>
          </w:p>
        </w:tc>
        <w:tc>
          <w:tcPr>
            <w:tcW w:w="1843" w:type="dxa"/>
          </w:tcPr>
          <w:p w14:paraId="4431E41A" w14:textId="77777777" w:rsidR="000E651F" w:rsidRPr="00895B6D" w:rsidRDefault="000E651F" w:rsidP="00243D89">
            <w:pPr>
              <w:rPr>
                <w:rFonts w:ascii="Calibri" w:hAnsi="Calibri" w:cs="Arial"/>
                <w:sz w:val="24"/>
                <w:szCs w:val="24"/>
              </w:rPr>
            </w:pPr>
            <w:r>
              <w:rPr>
                <w:rFonts w:ascii="Calibri" w:hAnsi="Calibri" w:cs="Arial"/>
                <w:sz w:val="24"/>
                <w:szCs w:val="24"/>
              </w:rPr>
              <w:t>66.56</w:t>
            </w:r>
          </w:p>
        </w:tc>
      </w:tr>
      <w:tr w:rsidR="000E651F" w:rsidRPr="00895B6D" w14:paraId="31397A62" w14:textId="77777777" w:rsidTr="00243D89">
        <w:tc>
          <w:tcPr>
            <w:tcW w:w="2552" w:type="dxa"/>
          </w:tcPr>
          <w:p w14:paraId="68A28DB7" w14:textId="77777777" w:rsidR="000E651F" w:rsidRPr="00895B6D" w:rsidRDefault="000E651F" w:rsidP="00243D89">
            <w:pPr>
              <w:rPr>
                <w:rFonts w:ascii="Calibri" w:hAnsi="Calibri" w:cs="Arial"/>
                <w:b/>
                <w:sz w:val="24"/>
                <w:szCs w:val="24"/>
              </w:rPr>
            </w:pPr>
            <w:r w:rsidRPr="00895B6D">
              <w:rPr>
                <w:rFonts w:ascii="Calibri" w:hAnsi="Calibri" w:cs="Arial"/>
                <w:b/>
                <w:sz w:val="24"/>
                <w:szCs w:val="24"/>
              </w:rPr>
              <w:t xml:space="preserve">2006 </w:t>
            </w:r>
          </w:p>
        </w:tc>
        <w:tc>
          <w:tcPr>
            <w:tcW w:w="1842" w:type="dxa"/>
          </w:tcPr>
          <w:p w14:paraId="3F239C04" w14:textId="77777777" w:rsidR="000E651F" w:rsidRPr="00895B6D" w:rsidRDefault="000E651F" w:rsidP="00243D89">
            <w:pPr>
              <w:rPr>
                <w:rFonts w:ascii="Calibri" w:hAnsi="Calibri" w:cs="Arial"/>
                <w:sz w:val="24"/>
                <w:szCs w:val="24"/>
              </w:rPr>
            </w:pPr>
          </w:p>
        </w:tc>
        <w:tc>
          <w:tcPr>
            <w:tcW w:w="1843" w:type="dxa"/>
          </w:tcPr>
          <w:p w14:paraId="54252CEE" w14:textId="77777777" w:rsidR="000E651F" w:rsidRPr="00895B6D" w:rsidRDefault="000E651F" w:rsidP="00243D89">
            <w:pPr>
              <w:rPr>
                <w:rFonts w:ascii="Calibri" w:hAnsi="Calibri" w:cs="Arial"/>
                <w:sz w:val="24"/>
                <w:szCs w:val="24"/>
              </w:rPr>
            </w:pPr>
          </w:p>
        </w:tc>
      </w:tr>
      <w:tr w:rsidR="000E651F" w:rsidRPr="00895B6D" w14:paraId="4F629269" w14:textId="77777777" w:rsidTr="00243D89">
        <w:tc>
          <w:tcPr>
            <w:tcW w:w="2552" w:type="dxa"/>
          </w:tcPr>
          <w:p w14:paraId="0518C5DD" w14:textId="77777777" w:rsidR="000E651F" w:rsidRPr="00895B6D" w:rsidRDefault="000E651F" w:rsidP="00243D89">
            <w:pPr>
              <w:rPr>
                <w:rFonts w:ascii="Calibri" w:hAnsi="Calibri" w:cs="Arial"/>
                <w:sz w:val="24"/>
                <w:szCs w:val="24"/>
              </w:rPr>
            </w:pPr>
            <w:r w:rsidRPr="00895B6D">
              <w:rPr>
                <w:rFonts w:ascii="Calibri" w:hAnsi="Calibri" w:cs="Arial"/>
                <w:sz w:val="24"/>
                <w:szCs w:val="24"/>
              </w:rPr>
              <w:t xml:space="preserve">Common </w:t>
            </w:r>
          </w:p>
        </w:tc>
        <w:tc>
          <w:tcPr>
            <w:tcW w:w="1842" w:type="dxa"/>
          </w:tcPr>
          <w:p w14:paraId="226B74F8" w14:textId="77777777" w:rsidR="000E651F" w:rsidRPr="00895B6D" w:rsidRDefault="000E651F" w:rsidP="00243D89">
            <w:pPr>
              <w:rPr>
                <w:rFonts w:ascii="Calibri" w:hAnsi="Calibri" w:cs="Arial"/>
                <w:sz w:val="24"/>
                <w:szCs w:val="24"/>
              </w:rPr>
            </w:pPr>
            <w:r>
              <w:rPr>
                <w:rFonts w:ascii="Calibri" w:hAnsi="Calibri" w:cs="Arial"/>
                <w:sz w:val="24"/>
                <w:szCs w:val="24"/>
              </w:rPr>
              <w:t>81.17</w:t>
            </w:r>
          </w:p>
        </w:tc>
        <w:tc>
          <w:tcPr>
            <w:tcW w:w="1843" w:type="dxa"/>
          </w:tcPr>
          <w:p w14:paraId="0F732517" w14:textId="77777777" w:rsidR="000E651F" w:rsidRPr="00895B6D" w:rsidRDefault="000E651F" w:rsidP="00243D89">
            <w:pPr>
              <w:rPr>
                <w:rFonts w:ascii="Calibri" w:hAnsi="Calibri" w:cs="Arial"/>
                <w:sz w:val="24"/>
                <w:szCs w:val="24"/>
              </w:rPr>
            </w:pPr>
            <w:r>
              <w:rPr>
                <w:rFonts w:ascii="Calibri" w:hAnsi="Calibri" w:cs="Arial"/>
                <w:sz w:val="24"/>
                <w:szCs w:val="24"/>
              </w:rPr>
              <w:t>87.8</w:t>
            </w:r>
          </w:p>
        </w:tc>
      </w:tr>
      <w:tr w:rsidR="000E651F" w:rsidRPr="00895B6D" w14:paraId="508F82D2" w14:textId="77777777" w:rsidTr="00243D89">
        <w:tc>
          <w:tcPr>
            <w:tcW w:w="2552" w:type="dxa"/>
          </w:tcPr>
          <w:p w14:paraId="1397A2AF" w14:textId="77777777" w:rsidR="000E651F" w:rsidRPr="00895B6D" w:rsidRDefault="000E651F" w:rsidP="00243D89">
            <w:pPr>
              <w:rPr>
                <w:rFonts w:ascii="Calibri" w:hAnsi="Calibri" w:cs="Arial"/>
                <w:sz w:val="24"/>
                <w:szCs w:val="24"/>
              </w:rPr>
            </w:pPr>
            <w:r w:rsidRPr="00895B6D">
              <w:rPr>
                <w:rFonts w:ascii="Calibri" w:hAnsi="Calibri" w:cs="Arial"/>
                <w:sz w:val="24"/>
                <w:szCs w:val="24"/>
              </w:rPr>
              <w:t xml:space="preserve">Scheme Specific </w:t>
            </w:r>
          </w:p>
        </w:tc>
        <w:tc>
          <w:tcPr>
            <w:tcW w:w="1842" w:type="dxa"/>
          </w:tcPr>
          <w:p w14:paraId="3B48D390" w14:textId="77777777" w:rsidR="000E651F" w:rsidRPr="00895B6D" w:rsidRDefault="000E651F" w:rsidP="00243D89">
            <w:pPr>
              <w:rPr>
                <w:rFonts w:ascii="Calibri" w:hAnsi="Calibri" w:cs="Arial"/>
                <w:sz w:val="24"/>
                <w:szCs w:val="24"/>
              </w:rPr>
            </w:pPr>
            <w:r>
              <w:rPr>
                <w:rFonts w:ascii="Calibri" w:hAnsi="Calibri" w:cs="Arial"/>
                <w:sz w:val="24"/>
                <w:szCs w:val="24"/>
              </w:rPr>
              <w:t>68.16</w:t>
            </w:r>
          </w:p>
        </w:tc>
        <w:tc>
          <w:tcPr>
            <w:tcW w:w="1843" w:type="dxa"/>
          </w:tcPr>
          <w:p w14:paraId="73E919CB" w14:textId="77777777" w:rsidR="000E651F" w:rsidRPr="00895B6D" w:rsidRDefault="000E651F" w:rsidP="00243D89">
            <w:pPr>
              <w:rPr>
                <w:rFonts w:ascii="Calibri" w:hAnsi="Calibri" w:cs="Arial"/>
                <w:sz w:val="24"/>
                <w:szCs w:val="24"/>
              </w:rPr>
            </w:pPr>
            <w:r>
              <w:rPr>
                <w:rFonts w:ascii="Calibri" w:hAnsi="Calibri" w:cs="Arial"/>
                <w:sz w:val="24"/>
                <w:szCs w:val="24"/>
              </w:rPr>
              <w:t>96.10</w:t>
            </w:r>
          </w:p>
        </w:tc>
      </w:tr>
      <w:tr w:rsidR="000E651F" w:rsidRPr="00895B6D" w14:paraId="27F36250" w14:textId="77777777" w:rsidTr="00243D89">
        <w:tc>
          <w:tcPr>
            <w:tcW w:w="2552" w:type="dxa"/>
          </w:tcPr>
          <w:p w14:paraId="2C9A98B8" w14:textId="77777777" w:rsidR="000E651F" w:rsidRPr="00895B6D" w:rsidRDefault="000E651F" w:rsidP="00243D89">
            <w:pPr>
              <w:rPr>
                <w:rFonts w:ascii="Calibri" w:hAnsi="Calibri" w:cs="Arial"/>
                <w:b/>
                <w:sz w:val="24"/>
                <w:szCs w:val="24"/>
              </w:rPr>
            </w:pPr>
            <w:r w:rsidRPr="00895B6D">
              <w:rPr>
                <w:rFonts w:ascii="Calibri" w:hAnsi="Calibri" w:cs="Arial"/>
                <w:b/>
                <w:sz w:val="24"/>
                <w:szCs w:val="24"/>
              </w:rPr>
              <w:t>2006 modified</w:t>
            </w:r>
          </w:p>
        </w:tc>
        <w:tc>
          <w:tcPr>
            <w:tcW w:w="1842" w:type="dxa"/>
          </w:tcPr>
          <w:p w14:paraId="41E189EF" w14:textId="77777777" w:rsidR="000E651F" w:rsidRPr="00895B6D" w:rsidRDefault="000E651F" w:rsidP="00243D89">
            <w:pPr>
              <w:rPr>
                <w:rFonts w:ascii="Calibri" w:hAnsi="Calibri" w:cs="Arial"/>
                <w:sz w:val="24"/>
                <w:szCs w:val="24"/>
              </w:rPr>
            </w:pPr>
          </w:p>
        </w:tc>
        <w:tc>
          <w:tcPr>
            <w:tcW w:w="1843" w:type="dxa"/>
          </w:tcPr>
          <w:p w14:paraId="04756D6B" w14:textId="77777777" w:rsidR="000E651F" w:rsidRPr="00895B6D" w:rsidRDefault="000E651F" w:rsidP="00243D89">
            <w:pPr>
              <w:rPr>
                <w:rFonts w:ascii="Calibri" w:hAnsi="Calibri" w:cs="Arial"/>
                <w:sz w:val="24"/>
                <w:szCs w:val="24"/>
              </w:rPr>
            </w:pPr>
          </w:p>
        </w:tc>
      </w:tr>
      <w:tr w:rsidR="000E651F" w:rsidRPr="00895B6D" w14:paraId="4FA55632" w14:textId="77777777" w:rsidTr="00243D89">
        <w:tc>
          <w:tcPr>
            <w:tcW w:w="2552" w:type="dxa"/>
          </w:tcPr>
          <w:p w14:paraId="3F0F52A2" w14:textId="77777777" w:rsidR="000E651F" w:rsidRPr="00895B6D" w:rsidRDefault="000E651F" w:rsidP="00243D89">
            <w:pPr>
              <w:rPr>
                <w:rFonts w:ascii="Calibri" w:hAnsi="Calibri" w:cs="Arial"/>
                <w:sz w:val="24"/>
                <w:szCs w:val="24"/>
              </w:rPr>
            </w:pPr>
            <w:r w:rsidRPr="00895B6D">
              <w:rPr>
                <w:rFonts w:ascii="Calibri" w:hAnsi="Calibri" w:cs="Arial"/>
                <w:sz w:val="24"/>
                <w:szCs w:val="24"/>
              </w:rPr>
              <w:t>Common</w:t>
            </w:r>
          </w:p>
        </w:tc>
        <w:tc>
          <w:tcPr>
            <w:tcW w:w="1842" w:type="dxa"/>
          </w:tcPr>
          <w:p w14:paraId="49E1D3D6" w14:textId="77777777" w:rsidR="000E651F" w:rsidRPr="00895B6D" w:rsidRDefault="000E651F" w:rsidP="00243D89">
            <w:pPr>
              <w:rPr>
                <w:rFonts w:ascii="Calibri" w:hAnsi="Calibri" w:cs="Arial"/>
                <w:sz w:val="24"/>
                <w:szCs w:val="24"/>
              </w:rPr>
            </w:pPr>
            <w:r>
              <w:rPr>
                <w:rFonts w:ascii="Calibri" w:hAnsi="Calibri" w:cs="Arial"/>
                <w:sz w:val="24"/>
                <w:szCs w:val="24"/>
              </w:rPr>
              <w:t>89.25</w:t>
            </w:r>
          </w:p>
        </w:tc>
        <w:tc>
          <w:tcPr>
            <w:tcW w:w="1843" w:type="dxa"/>
          </w:tcPr>
          <w:p w14:paraId="7788A16A" w14:textId="77777777" w:rsidR="000E651F" w:rsidRPr="00895B6D" w:rsidRDefault="000E651F" w:rsidP="00243D89">
            <w:pPr>
              <w:rPr>
                <w:rFonts w:ascii="Calibri" w:hAnsi="Calibri" w:cs="Arial"/>
                <w:sz w:val="24"/>
                <w:szCs w:val="24"/>
              </w:rPr>
            </w:pPr>
            <w:r>
              <w:rPr>
                <w:rFonts w:ascii="Calibri" w:hAnsi="Calibri" w:cs="Arial"/>
                <w:sz w:val="24"/>
                <w:szCs w:val="24"/>
              </w:rPr>
              <w:t>92.66</w:t>
            </w:r>
          </w:p>
        </w:tc>
      </w:tr>
      <w:tr w:rsidR="000E651F" w:rsidRPr="00895B6D" w14:paraId="47CED46C" w14:textId="77777777" w:rsidTr="00243D89">
        <w:tc>
          <w:tcPr>
            <w:tcW w:w="2552" w:type="dxa"/>
          </w:tcPr>
          <w:p w14:paraId="14E88B37" w14:textId="77777777" w:rsidR="000E651F" w:rsidRPr="00895B6D" w:rsidRDefault="000E651F" w:rsidP="00243D89">
            <w:pPr>
              <w:rPr>
                <w:rFonts w:ascii="Calibri" w:hAnsi="Calibri" w:cs="Arial"/>
                <w:sz w:val="24"/>
                <w:szCs w:val="24"/>
              </w:rPr>
            </w:pPr>
            <w:r w:rsidRPr="00895B6D">
              <w:rPr>
                <w:rFonts w:ascii="Calibri" w:hAnsi="Calibri" w:cs="Arial"/>
                <w:sz w:val="24"/>
                <w:szCs w:val="24"/>
              </w:rPr>
              <w:t xml:space="preserve">Scheme Specific </w:t>
            </w:r>
          </w:p>
        </w:tc>
        <w:tc>
          <w:tcPr>
            <w:tcW w:w="1842" w:type="dxa"/>
          </w:tcPr>
          <w:p w14:paraId="383188A9" w14:textId="77777777" w:rsidR="000E651F" w:rsidRPr="00895B6D" w:rsidRDefault="000E651F" w:rsidP="00243D89">
            <w:pPr>
              <w:rPr>
                <w:rFonts w:ascii="Calibri" w:hAnsi="Calibri" w:cs="Arial"/>
                <w:sz w:val="24"/>
                <w:szCs w:val="24"/>
              </w:rPr>
            </w:pPr>
            <w:r>
              <w:rPr>
                <w:rFonts w:ascii="Calibri" w:hAnsi="Calibri" w:cs="Arial"/>
                <w:sz w:val="24"/>
                <w:szCs w:val="24"/>
              </w:rPr>
              <w:t>0.00</w:t>
            </w:r>
          </w:p>
        </w:tc>
        <w:tc>
          <w:tcPr>
            <w:tcW w:w="1843" w:type="dxa"/>
          </w:tcPr>
          <w:p w14:paraId="5F548067" w14:textId="77777777" w:rsidR="000E651F" w:rsidRPr="00895B6D" w:rsidRDefault="000E651F" w:rsidP="00243D89">
            <w:pPr>
              <w:rPr>
                <w:rFonts w:ascii="Calibri" w:hAnsi="Calibri" w:cs="Arial"/>
                <w:sz w:val="24"/>
                <w:szCs w:val="24"/>
              </w:rPr>
            </w:pPr>
            <w:r>
              <w:rPr>
                <w:rFonts w:ascii="Calibri" w:hAnsi="Calibri" w:cs="Arial"/>
                <w:sz w:val="24"/>
                <w:szCs w:val="24"/>
              </w:rPr>
              <w:t>80.73</w:t>
            </w:r>
          </w:p>
        </w:tc>
      </w:tr>
      <w:tr w:rsidR="000E651F" w:rsidRPr="00895B6D" w14:paraId="47FD8590" w14:textId="77777777" w:rsidTr="00243D89">
        <w:tc>
          <w:tcPr>
            <w:tcW w:w="2552" w:type="dxa"/>
          </w:tcPr>
          <w:p w14:paraId="64B80760" w14:textId="77777777" w:rsidR="000E651F" w:rsidRPr="00895B6D" w:rsidRDefault="000E651F" w:rsidP="00243D89">
            <w:pPr>
              <w:rPr>
                <w:rFonts w:ascii="Calibri" w:hAnsi="Calibri" w:cs="Arial"/>
                <w:b/>
                <w:sz w:val="24"/>
                <w:szCs w:val="24"/>
              </w:rPr>
            </w:pPr>
            <w:r w:rsidRPr="00895B6D">
              <w:rPr>
                <w:rFonts w:ascii="Calibri" w:hAnsi="Calibri" w:cs="Arial"/>
                <w:b/>
                <w:sz w:val="24"/>
                <w:szCs w:val="24"/>
              </w:rPr>
              <w:t xml:space="preserve">2015 </w:t>
            </w:r>
          </w:p>
        </w:tc>
        <w:tc>
          <w:tcPr>
            <w:tcW w:w="1842" w:type="dxa"/>
          </w:tcPr>
          <w:p w14:paraId="02FFED68" w14:textId="77777777" w:rsidR="000E651F" w:rsidRPr="00895B6D" w:rsidRDefault="000E651F" w:rsidP="00243D89">
            <w:pPr>
              <w:rPr>
                <w:rFonts w:ascii="Calibri" w:hAnsi="Calibri" w:cs="Arial"/>
                <w:sz w:val="24"/>
                <w:szCs w:val="24"/>
              </w:rPr>
            </w:pPr>
          </w:p>
        </w:tc>
        <w:tc>
          <w:tcPr>
            <w:tcW w:w="1843" w:type="dxa"/>
          </w:tcPr>
          <w:p w14:paraId="2F43681A" w14:textId="77777777" w:rsidR="000E651F" w:rsidRPr="00895B6D" w:rsidRDefault="000E651F" w:rsidP="00243D89">
            <w:pPr>
              <w:rPr>
                <w:rFonts w:ascii="Calibri" w:hAnsi="Calibri" w:cs="Arial"/>
                <w:sz w:val="24"/>
                <w:szCs w:val="24"/>
              </w:rPr>
            </w:pPr>
          </w:p>
        </w:tc>
      </w:tr>
      <w:tr w:rsidR="000E651F" w:rsidRPr="00895B6D" w14:paraId="296EF510" w14:textId="77777777" w:rsidTr="00243D89">
        <w:tc>
          <w:tcPr>
            <w:tcW w:w="2552" w:type="dxa"/>
          </w:tcPr>
          <w:p w14:paraId="63F9C72B" w14:textId="77777777" w:rsidR="000E651F" w:rsidRPr="00895B6D" w:rsidRDefault="000E651F" w:rsidP="00243D89">
            <w:pPr>
              <w:rPr>
                <w:rFonts w:ascii="Calibri" w:hAnsi="Calibri" w:cs="Arial"/>
                <w:sz w:val="24"/>
                <w:szCs w:val="24"/>
              </w:rPr>
            </w:pPr>
            <w:r w:rsidRPr="00895B6D">
              <w:rPr>
                <w:rFonts w:ascii="Calibri" w:hAnsi="Calibri" w:cs="Arial"/>
                <w:sz w:val="24"/>
                <w:szCs w:val="24"/>
              </w:rPr>
              <w:t>Common</w:t>
            </w:r>
          </w:p>
        </w:tc>
        <w:tc>
          <w:tcPr>
            <w:tcW w:w="1842" w:type="dxa"/>
          </w:tcPr>
          <w:p w14:paraId="005A9F02" w14:textId="77777777" w:rsidR="000E651F" w:rsidRPr="00895B6D" w:rsidRDefault="000E651F" w:rsidP="00243D89">
            <w:pPr>
              <w:rPr>
                <w:rFonts w:ascii="Calibri" w:hAnsi="Calibri" w:cs="Arial"/>
                <w:sz w:val="24"/>
                <w:szCs w:val="24"/>
              </w:rPr>
            </w:pPr>
            <w:r>
              <w:rPr>
                <w:rFonts w:ascii="Calibri" w:hAnsi="Calibri" w:cs="Arial"/>
                <w:sz w:val="24"/>
                <w:szCs w:val="24"/>
              </w:rPr>
              <w:t>98.65</w:t>
            </w:r>
          </w:p>
        </w:tc>
        <w:tc>
          <w:tcPr>
            <w:tcW w:w="1843" w:type="dxa"/>
          </w:tcPr>
          <w:p w14:paraId="2F92AFCC" w14:textId="77777777" w:rsidR="000E651F" w:rsidRPr="00895B6D" w:rsidRDefault="000E651F" w:rsidP="00243D89">
            <w:pPr>
              <w:rPr>
                <w:rFonts w:ascii="Calibri" w:hAnsi="Calibri" w:cs="Arial"/>
                <w:sz w:val="24"/>
                <w:szCs w:val="24"/>
              </w:rPr>
            </w:pPr>
            <w:r>
              <w:rPr>
                <w:rFonts w:ascii="Calibri" w:hAnsi="Calibri" w:cs="Arial"/>
                <w:sz w:val="24"/>
                <w:szCs w:val="24"/>
              </w:rPr>
              <w:t>98.54</w:t>
            </w:r>
          </w:p>
        </w:tc>
      </w:tr>
      <w:tr w:rsidR="000E651F" w:rsidRPr="00895B6D" w14:paraId="4AB3524F" w14:textId="77777777" w:rsidTr="00243D89">
        <w:tc>
          <w:tcPr>
            <w:tcW w:w="2552" w:type="dxa"/>
          </w:tcPr>
          <w:p w14:paraId="20BC2169" w14:textId="77777777" w:rsidR="000E651F" w:rsidRPr="00895B6D" w:rsidRDefault="000E651F" w:rsidP="00243D89">
            <w:pPr>
              <w:rPr>
                <w:rFonts w:ascii="Calibri" w:hAnsi="Calibri" w:cs="Arial"/>
                <w:sz w:val="24"/>
                <w:szCs w:val="24"/>
              </w:rPr>
            </w:pPr>
            <w:r w:rsidRPr="00895B6D">
              <w:rPr>
                <w:rFonts w:ascii="Calibri" w:hAnsi="Calibri" w:cs="Arial"/>
                <w:sz w:val="24"/>
                <w:szCs w:val="24"/>
              </w:rPr>
              <w:t xml:space="preserve">Scheme Specific </w:t>
            </w:r>
          </w:p>
        </w:tc>
        <w:tc>
          <w:tcPr>
            <w:tcW w:w="1842" w:type="dxa"/>
          </w:tcPr>
          <w:p w14:paraId="6C5A6E44" w14:textId="77777777" w:rsidR="000E651F" w:rsidRPr="00895B6D" w:rsidRDefault="000E651F" w:rsidP="00243D89">
            <w:pPr>
              <w:rPr>
                <w:rFonts w:ascii="Calibri" w:hAnsi="Calibri" w:cs="Arial"/>
                <w:sz w:val="24"/>
                <w:szCs w:val="24"/>
              </w:rPr>
            </w:pPr>
            <w:r>
              <w:rPr>
                <w:rFonts w:ascii="Calibri" w:hAnsi="Calibri" w:cs="Arial"/>
                <w:sz w:val="24"/>
                <w:szCs w:val="24"/>
              </w:rPr>
              <w:t>93.50</w:t>
            </w:r>
          </w:p>
        </w:tc>
        <w:tc>
          <w:tcPr>
            <w:tcW w:w="1843" w:type="dxa"/>
          </w:tcPr>
          <w:p w14:paraId="64451E96" w14:textId="77777777" w:rsidR="000E651F" w:rsidRPr="00895B6D" w:rsidRDefault="000E651F" w:rsidP="00243D89">
            <w:pPr>
              <w:rPr>
                <w:rFonts w:ascii="Calibri" w:hAnsi="Calibri" w:cs="Arial"/>
                <w:sz w:val="24"/>
                <w:szCs w:val="24"/>
              </w:rPr>
            </w:pPr>
            <w:r>
              <w:rPr>
                <w:rFonts w:ascii="Calibri" w:hAnsi="Calibri" w:cs="Arial"/>
                <w:sz w:val="24"/>
                <w:szCs w:val="24"/>
              </w:rPr>
              <w:t>97.34</w:t>
            </w:r>
          </w:p>
        </w:tc>
      </w:tr>
      <w:tr w:rsidR="000E651F" w:rsidRPr="00895B6D" w14:paraId="6F4C572B" w14:textId="77777777" w:rsidTr="00243D89">
        <w:tc>
          <w:tcPr>
            <w:tcW w:w="2552" w:type="dxa"/>
          </w:tcPr>
          <w:p w14:paraId="5C69772A" w14:textId="77777777" w:rsidR="000E651F" w:rsidRPr="00895B6D" w:rsidRDefault="000E651F" w:rsidP="00243D89">
            <w:pPr>
              <w:rPr>
                <w:rFonts w:ascii="Calibri" w:hAnsi="Calibri" w:cs="Arial"/>
                <w:b/>
                <w:sz w:val="24"/>
                <w:szCs w:val="24"/>
              </w:rPr>
            </w:pPr>
            <w:r w:rsidRPr="00895B6D">
              <w:rPr>
                <w:rFonts w:ascii="Calibri" w:hAnsi="Calibri" w:cs="Arial"/>
                <w:b/>
                <w:sz w:val="24"/>
                <w:szCs w:val="24"/>
              </w:rPr>
              <w:t>2015 modified</w:t>
            </w:r>
          </w:p>
        </w:tc>
        <w:tc>
          <w:tcPr>
            <w:tcW w:w="1842" w:type="dxa"/>
          </w:tcPr>
          <w:p w14:paraId="550D77A0" w14:textId="77777777" w:rsidR="000E651F" w:rsidRPr="00895B6D" w:rsidRDefault="000E651F" w:rsidP="00243D89">
            <w:pPr>
              <w:rPr>
                <w:rFonts w:ascii="Calibri" w:hAnsi="Calibri" w:cs="Arial"/>
                <w:sz w:val="24"/>
                <w:szCs w:val="24"/>
              </w:rPr>
            </w:pPr>
          </w:p>
        </w:tc>
        <w:tc>
          <w:tcPr>
            <w:tcW w:w="1843" w:type="dxa"/>
          </w:tcPr>
          <w:p w14:paraId="00B30826" w14:textId="77777777" w:rsidR="000E651F" w:rsidRPr="00895B6D" w:rsidRDefault="000E651F" w:rsidP="00243D89">
            <w:pPr>
              <w:rPr>
                <w:rFonts w:ascii="Calibri" w:hAnsi="Calibri" w:cs="Arial"/>
                <w:sz w:val="24"/>
                <w:szCs w:val="24"/>
              </w:rPr>
            </w:pPr>
          </w:p>
        </w:tc>
      </w:tr>
      <w:tr w:rsidR="000E651F" w:rsidRPr="00895B6D" w14:paraId="7F021E7F" w14:textId="77777777" w:rsidTr="00243D89">
        <w:tc>
          <w:tcPr>
            <w:tcW w:w="2552" w:type="dxa"/>
          </w:tcPr>
          <w:p w14:paraId="5EB903C2" w14:textId="77777777" w:rsidR="000E651F" w:rsidRPr="00895B6D" w:rsidRDefault="000E651F" w:rsidP="00243D89">
            <w:pPr>
              <w:rPr>
                <w:rFonts w:ascii="Calibri" w:hAnsi="Calibri" w:cs="Arial"/>
                <w:sz w:val="24"/>
                <w:szCs w:val="24"/>
              </w:rPr>
            </w:pPr>
            <w:r w:rsidRPr="00895B6D">
              <w:rPr>
                <w:rFonts w:ascii="Calibri" w:hAnsi="Calibri" w:cs="Arial"/>
                <w:sz w:val="24"/>
                <w:szCs w:val="24"/>
              </w:rPr>
              <w:t>Common</w:t>
            </w:r>
          </w:p>
        </w:tc>
        <w:tc>
          <w:tcPr>
            <w:tcW w:w="1842" w:type="dxa"/>
          </w:tcPr>
          <w:p w14:paraId="7AD20782" w14:textId="77777777" w:rsidR="000E651F" w:rsidRPr="00895B6D" w:rsidRDefault="000E651F" w:rsidP="00243D89">
            <w:pPr>
              <w:rPr>
                <w:rFonts w:ascii="Calibri" w:hAnsi="Calibri" w:cs="Arial"/>
                <w:sz w:val="24"/>
                <w:szCs w:val="24"/>
              </w:rPr>
            </w:pPr>
            <w:r w:rsidRPr="00895B6D">
              <w:rPr>
                <w:rFonts w:ascii="Calibri" w:hAnsi="Calibri" w:cs="Arial"/>
                <w:sz w:val="24"/>
                <w:szCs w:val="24"/>
              </w:rPr>
              <w:t>100.00</w:t>
            </w:r>
          </w:p>
        </w:tc>
        <w:tc>
          <w:tcPr>
            <w:tcW w:w="1843" w:type="dxa"/>
          </w:tcPr>
          <w:p w14:paraId="667704DA" w14:textId="77777777" w:rsidR="000E651F" w:rsidRPr="00895B6D" w:rsidRDefault="000E651F" w:rsidP="00243D89">
            <w:pPr>
              <w:rPr>
                <w:rFonts w:ascii="Calibri" w:hAnsi="Calibri" w:cs="Arial"/>
                <w:sz w:val="24"/>
                <w:szCs w:val="24"/>
              </w:rPr>
            </w:pPr>
            <w:r w:rsidRPr="00895B6D">
              <w:rPr>
                <w:rFonts w:ascii="Calibri" w:hAnsi="Calibri" w:cs="Arial"/>
                <w:sz w:val="24"/>
                <w:szCs w:val="24"/>
              </w:rPr>
              <w:t>100</w:t>
            </w:r>
          </w:p>
        </w:tc>
      </w:tr>
      <w:tr w:rsidR="000E651F" w:rsidRPr="00895B6D" w14:paraId="6874B653" w14:textId="77777777" w:rsidTr="00243D89">
        <w:tc>
          <w:tcPr>
            <w:tcW w:w="2552" w:type="dxa"/>
          </w:tcPr>
          <w:p w14:paraId="0F58DF48" w14:textId="77777777" w:rsidR="000E651F" w:rsidRPr="00895B6D" w:rsidRDefault="000E651F" w:rsidP="00243D89">
            <w:pPr>
              <w:rPr>
                <w:rFonts w:ascii="Calibri" w:hAnsi="Calibri" w:cs="Arial"/>
                <w:sz w:val="24"/>
                <w:szCs w:val="24"/>
              </w:rPr>
            </w:pPr>
            <w:r w:rsidRPr="00895B6D">
              <w:rPr>
                <w:rFonts w:ascii="Calibri" w:hAnsi="Calibri" w:cs="Arial"/>
                <w:sz w:val="24"/>
                <w:szCs w:val="24"/>
              </w:rPr>
              <w:t xml:space="preserve">Scheme Specific </w:t>
            </w:r>
          </w:p>
        </w:tc>
        <w:tc>
          <w:tcPr>
            <w:tcW w:w="1842" w:type="dxa"/>
          </w:tcPr>
          <w:p w14:paraId="5F7A8B6C" w14:textId="77777777" w:rsidR="000E651F" w:rsidRPr="00895B6D" w:rsidRDefault="000E651F" w:rsidP="00243D89">
            <w:pPr>
              <w:rPr>
                <w:rFonts w:ascii="Calibri" w:hAnsi="Calibri" w:cs="Arial"/>
                <w:sz w:val="24"/>
                <w:szCs w:val="24"/>
              </w:rPr>
            </w:pPr>
            <w:r>
              <w:rPr>
                <w:rFonts w:ascii="Calibri" w:hAnsi="Calibri" w:cs="Arial"/>
                <w:sz w:val="24"/>
                <w:szCs w:val="24"/>
              </w:rPr>
              <w:t>0.00</w:t>
            </w:r>
          </w:p>
        </w:tc>
        <w:tc>
          <w:tcPr>
            <w:tcW w:w="1843" w:type="dxa"/>
          </w:tcPr>
          <w:p w14:paraId="7B4385E6" w14:textId="77777777" w:rsidR="000E651F" w:rsidRPr="00895B6D" w:rsidRDefault="000E651F" w:rsidP="00243D89">
            <w:pPr>
              <w:rPr>
                <w:rFonts w:ascii="Calibri" w:hAnsi="Calibri" w:cs="Arial"/>
                <w:sz w:val="24"/>
                <w:szCs w:val="24"/>
              </w:rPr>
            </w:pPr>
            <w:r>
              <w:rPr>
                <w:rFonts w:ascii="Calibri" w:hAnsi="Calibri" w:cs="Arial"/>
                <w:sz w:val="24"/>
                <w:szCs w:val="24"/>
              </w:rPr>
              <w:t>57.14</w:t>
            </w:r>
          </w:p>
        </w:tc>
      </w:tr>
    </w:tbl>
    <w:p w14:paraId="60836C09" w14:textId="77777777" w:rsidR="000E651F" w:rsidRDefault="000E651F" w:rsidP="000E651F"/>
    <w:p w14:paraId="09084DF2" w14:textId="77777777" w:rsidR="000B2781" w:rsidRDefault="000B2781" w:rsidP="007E4454">
      <w:pPr>
        <w:ind w:left="-709" w:firstLine="709"/>
        <w:rPr>
          <w:rFonts w:cs="Arial"/>
          <w:sz w:val="24"/>
          <w:szCs w:val="24"/>
        </w:rPr>
      </w:pPr>
    </w:p>
    <w:p w14:paraId="1EA2F1BE" w14:textId="77777777" w:rsidR="000B2781" w:rsidRDefault="000B2781" w:rsidP="007E4454">
      <w:pPr>
        <w:ind w:left="-709" w:firstLine="709"/>
        <w:rPr>
          <w:rFonts w:cs="Arial"/>
          <w:sz w:val="24"/>
          <w:szCs w:val="24"/>
        </w:rPr>
      </w:pPr>
    </w:p>
    <w:tbl>
      <w:tblPr>
        <w:tblW w:w="15417" w:type="dxa"/>
        <w:tblInd w:w="-459" w:type="dxa"/>
        <w:tblLook w:val="04A0" w:firstRow="1" w:lastRow="0" w:firstColumn="1" w:lastColumn="0" w:noHBand="0" w:noVBand="1"/>
      </w:tblPr>
      <w:tblGrid>
        <w:gridCol w:w="12900"/>
        <w:gridCol w:w="2517"/>
      </w:tblGrid>
      <w:tr w:rsidR="00DB64FE" w:rsidRPr="00DB64FE" w14:paraId="47E4D0DA" w14:textId="77777777" w:rsidTr="005E72B0">
        <w:trPr>
          <w:trHeight w:val="240"/>
        </w:trPr>
        <w:tc>
          <w:tcPr>
            <w:tcW w:w="12900" w:type="dxa"/>
            <w:tcBorders>
              <w:top w:val="nil"/>
              <w:left w:val="nil"/>
              <w:bottom w:val="nil"/>
              <w:right w:val="nil"/>
            </w:tcBorders>
            <w:shd w:val="clear" w:color="auto" w:fill="auto"/>
            <w:noWrap/>
            <w:vAlign w:val="bottom"/>
            <w:hideMark/>
          </w:tcPr>
          <w:p w14:paraId="3ECC916C" w14:textId="77777777" w:rsidR="006A034F" w:rsidRPr="00DB64FE" w:rsidRDefault="006A034F" w:rsidP="00CE23DE">
            <w:pPr>
              <w:ind w:left="-534" w:firstLine="534"/>
              <w:rPr>
                <w:rFonts w:ascii="Arial" w:eastAsia="Times New Roman" w:hAnsi="Arial" w:cs="Arial"/>
                <w:color w:val="000000"/>
                <w:sz w:val="24"/>
                <w:szCs w:val="24"/>
                <w:lang w:eastAsia="en-GB"/>
              </w:rPr>
            </w:pPr>
          </w:p>
        </w:tc>
        <w:tc>
          <w:tcPr>
            <w:tcW w:w="2517" w:type="dxa"/>
            <w:tcBorders>
              <w:top w:val="nil"/>
              <w:left w:val="nil"/>
              <w:bottom w:val="nil"/>
              <w:right w:val="nil"/>
            </w:tcBorders>
            <w:shd w:val="clear" w:color="auto" w:fill="auto"/>
            <w:noWrap/>
            <w:vAlign w:val="bottom"/>
            <w:hideMark/>
          </w:tcPr>
          <w:p w14:paraId="48F3B147" w14:textId="77777777" w:rsidR="00DB64FE" w:rsidRPr="00DB64FE" w:rsidRDefault="00DB64FE" w:rsidP="00DB64FE">
            <w:pPr>
              <w:spacing w:after="0" w:line="240" w:lineRule="auto"/>
              <w:rPr>
                <w:rFonts w:ascii="Arial" w:eastAsia="Times New Roman" w:hAnsi="Arial" w:cs="Arial"/>
                <w:color w:val="000000"/>
                <w:sz w:val="24"/>
                <w:szCs w:val="24"/>
                <w:lang w:eastAsia="en-GB"/>
              </w:rPr>
            </w:pPr>
          </w:p>
        </w:tc>
      </w:tr>
    </w:tbl>
    <w:p w14:paraId="302D0FCA" w14:textId="77777777" w:rsidR="001E19A1" w:rsidRDefault="001E19A1" w:rsidP="000E651F"/>
    <w:sectPr w:rsidR="001E19A1" w:rsidSect="000E651F">
      <w:footerReference w:type="default" r:id="rId9"/>
      <w:pgSz w:w="16838" w:h="11906" w:orient="landscape" w:code="9"/>
      <w:pgMar w:top="992"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68C6" w14:textId="77777777" w:rsidR="00E56E1E" w:rsidRDefault="00E56E1E" w:rsidP="00D63A7C">
      <w:pPr>
        <w:spacing w:after="0" w:line="240" w:lineRule="auto"/>
      </w:pPr>
      <w:r>
        <w:separator/>
      </w:r>
    </w:p>
  </w:endnote>
  <w:endnote w:type="continuationSeparator" w:id="0">
    <w:p w14:paraId="56488A3B" w14:textId="77777777" w:rsidR="00E56E1E" w:rsidRDefault="00E56E1E" w:rsidP="00D6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4822" w14:textId="77777777" w:rsidR="00E56E1E" w:rsidRDefault="00E56E1E">
    <w:pPr>
      <w:pStyle w:val="BodyText"/>
      <w:spacing w:line="14" w:lineRule="auto"/>
      <w:rPr>
        <w:sz w:val="20"/>
      </w:rPr>
    </w:pPr>
    <w:r>
      <w:rPr>
        <w:noProof/>
        <w:lang w:val="en-GB" w:eastAsia="en-GB"/>
      </w:rPr>
      <mc:AlternateContent>
        <mc:Choice Requires="wps">
          <w:drawing>
            <wp:anchor distT="0" distB="0" distL="114300" distR="114300" simplePos="0" relativeHeight="251662336" behindDoc="1" locked="0" layoutInCell="1" allowOverlap="1" wp14:anchorId="69B6D29F" wp14:editId="25BB0A7C">
              <wp:simplePos x="0" y="0"/>
              <wp:positionH relativeFrom="page">
                <wp:posOffset>901700</wp:posOffset>
              </wp:positionH>
              <wp:positionV relativeFrom="page">
                <wp:posOffset>10078720</wp:posOffset>
              </wp:positionV>
              <wp:extent cx="2587625" cy="165735"/>
              <wp:effectExtent l="0" t="1270" r="0"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0008" w14:textId="77777777" w:rsidR="00E56E1E" w:rsidRDefault="00E56E1E">
                          <w:pPr>
                            <w:pStyle w:val="BodyText"/>
                            <w:spacing w:line="256" w:lineRule="exact"/>
                            <w:ind w:left="20"/>
                            <w:rPr>
                              <w:rFonts w:ascii="Calibri"/>
                            </w:rPr>
                          </w:pPr>
                          <w:r>
                            <w:rPr>
                              <w:rFonts w:ascii="Calibri"/>
                            </w:rPr>
                            <w:t>Illustrative data requirements v1 30/08/2018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6D29F" id="_x0000_t202" coordsize="21600,21600" o:spt="202" path="m,l,21600r21600,l21600,xe">
              <v:stroke joinstyle="miter"/>
              <v:path gradientshapeok="t" o:connecttype="rect"/>
            </v:shapetype>
            <v:shape id="Text Box 23" o:spid="_x0000_s1026" type="#_x0000_t202" style="position:absolute;margin-left:71pt;margin-top:793.6pt;width:203.7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" filled="f" stroked="f">
              <v:textbox inset="0,0,0,0">
                <w:txbxContent>
                  <w:p w14:paraId="138E0008" w14:textId="77777777" w:rsidR="00E56E1E" w:rsidRDefault="00E56E1E">
                    <w:pPr>
                      <w:pStyle w:val="BodyText"/>
                      <w:spacing w:line="256" w:lineRule="exact"/>
                      <w:ind w:left="20"/>
                      <w:rPr>
                        <w:rFonts w:ascii="Calibri"/>
                      </w:rPr>
                    </w:pPr>
                    <w:r>
                      <w:rPr>
                        <w:rFonts w:ascii="Calibri"/>
                      </w:rPr>
                      <w:t>Illustrative data requirements v1 30/08/2018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37C2" w14:textId="77777777" w:rsidR="00E56E1E" w:rsidRDefault="00E56E1E" w:rsidP="00D63A7C">
      <w:pPr>
        <w:spacing w:after="0" w:line="240" w:lineRule="auto"/>
      </w:pPr>
      <w:r>
        <w:separator/>
      </w:r>
    </w:p>
  </w:footnote>
  <w:footnote w:type="continuationSeparator" w:id="0">
    <w:p w14:paraId="7BF79B87" w14:textId="77777777" w:rsidR="00E56E1E" w:rsidRDefault="00E56E1E" w:rsidP="00D63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FAD"/>
    <w:multiLevelType w:val="hybridMultilevel"/>
    <w:tmpl w:val="E3BEA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10239"/>
    <w:multiLevelType w:val="hybridMultilevel"/>
    <w:tmpl w:val="E570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32962"/>
    <w:multiLevelType w:val="hybridMultilevel"/>
    <w:tmpl w:val="9270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11122"/>
    <w:multiLevelType w:val="hybridMultilevel"/>
    <w:tmpl w:val="CF5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B1C54"/>
    <w:multiLevelType w:val="hybridMultilevel"/>
    <w:tmpl w:val="E25808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6057E"/>
    <w:multiLevelType w:val="hybridMultilevel"/>
    <w:tmpl w:val="7D36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B36"/>
    <w:multiLevelType w:val="hybridMultilevel"/>
    <w:tmpl w:val="12B655D8"/>
    <w:lvl w:ilvl="0" w:tplc="90104EB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D6C0201"/>
    <w:multiLevelType w:val="hybridMultilevel"/>
    <w:tmpl w:val="0C265F1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1E7220A7"/>
    <w:multiLevelType w:val="hybridMultilevel"/>
    <w:tmpl w:val="990E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F40F3"/>
    <w:multiLevelType w:val="hybridMultilevel"/>
    <w:tmpl w:val="39609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263072"/>
    <w:multiLevelType w:val="hybridMultilevel"/>
    <w:tmpl w:val="9F20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75494"/>
    <w:multiLevelType w:val="hybridMultilevel"/>
    <w:tmpl w:val="CE02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74AF9"/>
    <w:multiLevelType w:val="multilevel"/>
    <w:tmpl w:val="F140C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26681"/>
    <w:multiLevelType w:val="multilevel"/>
    <w:tmpl w:val="4F782412"/>
    <w:lvl w:ilvl="0">
      <w:start w:val="6"/>
      <w:numFmt w:val="decimal"/>
      <w:lvlText w:val="%1"/>
      <w:lvlJc w:val="left"/>
      <w:pPr>
        <w:ind w:left="525" w:hanging="525"/>
      </w:pPr>
      <w:rPr>
        <w:rFonts w:hint="default"/>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29A7158"/>
    <w:multiLevelType w:val="hybridMultilevel"/>
    <w:tmpl w:val="08ECC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22E1A"/>
    <w:multiLevelType w:val="hybridMultilevel"/>
    <w:tmpl w:val="B4DE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A3C57"/>
    <w:multiLevelType w:val="hybridMultilevel"/>
    <w:tmpl w:val="4C3ABADA"/>
    <w:lvl w:ilvl="0" w:tplc="E58CCB5E">
      <w:numFmt w:val="bullet"/>
      <w:lvlText w:val=""/>
      <w:lvlJc w:val="left"/>
      <w:pPr>
        <w:ind w:left="827" w:hanging="360"/>
      </w:pPr>
      <w:rPr>
        <w:rFonts w:ascii="Symbol" w:eastAsia="Symbol" w:hAnsi="Symbol" w:cs="Symbol" w:hint="default"/>
        <w:w w:val="100"/>
        <w:sz w:val="22"/>
        <w:szCs w:val="22"/>
      </w:rPr>
    </w:lvl>
    <w:lvl w:ilvl="1" w:tplc="77800344">
      <w:numFmt w:val="bullet"/>
      <w:lvlText w:val="•"/>
      <w:lvlJc w:val="left"/>
      <w:pPr>
        <w:ind w:left="1130" w:hanging="360"/>
      </w:pPr>
      <w:rPr>
        <w:rFonts w:hint="default"/>
      </w:rPr>
    </w:lvl>
    <w:lvl w:ilvl="2" w:tplc="B5C84C4C">
      <w:numFmt w:val="bullet"/>
      <w:lvlText w:val="•"/>
      <w:lvlJc w:val="left"/>
      <w:pPr>
        <w:ind w:left="1440" w:hanging="360"/>
      </w:pPr>
      <w:rPr>
        <w:rFonts w:hint="default"/>
      </w:rPr>
    </w:lvl>
    <w:lvl w:ilvl="3" w:tplc="977E4C82">
      <w:numFmt w:val="bullet"/>
      <w:lvlText w:val="•"/>
      <w:lvlJc w:val="left"/>
      <w:pPr>
        <w:ind w:left="1750" w:hanging="360"/>
      </w:pPr>
      <w:rPr>
        <w:rFonts w:hint="default"/>
      </w:rPr>
    </w:lvl>
    <w:lvl w:ilvl="4" w:tplc="A6A0F20A">
      <w:numFmt w:val="bullet"/>
      <w:lvlText w:val="•"/>
      <w:lvlJc w:val="left"/>
      <w:pPr>
        <w:ind w:left="2060" w:hanging="360"/>
      </w:pPr>
      <w:rPr>
        <w:rFonts w:hint="default"/>
      </w:rPr>
    </w:lvl>
    <w:lvl w:ilvl="5" w:tplc="2674870C">
      <w:numFmt w:val="bullet"/>
      <w:lvlText w:val="•"/>
      <w:lvlJc w:val="left"/>
      <w:pPr>
        <w:ind w:left="2370" w:hanging="360"/>
      </w:pPr>
      <w:rPr>
        <w:rFonts w:hint="default"/>
      </w:rPr>
    </w:lvl>
    <w:lvl w:ilvl="6" w:tplc="7BB6859C">
      <w:numFmt w:val="bullet"/>
      <w:lvlText w:val="•"/>
      <w:lvlJc w:val="left"/>
      <w:pPr>
        <w:ind w:left="2680" w:hanging="360"/>
      </w:pPr>
      <w:rPr>
        <w:rFonts w:hint="default"/>
      </w:rPr>
    </w:lvl>
    <w:lvl w:ilvl="7" w:tplc="57AA775A">
      <w:numFmt w:val="bullet"/>
      <w:lvlText w:val="•"/>
      <w:lvlJc w:val="left"/>
      <w:pPr>
        <w:ind w:left="2990" w:hanging="360"/>
      </w:pPr>
      <w:rPr>
        <w:rFonts w:hint="default"/>
      </w:rPr>
    </w:lvl>
    <w:lvl w:ilvl="8" w:tplc="29CA97B6">
      <w:numFmt w:val="bullet"/>
      <w:lvlText w:val="•"/>
      <w:lvlJc w:val="left"/>
      <w:pPr>
        <w:ind w:left="3300" w:hanging="360"/>
      </w:pPr>
      <w:rPr>
        <w:rFonts w:hint="default"/>
      </w:rPr>
    </w:lvl>
  </w:abstractNum>
  <w:abstractNum w:abstractNumId="17" w15:restartNumberingAfterBreak="0">
    <w:nsid w:val="47B527F0"/>
    <w:multiLevelType w:val="multilevel"/>
    <w:tmpl w:val="C3065002"/>
    <w:lvl w:ilvl="0">
      <w:start w:val="6"/>
      <w:numFmt w:val="decimal"/>
      <w:lvlText w:val="%1"/>
      <w:lvlJc w:val="left"/>
      <w:pPr>
        <w:ind w:left="644" w:hanging="360"/>
      </w:pPr>
      <w:rPr>
        <w:rFonts w:hint="default"/>
        <w:b/>
        <w:color w:val="auto"/>
        <w:sz w:val="24"/>
        <w:szCs w:val="24"/>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4AD0505F"/>
    <w:multiLevelType w:val="multilevel"/>
    <w:tmpl w:val="3C0AE046"/>
    <w:lvl w:ilvl="0">
      <w:start w:val="6"/>
      <w:numFmt w:val="decimal"/>
      <w:lvlText w:val="%1"/>
      <w:lvlJc w:val="left"/>
      <w:pPr>
        <w:ind w:left="360" w:hanging="360"/>
      </w:pPr>
      <w:rPr>
        <w:rFonts w:hint="default"/>
      </w:rPr>
    </w:lvl>
    <w:lvl w:ilvl="1">
      <w:start w:val="4"/>
      <w:numFmt w:val="decimal"/>
      <w:lvlText w:val="%1.%2"/>
      <w:lvlJc w:val="left"/>
      <w:pPr>
        <w:ind w:left="1034" w:hanging="36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19" w15:restartNumberingAfterBreak="0">
    <w:nsid w:val="4C6C01B7"/>
    <w:multiLevelType w:val="multilevel"/>
    <w:tmpl w:val="58A05F10"/>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986627"/>
    <w:multiLevelType w:val="hybridMultilevel"/>
    <w:tmpl w:val="BD668ED4"/>
    <w:lvl w:ilvl="0" w:tplc="122802D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D249E"/>
    <w:multiLevelType w:val="hybridMultilevel"/>
    <w:tmpl w:val="28F6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93CBD"/>
    <w:multiLevelType w:val="hybridMultilevel"/>
    <w:tmpl w:val="84146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986A5B"/>
    <w:multiLevelType w:val="hybridMultilevel"/>
    <w:tmpl w:val="9AF415AC"/>
    <w:lvl w:ilvl="0" w:tplc="BC26832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EA1054"/>
    <w:multiLevelType w:val="hybridMultilevel"/>
    <w:tmpl w:val="0F44133A"/>
    <w:lvl w:ilvl="0" w:tplc="1A28CC0A">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8B3F1E"/>
    <w:multiLevelType w:val="hybridMultilevel"/>
    <w:tmpl w:val="262AA3A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A33CC"/>
    <w:multiLevelType w:val="multilevel"/>
    <w:tmpl w:val="CEA402F6"/>
    <w:lvl w:ilvl="0">
      <w:start w:val="7"/>
      <w:numFmt w:val="decimal"/>
      <w:lvlText w:val="%1"/>
      <w:lvlJc w:val="left"/>
      <w:pPr>
        <w:ind w:left="1080" w:hanging="360"/>
      </w:pPr>
      <w:rPr>
        <w:rFonts w:ascii="Calibri" w:hAnsi="Calibri" w:cs="Calibri" w:hint="default"/>
        <w:sz w:val="24"/>
      </w:rPr>
    </w:lvl>
    <w:lvl w:ilvl="1">
      <w:start w:val="2"/>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B3B0881"/>
    <w:multiLevelType w:val="hybridMultilevel"/>
    <w:tmpl w:val="F50C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70D6D"/>
    <w:multiLevelType w:val="hybridMultilevel"/>
    <w:tmpl w:val="8618DCBA"/>
    <w:lvl w:ilvl="0" w:tplc="122802D4">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5D32A4"/>
    <w:multiLevelType w:val="hybridMultilevel"/>
    <w:tmpl w:val="13389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0109B"/>
    <w:multiLevelType w:val="hybridMultilevel"/>
    <w:tmpl w:val="7AD23586"/>
    <w:lvl w:ilvl="0" w:tplc="D5C222C0">
      <w:numFmt w:val="bullet"/>
      <w:lvlText w:val=""/>
      <w:lvlJc w:val="left"/>
      <w:pPr>
        <w:ind w:left="840" w:hanging="360"/>
      </w:pPr>
      <w:rPr>
        <w:rFonts w:ascii="Wingdings" w:eastAsia="Wingdings" w:hAnsi="Wingdings" w:cs="Wingdings" w:hint="default"/>
        <w:w w:val="100"/>
        <w:sz w:val="22"/>
        <w:szCs w:val="22"/>
      </w:rPr>
    </w:lvl>
    <w:lvl w:ilvl="1" w:tplc="8A94DB5A">
      <w:numFmt w:val="bullet"/>
      <w:lvlText w:val="•"/>
      <w:lvlJc w:val="left"/>
      <w:pPr>
        <w:ind w:left="1688" w:hanging="360"/>
      </w:pPr>
      <w:rPr>
        <w:rFonts w:hint="default"/>
      </w:rPr>
    </w:lvl>
    <w:lvl w:ilvl="2" w:tplc="8A7ADAE2">
      <w:numFmt w:val="bullet"/>
      <w:lvlText w:val="•"/>
      <w:lvlJc w:val="left"/>
      <w:pPr>
        <w:ind w:left="2537" w:hanging="360"/>
      </w:pPr>
      <w:rPr>
        <w:rFonts w:hint="default"/>
      </w:rPr>
    </w:lvl>
    <w:lvl w:ilvl="3" w:tplc="9BA0E45A">
      <w:numFmt w:val="bullet"/>
      <w:lvlText w:val="•"/>
      <w:lvlJc w:val="left"/>
      <w:pPr>
        <w:ind w:left="3385" w:hanging="360"/>
      </w:pPr>
      <w:rPr>
        <w:rFonts w:hint="default"/>
      </w:rPr>
    </w:lvl>
    <w:lvl w:ilvl="4" w:tplc="E154ECCC">
      <w:numFmt w:val="bullet"/>
      <w:lvlText w:val="•"/>
      <w:lvlJc w:val="left"/>
      <w:pPr>
        <w:ind w:left="4234" w:hanging="360"/>
      </w:pPr>
      <w:rPr>
        <w:rFonts w:hint="default"/>
      </w:rPr>
    </w:lvl>
    <w:lvl w:ilvl="5" w:tplc="DE3C52E8">
      <w:numFmt w:val="bullet"/>
      <w:lvlText w:val="•"/>
      <w:lvlJc w:val="left"/>
      <w:pPr>
        <w:ind w:left="5082" w:hanging="360"/>
      </w:pPr>
      <w:rPr>
        <w:rFonts w:hint="default"/>
      </w:rPr>
    </w:lvl>
    <w:lvl w:ilvl="6" w:tplc="240A17F8">
      <w:numFmt w:val="bullet"/>
      <w:lvlText w:val="•"/>
      <w:lvlJc w:val="left"/>
      <w:pPr>
        <w:ind w:left="5931" w:hanging="360"/>
      </w:pPr>
      <w:rPr>
        <w:rFonts w:hint="default"/>
      </w:rPr>
    </w:lvl>
    <w:lvl w:ilvl="7" w:tplc="F5F8EB2A">
      <w:numFmt w:val="bullet"/>
      <w:lvlText w:val="•"/>
      <w:lvlJc w:val="left"/>
      <w:pPr>
        <w:ind w:left="6779" w:hanging="360"/>
      </w:pPr>
      <w:rPr>
        <w:rFonts w:hint="default"/>
      </w:rPr>
    </w:lvl>
    <w:lvl w:ilvl="8" w:tplc="5AD2B90C">
      <w:numFmt w:val="bullet"/>
      <w:lvlText w:val="•"/>
      <w:lvlJc w:val="left"/>
      <w:pPr>
        <w:ind w:left="7628" w:hanging="360"/>
      </w:pPr>
      <w:rPr>
        <w:rFonts w:hint="default"/>
      </w:rPr>
    </w:lvl>
  </w:abstractNum>
  <w:abstractNum w:abstractNumId="31" w15:restartNumberingAfterBreak="0">
    <w:nsid w:val="782318A9"/>
    <w:multiLevelType w:val="hybridMultilevel"/>
    <w:tmpl w:val="5658C5C2"/>
    <w:lvl w:ilvl="0" w:tplc="1A28CC0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16129B"/>
    <w:multiLevelType w:val="hybridMultilevel"/>
    <w:tmpl w:val="EF4850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22"/>
  </w:num>
  <w:num w:numId="3">
    <w:abstractNumId w:val="0"/>
  </w:num>
  <w:num w:numId="4">
    <w:abstractNumId w:val="29"/>
  </w:num>
  <w:num w:numId="5">
    <w:abstractNumId w:val="14"/>
  </w:num>
  <w:num w:numId="6">
    <w:abstractNumId w:val="3"/>
  </w:num>
  <w:num w:numId="7">
    <w:abstractNumId w:val="19"/>
  </w:num>
  <w:num w:numId="8">
    <w:abstractNumId w:val="21"/>
  </w:num>
  <w:num w:numId="9">
    <w:abstractNumId w:val="6"/>
  </w:num>
  <w:num w:numId="10">
    <w:abstractNumId w:val="27"/>
  </w:num>
  <w:num w:numId="11">
    <w:abstractNumId w:val="20"/>
  </w:num>
  <w:num w:numId="12">
    <w:abstractNumId w:val="28"/>
  </w:num>
  <w:num w:numId="13">
    <w:abstractNumId w:val="9"/>
  </w:num>
  <w:num w:numId="14">
    <w:abstractNumId w:val="11"/>
  </w:num>
  <w:num w:numId="15">
    <w:abstractNumId w:val="32"/>
  </w:num>
  <w:num w:numId="16">
    <w:abstractNumId w:val="26"/>
  </w:num>
  <w:num w:numId="17">
    <w:abstractNumId w:val="1"/>
  </w:num>
  <w:num w:numId="18">
    <w:abstractNumId w:val="25"/>
  </w:num>
  <w:num w:numId="19">
    <w:abstractNumId w:val="31"/>
  </w:num>
  <w:num w:numId="20">
    <w:abstractNumId w:val="24"/>
  </w:num>
  <w:num w:numId="21">
    <w:abstractNumId w:val="23"/>
  </w:num>
  <w:num w:numId="22">
    <w:abstractNumId w:val="5"/>
  </w:num>
  <w:num w:numId="23">
    <w:abstractNumId w:val="8"/>
  </w:num>
  <w:num w:numId="24">
    <w:abstractNumId w:val="17"/>
  </w:num>
  <w:num w:numId="25">
    <w:abstractNumId w:val="2"/>
  </w:num>
  <w:num w:numId="26">
    <w:abstractNumId w:val="18"/>
  </w:num>
  <w:num w:numId="27">
    <w:abstractNumId w:val="13"/>
  </w:num>
  <w:num w:numId="28">
    <w:abstractNumId w:val="12"/>
  </w:num>
  <w:num w:numId="29">
    <w:abstractNumId w:val="7"/>
  </w:num>
  <w:num w:numId="30">
    <w:abstractNumId w:val="15"/>
  </w:num>
  <w:num w:numId="31">
    <w:abstractNumId w:val="10"/>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A35"/>
    <w:rsid w:val="000017E1"/>
    <w:rsid w:val="00004D7D"/>
    <w:rsid w:val="000101AB"/>
    <w:rsid w:val="00027C31"/>
    <w:rsid w:val="00040320"/>
    <w:rsid w:val="00040F49"/>
    <w:rsid w:val="000668A1"/>
    <w:rsid w:val="00092A35"/>
    <w:rsid w:val="000A027C"/>
    <w:rsid w:val="000A742A"/>
    <w:rsid w:val="000B2781"/>
    <w:rsid w:val="000C7554"/>
    <w:rsid w:val="000E651F"/>
    <w:rsid w:val="001236BC"/>
    <w:rsid w:val="00126686"/>
    <w:rsid w:val="00134A2A"/>
    <w:rsid w:val="00135162"/>
    <w:rsid w:val="001565BB"/>
    <w:rsid w:val="00171530"/>
    <w:rsid w:val="0017255D"/>
    <w:rsid w:val="001734DA"/>
    <w:rsid w:val="0017409B"/>
    <w:rsid w:val="00183388"/>
    <w:rsid w:val="00187B2D"/>
    <w:rsid w:val="00191BE5"/>
    <w:rsid w:val="001D1030"/>
    <w:rsid w:val="001D531F"/>
    <w:rsid w:val="001E19A1"/>
    <w:rsid w:val="00201BEE"/>
    <w:rsid w:val="002211DF"/>
    <w:rsid w:val="0023278B"/>
    <w:rsid w:val="002374F4"/>
    <w:rsid w:val="00237AFF"/>
    <w:rsid w:val="00237C12"/>
    <w:rsid w:val="00243AEC"/>
    <w:rsid w:val="00274B3E"/>
    <w:rsid w:val="00277A8C"/>
    <w:rsid w:val="00277FDE"/>
    <w:rsid w:val="002815F0"/>
    <w:rsid w:val="002A24B6"/>
    <w:rsid w:val="002B2943"/>
    <w:rsid w:val="002B5100"/>
    <w:rsid w:val="002C0BAD"/>
    <w:rsid w:val="002C0FD8"/>
    <w:rsid w:val="002C2A55"/>
    <w:rsid w:val="003209C2"/>
    <w:rsid w:val="003249A8"/>
    <w:rsid w:val="00325B42"/>
    <w:rsid w:val="0033075A"/>
    <w:rsid w:val="00332839"/>
    <w:rsid w:val="0033571C"/>
    <w:rsid w:val="00351BEE"/>
    <w:rsid w:val="0035566F"/>
    <w:rsid w:val="0037646A"/>
    <w:rsid w:val="00380567"/>
    <w:rsid w:val="00386D06"/>
    <w:rsid w:val="003955B4"/>
    <w:rsid w:val="003A07F0"/>
    <w:rsid w:val="003A0849"/>
    <w:rsid w:val="003A7F80"/>
    <w:rsid w:val="003B7693"/>
    <w:rsid w:val="00421636"/>
    <w:rsid w:val="004317B0"/>
    <w:rsid w:val="004350FE"/>
    <w:rsid w:val="004641E5"/>
    <w:rsid w:val="0046595C"/>
    <w:rsid w:val="00486DA1"/>
    <w:rsid w:val="004A1CD7"/>
    <w:rsid w:val="004B7CDF"/>
    <w:rsid w:val="004C0358"/>
    <w:rsid w:val="004C4567"/>
    <w:rsid w:val="004C5D90"/>
    <w:rsid w:val="004D1FC5"/>
    <w:rsid w:val="004D6202"/>
    <w:rsid w:val="004E2994"/>
    <w:rsid w:val="004F39EA"/>
    <w:rsid w:val="004F6897"/>
    <w:rsid w:val="00523663"/>
    <w:rsid w:val="00543AD9"/>
    <w:rsid w:val="005447C1"/>
    <w:rsid w:val="00544C68"/>
    <w:rsid w:val="00567409"/>
    <w:rsid w:val="00581A73"/>
    <w:rsid w:val="005D3101"/>
    <w:rsid w:val="005E6244"/>
    <w:rsid w:val="005E6288"/>
    <w:rsid w:val="005E72B0"/>
    <w:rsid w:val="005F256E"/>
    <w:rsid w:val="00605F3D"/>
    <w:rsid w:val="0061319A"/>
    <w:rsid w:val="00623A19"/>
    <w:rsid w:val="0063321E"/>
    <w:rsid w:val="00662DBC"/>
    <w:rsid w:val="00663727"/>
    <w:rsid w:val="00671995"/>
    <w:rsid w:val="0069456D"/>
    <w:rsid w:val="00695405"/>
    <w:rsid w:val="006A034F"/>
    <w:rsid w:val="006B3235"/>
    <w:rsid w:val="006B368D"/>
    <w:rsid w:val="006C1841"/>
    <w:rsid w:val="006E26D0"/>
    <w:rsid w:val="006F5354"/>
    <w:rsid w:val="00705593"/>
    <w:rsid w:val="0074769C"/>
    <w:rsid w:val="00762D2C"/>
    <w:rsid w:val="00777C87"/>
    <w:rsid w:val="0078612A"/>
    <w:rsid w:val="0079766C"/>
    <w:rsid w:val="007A3C26"/>
    <w:rsid w:val="007B0891"/>
    <w:rsid w:val="007B4C39"/>
    <w:rsid w:val="007B68EB"/>
    <w:rsid w:val="007E172F"/>
    <w:rsid w:val="007E4454"/>
    <w:rsid w:val="007F1D1E"/>
    <w:rsid w:val="007F2CC5"/>
    <w:rsid w:val="007F73AF"/>
    <w:rsid w:val="00816A4C"/>
    <w:rsid w:val="0082324B"/>
    <w:rsid w:val="0083066F"/>
    <w:rsid w:val="008356F0"/>
    <w:rsid w:val="00846976"/>
    <w:rsid w:val="008B3699"/>
    <w:rsid w:val="008C1AEE"/>
    <w:rsid w:val="008C3DB5"/>
    <w:rsid w:val="008C63F7"/>
    <w:rsid w:val="008C6E6A"/>
    <w:rsid w:val="008D3EED"/>
    <w:rsid w:val="008D473F"/>
    <w:rsid w:val="008F29F9"/>
    <w:rsid w:val="008F51E1"/>
    <w:rsid w:val="00912F1A"/>
    <w:rsid w:val="00922225"/>
    <w:rsid w:val="00926A04"/>
    <w:rsid w:val="0093068E"/>
    <w:rsid w:val="00944C2A"/>
    <w:rsid w:val="0094547E"/>
    <w:rsid w:val="00950923"/>
    <w:rsid w:val="00955665"/>
    <w:rsid w:val="009610D3"/>
    <w:rsid w:val="009618BA"/>
    <w:rsid w:val="00971566"/>
    <w:rsid w:val="00975D0E"/>
    <w:rsid w:val="00981231"/>
    <w:rsid w:val="0098246A"/>
    <w:rsid w:val="009A71D9"/>
    <w:rsid w:val="009C2D3D"/>
    <w:rsid w:val="009C7F1F"/>
    <w:rsid w:val="00A11E01"/>
    <w:rsid w:val="00A148B2"/>
    <w:rsid w:val="00A305E2"/>
    <w:rsid w:val="00A33328"/>
    <w:rsid w:val="00A35780"/>
    <w:rsid w:val="00A4058D"/>
    <w:rsid w:val="00A40F16"/>
    <w:rsid w:val="00A43856"/>
    <w:rsid w:val="00A50D9D"/>
    <w:rsid w:val="00A5461F"/>
    <w:rsid w:val="00AA5C8D"/>
    <w:rsid w:val="00AB4AC7"/>
    <w:rsid w:val="00AC0915"/>
    <w:rsid w:val="00AC5396"/>
    <w:rsid w:val="00AD187F"/>
    <w:rsid w:val="00AE5542"/>
    <w:rsid w:val="00B07BD5"/>
    <w:rsid w:val="00B128F5"/>
    <w:rsid w:val="00B1571B"/>
    <w:rsid w:val="00B17612"/>
    <w:rsid w:val="00B25501"/>
    <w:rsid w:val="00B63639"/>
    <w:rsid w:val="00B67974"/>
    <w:rsid w:val="00B86992"/>
    <w:rsid w:val="00B92794"/>
    <w:rsid w:val="00B9601D"/>
    <w:rsid w:val="00BD4AD4"/>
    <w:rsid w:val="00C01034"/>
    <w:rsid w:val="00C025E0"/>
    <w:rsid w:val="00C221C3"/>
    <w:rsid w:val="00C25FD2"/>
    <w:rsid w:val="00C26514"/>
    <w:rsid w:val="00C30D0F"/>
    <w:rsid w:val="00C50700"/>
    <w:rsid w:val="00C75864"/>
    <w:rsid w:val="00C9507E"/>
    <w:rsid w:val="00CB1C4E"/>
    <w:rsid w:val="00CB4DA9"/>
    <w:rsid w:val="00CC46A8"/>
    <w:rsid w:val="00CD5642"/>
    <w:rsid w:val="00CD5B42"/>
    <w:rsid w:val="00CE23DE"/>
    <w:rsid w:val="00D223F1"/>
    <w:rsid w:val="00D347D4"/>
    <w:rsid w:val="00D45111"/>
    <w:rsid w:val="00D472CF"/>
    <w:rsid w:val="00D608EB"/>
    <w:rsid w:val="00D6281A"/>
    <w:rsid w:val="00D63A7C"/>
    <w:rsid w:val="00D85060"/>
    <w:rsid w:val="00DA29E4"/>
    <w:rsid w:val="00DA343E"/>
    <w:rsid w:val="00DA3B4A"/>
    <w:rsid w:val="00DA4FC6"/>
    <w:rsid w:val="00DA6058"/>
    <w:rsid w:val="00DB46F6"/>
    <w:rsid w:val="00DB64FE"/>
    <w:rsid w:val="00DB6E32"/>
    <w:rsid w:val="00DC06A7"/>
    <w:rsid w:val="00DC1CA0"/>
    <w:rsid w:val="00DE6A09"/>
    <w:rsid w:val="00E100A1"/>
    <w:rsid w:val="00E1073C"/>
    <w:rsid w:val="00E120FA"/>
    <w:rsid w:val="00E12866"/>
    <w:rsid w:val="00E2623F"/>
    <w:rsid w:val="00E32D02"/>
    <w:rsid w:val="00E50DD3"/>
    <w:rsid w:val="00E56E1E"/>
    <w:rsid w:val="00E966A3"/>
    <w:rsid w:val="00EA40BF"/>
    <w:rsid w:val="00EB75E2"/>
    <w:rsid w:val="00EC1460"/>
    <w:rsid w:val="00EC73A4"/>
    <w:rsid w:val="00EE37F2"/>
    <w:rsid w:val="00F106A4"/>
    <w:rsid w:val="00F13C24"/>
    <w:rsid w:val="00F1522D"/>
    <w:rsid w:val="00F22872"/>
    <w:rsid w:val="00F40033"/>
    <w:rsid w:val="00F729FF"/>
    <w:rsid w:val="00F8240C"/>
    <w:rsid w:val="00F90D34"/>
    <w:rsid w:val="00F9198D"/>
    <w:rsid w:val="00F91E38"/>
    <w:rsid w:val="00FA2466"/>
    <w:rsid w:val="00FA3C2C"/>
    <w:rsid w:val="00FC002F"/>
    <w:rsid w:val="00FE5B2F"/>
    <w:rsid w:val="00FE6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2300"/>
  <w15:docId w15:val="{B83DA055-658F-48C5-BADA-CD044D5E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4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92A35"/>
    <w:pPr>
      <w:ind w:left="720"/>
      <w:contextualSpacing/>
    </w:pPr>
  </w:style>
  <w:style w:type="table" w:styleId="TableGrid">
    <w:name w:val="Table Grid"/>
    <w:basedOn w:val="TableNormal"/>
    <w:uiPriority w:val="39"/>
    <w:rsid w:val="00126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63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92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794"/>
    <w:rPr>
      <w:rFonts w:ascii="Segoe UI" w:hAnsi="Segoe UI" w:cs="Segoe UI"/>
      <w:sz w:val="18"/>
      <w:szCs w:val="18"/>
    </w:rPr>
  </w:style>
  <w:style w:type="paragraph" w:styleId="Header">
    <w:name w:val="header"/>
    <w:basedOn w:val="Normal"/>
    <w:link w:val="HeaderChar"/>
    <w:uiPriority w:val="99"/>
    <w:unhideWhenUsed/>
    <w:rsid w:val="00D6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A7C"/>
  </w:style>
  <w:style w:type="paragraph" w:styleId="Footer">
    <w:name w:val="footer"/>
    <w:basedOn w:val="Normal"/>
    <w:link w:val="FooterChar"/>
    <w:uiPriority w:val="99"/>
    <w:unhideWhenUsed/>
    <w:rsid w:val="00D6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A7C"/>
  </w:style>
  <w:style w:type="paragraph" w:styleId="NormalWeb">
    <w:name w:val="Normal (Web)"/>
    <w:basedOn w:val="Normal"/>
    <w:uiPriority w:val="99"/>
    <w:unhideWhenUsed/>
    <w:rsid w:val="00DA6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6058"/>
    <w:rPr>
      <w:color w:val="0000FF"/>
      <w:u w:val="single"/>
    </w:rPr>
  </w:style>
  <w:style w:type="paragraph" w:styleId="NoSpacing">
    <w:name w:val="No Spacing"/>
    <w:uiPriority w:val="1"/>
    <w:qFormat/>
    <w:rsid w:val="00FA2466"/>
    <w:pPr>
      <w:spacing w:after="0" w:line="240" w:lineRule="auto"/>
    </w:pPr>
  </w:style>
  <w:style w:type="character" w:customStyle="1" w:styleId="Heading1Char">
    <w:name w:val="Heading 1 Char"/>
    <w:basedOn w:val="DefaultParagraphFont"/>
    <w:link w:val="Heading1"/>
    <w:uiPriority w:val="9"/>
    <w:rsid w:val="00FA2466"/>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567409"/>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567409"/>
    <w:rPr>
      <w:rFonts w:ascii="Arial" w:eastAsia="Arial" w:hAnsi="Arial" w:cs="Arial"/>
      <w:lang w:val="en-US"/>
    </w:rPr>
  </w:style>
  <w:style w:type="paragraph" w:customStyle="1" w:styleId="TableParagraph">
    <w:name w:val="Table Paragraph"/>
    <w:basedOn w:val="Normal"/>
    <w:uiPriority w:val="1"/>
    <w:qFormat/>
    <w:rsid w:val="00567409"/>
    <w:pPr>
      <w:widowControl w:val="0"/>
      <w:autoSpaceDE w:val="0"/>
      <w:autoSpaceDN w:val="0"/>
      <w:spacing w:after="0" w:line="250" w:lineRule="exact"/>
      <w:ind w:left="107"/>
    </w:pPr>
    <w:rPr>
      <w:rFonts w:ascii="Arial" w:eastAsia="Arial" w:hAnsi="Arial" w:cs="Arial"/>
      <w:lang w:val="en-US"/>
    </w:rPr>
  </w:style>
  <w:style w:type="table" w:customStyle="1" w:styleId="TableGrid2">
    <w:name w:val="Table Grid2"/>
    <w:basedOn w:val="TableNormal"/>
    <w:next w:val="TableGrid"/>
    <w:uiPriority w:val="39"/>
    <w:rsid w:val="000E651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8118">
      <w:bodyDiv w:val="1"/>
      <w:marLeft w:val="0"/>
      <w:marRight w:val="0"/>
      <w:marTop w:val="0"/>
      <w:marBottom w:val="0"/>
      <w:divBdr>
        <w:top w:val="none" w:sz="0" w:space="0" w:color="auto"/>
        <w:left w:val="none" w:sz="0" w:space="0" w:color="auto"/>
        <w:bottom w:val="none" w:sz="0" w:space="0" w:color="auto"/>
        <w:right w:val="none" w:sz="0" w:space="0" w:color="auto"/>
      </w:divBdr>
    </w:div>
    <w:div w:id="437869973">
      <w:bodyDiv w:val="1"/>
      <w:marLeft w:val="0"/>
      <w:marRight w:val="0"/>
      <w:marTop w:val="0"/>
      <w:marBottom w:val="0"/>
      <w:divBdr>
        <w:top w:val="none" w:sz="0" w:space="0" w:color="auto"/>
        <w:left w:val="none" w:sz="0" w:space="0" w:color="auto"/>
        <w:bottom w:val="none" w:sz="0" w:space="0" w:color="auto"/>
        <w:right w:val="none" w:sz="0" w:space="0" w:color="auto"/>
      </w:divBdr>
      <w:divsChild>
        <w:div w:id="1848014607">
          <w:marLeft w:val="0"/>
          <w:marRight w:val="0"/>
          <w:marTop w:val="0"/>
          <w:marBottom w:val="0"/>
          <w:divBdr>
            <w:top w:val="none" w:sz="0" w:space="0" w:color="auto"/>
            <w:left w:val="none" w:sz="0" w:space="0" w:color="auto"/>
            <w:bottom w:val="none" w:sz="0" w:space="0" w:color="auto"/>
            <w:right w:val="none" w:sz="0" w:space="0" w:color="auto"/>
          </w:divBdr>
          <w:divsChild>
            <w:div w:id="828638605">
              <w:marLeft w:val="0"/>
              <w:marRight w:val="0"/>
              <w:marTop w:val="0"/>
              <w:marBottom w:val="0"/>
              <w:divBdr>
                <w:top w:val="none" w:sz="0" w:space="0" w:color="auto"/>
                <w:left w:val="none" w:sz="0" w:space="0" w:color="auto"/>
                <w:bottom w:val="none" w:sz="0" w:space="0" w:color="auto"/>
                <w:right w:val="none" w:sz="0" w:space="0" w:color="auto"/>
              </w:divBdr>
              <w:divsChild>
                <w:div w:id="513108727">
                  <w:marLeft w:val="0"/>
                  <w:marRight w:val="0"/>
                  <w:marTop w:val="0"/>
                  <w:marBottom w:val="0"/>
                  <w:divBdr>
                    <w:top w:val="none" w:sz="0" w:space="0" w:color="auto"/>
                    <w:left w:val="none" w:sz="0" w:space="0" w:color="auto"/>
                    <w:bottom w:val="none" w:sz="0" w:space="0" w:color="auto"/>
                    <w:right w:val="none" w:sz="0" w:space="0" w:color="auto"/>
                  </w:divBdr>
                  <w:divsChild>
                    <w:div w:id="1471164847">
                      <w:marLeft w:val="0"/>
                      <w:marRight w:val="0"/>
                      <w:marTop w:val="0"/>
                      <w:marBottom w:val="0"/>
                      <w:divBdr>
                        <w:top w:val="none" w:sz="0" w:space="0" w:color="auto"/>
                        <w:left w:val="none" w:sz="0" w:space="0" w:color="auto"/>
                        <w:bottom w:val="none" w:sz="0" w:space="0" w:color="auto"/>
                        <w:right w:val="none" w:sz="0" w:space="0" w:color="auto"/>
                      </w:divBdr>
                      <w:divsChild>
                        <w:div w:id="1451125072">
                          <w:marLeft w:val="0"/>
                          <w:marRight w:val="0"/>
                          <w:marTop w:val="600"/>
                          <w:marBottom w:val="600"/>
                          <w:divBdr>
                            <w:top w:val="none" w:sz="0" w:space="0" w:color="auto"/>
                            <w:left w:val="none" w:sz="0" w:space="0" w:color="auto"/>
                            <w:bottom w:val="none" w:sz="0" w:space="0" w:color="auto"/>
                            <w:right w:val="none" w:sz="0" w:space="0" w:color="auto"/>
                          </w:divBdr>
                          <w:divsChild>
                            <w:div w:id="17981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979870">
      <w:bodyDiv w:val="1"/>
      <w:marLeft w:val="0"/>
      <w:marRight w:val="0"/>
      <w:marTop w:val="0"/>
      <w:marBottom w:val="0"/>
      <w:divBdr>
        <w:top w:val="none" w:sz="0" w:space="0" w:color="auto"/>
        <w:left w:val="none" w:sz="0" w:space="0" w:color="auto"/>
        <w:bottom w:val="none" w:sz="0" w:space="0" w:color="auto"/>
        <w:right w:val="none" w:sz="0" w:space="0" w:color="auto"/>
      </w:divBdr>
    </w:div>
    <w:div w:id="1250237341">
      <w:bodyDiv w:val="1"/>
      <w:marLeft w:val="0"/>
      <w:marRight w:val="0"/>
      <w:marTop w:val="0"/>
      <w:marBottom w:val="0"/>
      <w:divBdr>
        <w:top w:val="none" w:sz="0" w:space="0" w:color="auto"/>
        <w:left w:val="none" w:sz="0" w:space="0" w:color="auto"/>
        <w:bottom w:val="none" w:sz="0" w:space="0" w:color="auto"/>
        <w:right w:val="none" w:sz="0" w:space="0" w:color="auto"/>
      </w:divBdr>
    </w:div>
    <w:div w:id="1439133069">
      <w:bodyDiv w:val="1"/>
      <w:marLeft w:val="0"/>
      <w:marRight w:val="0"/>
      <w:marTop w:val="0"/>
      <w:marBottom w:val="0"/>
      <w:divBdr>
        <w:top w:val="none" w:sz="0" w:space="0" w:color="auto"/>
        <w:left w:val="none" w:sz="0" w:space="0" w:color="auto"/>
        <w:bottom w:val="none" w:sz="0" w:space="0" w:color="auto"/>
        <w:right w:val="none" w:sz="0" w:space="0" w:color="auto"/>
      </w:divBdr>
    </w:div>
    <w:div w:id="1551304959">
      <w:bodyDiv w:val="1"/>
      <w:marLeft w:val="0"/>
      <w:marRight w:val="0"/>
      <w:marTop w:val="0"/>
      <w:marBottom w:val="0"/>
      <w:divBdr>
        <w:top w:val="none" w:sz="0" w:space="0" w:color="auto"/>
        <w:left w:val="none" w:sz="0" w:space="0" w:color="auto"/>
        <w:bottom w:val="none" w:sz="0" w:space="0" w:color="auto"/>
        <w:right w:val="none" w:sz="0" w:space="0" w:color="auto"/>
      </w:divBdr>
    </w:div>
    <w:div w:id="1838691430">
      <w:bodyDiv w:val="1"/>
      <w:marLeft w:val="0"/>
      <w:marRight w:val="0"/>
      <w:marTop w:val="0"/>
      <w:marBottom w:val="0"/>
      <w:divBdr>
        <w:top w:val="none" w:sz="0" w:space="0" w:color="auto"/>
        <w:left w:val="none" w:sz="0" w:space="0" w:color="auto"/>
        <w:bottom w:val="none" w:sz="0" w:space="0" w:color="auto"/>
        <w:right w:val="none" w:sz="0" w:space="0" w:color="auto"/>
      </w:divBdr>
    </w:div>
    <w:div w:id="1933779679">
      <w:bodyDiv w:val="1"/>
      <w:marLeft w:val="0"/>
      <w:marRight w:val="0"/>
      <w:marTop w:val="0"/>
      <w:marBottom w:val="0"/>
      <w:divBdr>
        <w:top w:val="none" w:sz="0" w:space="0" w:color="auto"/>
        <w:left w:val="none" w:sz="0" w:space="0" w:color="auto"/>
        <w:bottom w:val="none" w:sz="0" w:space="0" w:color="auto"/>
        <w:right w:val="none" w:sz="0" w:space="0" w:color="auto"/>
      </w:divBdr>
    </w:div>
    <w:div w:id="2102598295">
      <w:bodyDiv w:val="1"/>
      <w:marLeft w:val="0"/>
      <w:marRight w:val="0"/>
      <w:marTop w:val="0"/>
      <w:marBottom w:val="0"/>
      <w:divBdr>
        <w:top w:val="none" w:sz="0" w:space="0" w:color="auto"/>
        <w:left w:val="none" w:sz="0" w:space="0" w:color="auto"/>
        <w:bottom w:val="none" w:sz="0" w:space="0" w:color="auto"/>
        <w:right w:val="none" w:sz="0" w:space="0" w:color="auto"/>
      </w:divBdr>
    </w:div>
    <w:div w:id="2111701639">
      <w:bodyDiv w:val="1"/>
      <w:marLeft w:val="0"/>
      <w:marRight w:val="0"/>
      <w:marTop w:val="0"/>
      <w:marBottom w:val="0"/>
      <w:divBdr>
        <w:top w:val="none" w:sz="0" w:space="0" w:color="auto"/>
        <w:left w:val="none" w:sz="0" w:space="0" w:color="auto"/>
        <w:bottom w:val="none" w:sz="0" w:space="0" w:color="auto"/>
        <w:right w:val="none" w:sz="0" w:space="0" w:color="auto"/>
      </w:divBdr>
    </w:div>
    <w:div w:id="2133550856">
      <w:bodyDiv w:val="1"/>
      <w:marLeft w:val="0"/>
      <w:marRight w:val="0"/>
      <w:marTop w:val="0"/>
      <w:marBottom w:val="0"/>
      <w:divBdr>
        <w:top w:val="none" w:sz="0" w:space="0" w:color="auto"/>
        <w:left w:val="none" w:sz="0" w:space="0" w:color="auto"/>
        <w:bottom w:val="none" w:sz="0" w:space="0" w:color="auto"/>
        <w:right w:val="none" w:sz="0" w:space="0" w:color="auto"/>
      </w:divBdr>
      <w:divsChild>
        <w:div w:id="517503141">
          <w:marLeft w:val="0"/>
          <w:marRight w:val="0"/>
          <w:marTop w:val="0"/>
          <w:marBottom w:val="0"/>
          <w:divBdr>
            <w:top w:val="none" w:sz="0" w:space="0" w:color="auto"/>
            <w:left w:val="none" w:sz="0" w:space="0" w:color="auto"/>
            <w:bottom w:val="none" w:sz="0" w:space="0" w:color="auto"/>
            <w:right w:val="none" w:sz="0" w:space="0" w:color="auto"/>
          </w:divBdr>
          <w:divsChild>
            <w:div w:id="1533499749">
              <w:marLeft w:val="0"/>
              <w:marRight w:val="0"/>
              <w:marTop w:val="0"/>
              <w:marBottom w:val="0"/>
              <w:divBdr>
                <w:top w:val="none" w:sz="0" w:space="0" w:color="auto"/>
                <w:left w:val="none" w:sz="0" w:space="0" w:color="auto"/>
                <w:bottom w:val="none" w:sz="0" w:space="0" w:color="auto"/>
                <w:right w:val="none" w:sz="0" w:space="0" w:color="auto"/>
              </w:divBdr>
              <w:divsChild>
                <w:div w:id="1081760920">
                  <w:marLeft w:val="0"/>
                  <w:marRight w:val="0"/>
                  <w:marTop w:val="0"/>
                  <w:marBottom w:val="0"/>
                  <w:divBdr>
                    <w:top w:val="none" w:sz="0" w:space="0" w:color="auto"/>
                    <w:left w:val="none" w:sz="0" w:space="0" w:color="auto"/>
                    <w:bottom w:val="none" w:sz="0" w:space="0" w:color="auto"/>
                    <w:right w:val="none" w:sz="0" w:space="0" w:color="auto"/>
                  </w:divBdr>
                  <w:divsChild>
                    <w:div w:id="923343865">
                      <w:marLeft w:val="0"/>
                      <w:marRight w:val="0"/>
                      <w:marTop w:val="0"/>
                      <w:marBottom w:val="0"/>
                      <w:divBdr>
                        <w:top w:val="none" w:sz="0" w:space="0" w:color="auto"/>
                        <w:left w:val="none" w:sz="0" w:space="0" w:color="auto"/>
                        <w:bottom w:val="none" w:sz="0" w:space="0" w:color="auto"/>
                        <w:right w:val="none" w:sz="0" w:space="0" w:color="auto"/>
                      </w:divBdr>
                      <w:divsChild>
                        <w:div w:id="1183281685">
                          <w:marLeft w:val="0"/>
                          <w:marRight w:val="0"/>
                          <w:marTop w:val="0"/>
                          <w:marBottom w:val="0"/>
                          <w:divBdr>
                            <w:top w:val="none" w:sz="0" w:space="0" w:color="auto"/>
                            <w:left w:val="none" w:sz="0" w:space="0" w:color="auto"/>
                            <w:bottom w:val="none" w:sz="0" w:space="0" w:color="auto"/>
                            <w:right w:val="none" w:sz="0" w:space="0" w:color="auto"/>
                          </w:divBdr>
                          <w:divsChild>
                            <w:div w:id="6798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sregs.org/index.php/adminitration-resources/guides-and-sample-docuement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FRS Document" ma:contentTypeID="0x01010086CC0D19DD51234785A31F0F5D38B8DD00B553D3B0AC61BD499D329EC4673E5F10" ma:contentTypeVersion="36" ma:contentTypeDescription="" ma:contentTypeScope="" ma:versionID="fc9bba7c3e205f6879855c8b15784ce1">
  <xsd:schema xmlns:xsd="http://www.w3.org/2001/XMLSchema" xmlns:xs="http://www.w3.org/2001/XMLSchema" xmlns:p="http://schemas.microsoft.com/office/2006/metadata/properties" xmlns:ns1="http://schemas.microsoft.com/sharepoint/v3" xmlns:ns2="b1b0ec1b-aa08-4612-a633-24afa60ef0a4" targetNamespace="http://schemas.microsoft.com/office/2006/metadata/properties" ma:root="true" ma:fieldsID="5339cfc6109f48a2b4fcacae95afdb38" ns1:_="" ns2:_="">
    <xsd:import namespace="http://schemas.microsoft.com/sharepoint/v3"/>
    <xsd:import namespace="b1b0ec1b-aa08-4612-a633-24afa60ef0a4"/>
    <xsd:element name="properties">
      <xsd:complexType>
        <xsd:sequence>
          <xsd:element name="documentManagement">
            <xsd:complexType>
              <xsd:all>
                <xsd:element ref="ns2:hcb23a24e4de407489d3a3eecb6e0249" minOccurs="0"/>
                <xsd:element ref="ns2:TaxCatchAll" minOccurs="0"/>
                <xsd:element ref="ns2:TaxCatchAllLabel" minOccurs="0"/>
                <xsd:element ref="ns2:maa9dcae6b8743e1ac9a8b1f9636e8fb" minOccurs="0"/>
                <xsd:element ref="ns2:pab6d7c81f834e8587de0b12ce69d530" minOccurs="0"/>
                <xsd:element ref="ns2:NFRSContentOwner"/>
                <xsd:element ref="ns2:NFRSContentReviewDate"/>
                <xsd:element ref="ns2:NFRSReviewFrequen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b0ec1b-aa08-4612-a633-24afa60ef0a4" elementFormDefault="qualified">
    <xsd:import namespace="http://schemas.microsoft.com/office/2006/documentManagement/types"/>
    <xsd:import namespace="http://schemas.microsoft.com/office/infopath/2007/PartnerControls"/>
    <xsd:element name="hcb23a24e4de407489d3a3eecb6e0249" ma:index="8" nillable="true" ma:taxonomy="true" ma:internalName="hcb23a24e4de407489d3a3eecb6e0249" ma:taxonomyFieldName="ServiceArea" ma:displayName="Service Area" ma:default="" ma:fieldId="{1cb23a24-e4de-4074-89d3-a3eecb6e0249}" ma:taxonomyMulti="true" ma:sspId="f80968cf-7d74-4497-b354-a7888ff94226" ma:termSetId="33c3c013-0c95-4c03-87c4-033d6daf05e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f39961-fb74-4862-baf5-724a90ca99c1}" ma:internalName="TaxCatchAll" ma:showField="CatchAllData" ma:web="80212b46-bd34-44df-aae9-21548488d16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f39961-fb74-4862-baf5-724a90ca99c1}" ma:internalName="TaxCatchAllLabel" ma:readOnly="true" ma:showField="CatchAllDataLabel" ma:web="80212b46-bd34-44df-aae9-21548488d16b">
      <xsd:complexType>
        <xsd:complexContent>
          <xsd:extension base="dms:MultiChoiceLookup">
            <xsd:sequence>
              <xsd:element name="Value" type="dms:Lookup" maxOccurs="unbounded" minOccurs="0" nillable="true"/>
            </xsd:sequence>
          </xsd:extension>
        </xsd:complexContent>
      </xsd:complexType>
    </xsd:element>
    <xsd:element name="maa9dcae6b8743e1ac9a8b1f9636e8fb" ma:index="12" ma:taxonomy="true" ma:internalName="maa9dcae6b8743e1ac9a8b1f9636e8fb" ma:taxonomyFieldName="DocumentType" ma:displayName="Document Type" ma:default="" ma:fieldId="{6aa9dcae-6b87-43e1-ac9a-8b1f9636e8fb}" ma:taxonomyMulti="true" ma:sspId="f80968cf-7d74-4497-b354-a7888ff94226" ma:termSetId="38052ec0-c2eb-4e70-9201-10bd67fa08b0" ma:anchorId="00000000-0000-0000-0000-000000000000" ma:open="false" ma:isKeyword="false">
      <xsd:complexType>
        <xsd:sequence>
          <xsd:element ref="pc:Terms" minOccurs="0" maxOccurs="1"/>
        </xsd:sequence>
      </xsd:complexType>
    </xsd:element>
    <xsd:element name="pab6d7c81f834e8587de0b12ce69d530" ma:index="14" ma:taxonomy="true" ma:internalName="pab6d7c81f834e8587de0b12ce69d530" ma:taxonomyFieldName="SubjectArea" ma:displayName="Subject Area" ma:default="" ma:fieldId="{9ab6d7c8-1f83-4e85-87de-0b12ce69d530}" ma:taxonomyMulti="true" ma:sspId="f80968cf-7d74-4497-b354-a7888ff94226" ma:termSetId="fe26c664-4f94-44d1-a24b-5e722e71d4d1" ma:anchorId="00000000-0000-0000-0000-000000000000" ma:open="false" ma:isKeyword="false">
      <xsd:complexType>
        <xsd:sequence>
          <xsd:element ref="pc:Terms" minOccurs="0" maxOccurs="1"/>
        </xsd:sequence>
      </xsd:complexType>
    </xsd:element>
    <xsd:element name="NFRSContentOwner" ma:index="16" ma:displayName="Content Owner" ma:list="UserInfo" ma:SearchPeopleOnly="false" ma:SharePointGroup="0" ma:internalName="NFRS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FRSContentReviewDate" ma:index="17" ma:displayName="Content Review Date" ma:format="DateOnly" ma:internalName="NFRSContentReviewDate">
      <xsd:simpleType>
        <xsd:restriction base="dms:DateTime"/>
      </xsd:simpleType>
    </xsd:element>
    <xsd:element name="NFRSReviewFrequency" ma:index="18" nillable="true" ma:displayName="Review Frequency" ma:default="11 months" ma:format="Dropdown" ma:internalName="NFRSReviewFrequency">
      <xsd:simpleType>
        <xsd:restriction base="dms:Choice">
          <xsd:enumeration value="1 month"/>
          <xsd:enumeration value="2 months"/>
          <xsd:enumeration value="3 months"/>
          <xsd:enumeration value="4 months"/>
          <xsd:enumeration value="5 months"/>
          <xsd:enumeration value="6 months"/>
          <xsd:enumeration value="7 months"/>
          <xsd:enumeration value="8 months"/>
          <xsd:enumeration value="9 months"/>
          <xsd:enumeration value="10 months"/>
          <xsd:enumeration value="11 months"/>
          <xsd:enumeration value="12 months"/>
          <xsd:enumeration value="18 months"/>
          <xsd:enumeration value="24 month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80968cf-7d74-4497-b354-a7888ff94226" ContentTypeId="0x01010086CC0D19DD51234785A31F0F5D38B8DD" PreviousValue="false"/>
</file>

<file path=customXml/item4.xml><?xml version="1.0" encoding="utf-8"?>
<?mso-contentType ?>
<p:Policy xmlns:p="office.server.policy" id="" local="true">
  <p:Name>NFRS Document</p:Name>
  <p:Description/>
  <p:Statement/>
  <p:PolicyItems>
    <p:PolicyItem featureId="Microsoft.Office.RecordsManagement.PolicyFeatures.Expiration" staticId="0x01010086CC0D19DD51234785A31F0F5D38B8DD|78199066" UniqueId="7e14a31c-0910-48aa-adf9-41bfdcc4ea1a">
      <p:Name>Retention</p:Name>
      <p:Description>Automatic scheduling of content for processing, and performing a retention action on content that has reached its due date.</p:Description>
      <p:CustomData>
        <Schedules nextStageId="2">
          <Schedule type="Default">
            <stages>
              <data stageId="1" recur="true" offset="7" unit="days">
                <formula id="Microsoft.Office.RecordsManagement.PolicyFeatures.Expiration.Formula.BuiltIn">
                  <number>0</number>
                  <property>NFRSContentReviewDate</property>
                  <propertyId>7bd3531b-a0e5-43ef-8e98-c9a38591f548</propertyId>
                  <period>days</period>
                </formula>
                <action type="workflow" id="a7573f65-5ed5-4a96-8277-8fdf5e5be51a"/>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maa9dcae6b8743e1ac9a8b1f9636e8fb xmlns="b1b0ec1b-aa08-4612-a633-24afa60ef0a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d38eebe3-d119-4dce-9eea-dcc174300977</TermId>
        </TermInfo>
      </Terms>
    </maa9dcae6b8743e1ac9a8b1f9636e8fb>
    <NFRSContentOwner xmlns="b1b0ec1b-aa08-4612-a633-24afa60ef0a4">
      <UserInfo>
        <DisplayName>Finance Team</DisplayName>
        <AccountId>422</AccountId>
        <AccountType/>
      </UserInfo>
    </NFRSContentOwner>
    <pab6d7c81f834e8587de0b12ce69d530 xmlns="b1b0ec1b-aa08-4612-a633-24afa60ef0a4">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62da4c92-d7fe-4cac-854d-000390022a07</TermId>
        </TermInfo>
      </Terms>
    </pab6d7c81f834e8587de0b12ce69d530>
    <NFRSContentReviewDate xmlns="b1b0ec1b-aa08-4612-a633-24afa60ef0a4">2022-12-01T00:00:00+00:00</NFRSContentReviewDate>
    <NFRSReviewFrequency xmlns="b1b0ec1b-aa08-4612-a633-24afa60ef0a4">11 months</NFRSReviewFrequency>
    <TaxCatchAll xmlns="b1b0ec1b-aa08-4612-a633-24afa60ef0a4">
      <Value>21</Value>
      <Value>66</Value>
    </TaxCatchAll>
    <hcb23a24e4de407489d3a3eecb6e0249 xmlns="b1b0ec1b-aa08-4612-a633-24afa60ef0a4">
      <Terms xmlns="http://schemas.microsoft.com/office/infopath/2007/PartnerControls"/>
    </hcb23a24e4de407489d3a3eecb6e0249>
    <_dlc_ExpireDateSaved xmlns="http://schemas.microsoft.com/sharepoint/v3" xsi:nil="true"/>
    <_dlc_ExpireDate xmlns="http://schemas.microsoft.com/sharepoint/v3">2022-12-01T00:00:00+00:00</_dlc_ExpireDate>
  </documentManagement>
</p:properties>
</file>

<file path=customXml/itemProps1.xml><?xml version="1.0" encoding="utf-8"?>
<ds:datastoreItem xmlns:ds="http://schemas.openxmlformats.org/officeDocument/2006/customXml" ds:itemID="{345ECE11-B67F-48F9-A8C9-0C954CCE75BC}">
  <ds:schemaRefs>
    <ds:schemaRef ds:uri="http://schemas.openxmlformats.org/officeDocument/2006/bibliography"/>
  </ds:schemaRefs>
</ds:datastoreItem>
</file>

<file path=customXml/itemProps2.xml><?xml version="1.0" encoding="utf-8"?>
<ds:datastoreItem xmlns:ds="http://schemas.openxmlformats.org/officeDocument/2006/customXml" ds:itemID="{74AA2819-6FC6-40BA-BC5A-76C6EF64F210}"/>
</file>

<file path=customXml/itemProps3.xml><?xml version="1.0" encoding="utf-8"?>
<ds:datastoreItem xmlns:ds="http://schemas.openxmlformats.org/officeDocument/2006/customXml" ds:itemID="{B7613A7B-2472-49EE-BC1D-425F4ACB732C}"/>
</file>

<file path=customXml/itemProps4.xml><?xml version="1.0" encoding="utf-8"?>
<ds:datastoreItem xmlns:ds="http://schemas.openxmlformats.org/officeDocument/2006/customXml" ds:itemID="{ECAC24FF-933C-41F7-A1E6-20C83704C7C2}"/>
</file>

<file path=customXml/itemProps5.xml><?xml version="1.0" encoding="utf-8"?>
<ds:datastoreItem xmlns:ds="http://schemas.openxmlformats.org/officeDocument/2006/customXml" ds:itemID="{1FDABEA2-4FA5-4E4D-931C-1556AA4CF0B4}"/>
</file>

<file path=customXml/itemProps6.xml><?xml version="1.0" encoding="utf-8"?>
<ds:datastoreItem xmlns:ds="http://schemas.openxmlformats.org/officeDocument/2006/customXml" ds:itemID="{C9688095-B2D1-4C08-BA41-CAFA55E72F37}"/>
</file>

<file path=customXml/itemProps7.xml><?xml version="1.0" encoding="utf-8"?>
<ds:datastoreItem xmlns:ds="http://schemas.openxmlformats.org/officeDocument/2006/customXml" ds:itemID="{276BF17F-B0FC-487E-89EF-A01CF85690EA}"/>
</file>

<file path=docProps/app.xml><?xml version="1.0" encoding="utf-8"?>
<Properties xmlns="http://schemas.openxmlformats.org/officeDocument/2006/extended-properties" xmlns:vt="http://schemas.openxmlformats.org/officeDocument/2006/docPropsVTypes">
  <Template>Normal</Template>
  <TotalTime>10</TotalTime>
  <Pages>7</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Blackburn</dc:creator>
  <cp:lastModifiedBy>Becky Smeathers</cp:lastModifiedBy>
  <cp:revision>3</cp:revision>
  <cp:lastPrinted>2019-07-16T08:14:00Z</cp:lastPrinted>
  <dcterms:created xsi:type="dcterms:W3CDTF">2021-09-14T14:06:00Z</dcterms:created>
  <dcterms:modified xsi:type="dcterms:W3CDTF">2021-09-14T14:16:00Z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0x01010086CC0D19DD51234785A31F0F5D38B8DD00B553D3B0AC61BD499D329EC4673E5F10</vt:lpwstr>
  </property>
  <property fmtid="{D5CDD505-2E9C-101B-9397-08002B2CF9AE}" pid="3" name="_dlc_policyId">
    <vt:lpwstr>0x01010086CC0D19DD51234785A31F0F5D38B8DD|78199066</vt:lpwstr>
  </property>
  <property fmtid="{D5CDD505-2E9C-101B-9397-08002B2CF9AE}" pid="4" name="ItemRetentionFormula">
    <vt:lpwstr>&lt;formula id="Microsoft.Office.RecordsManagement.PolicyFeatures.Expiration.Formula.BuiltIn"&gt;&lt;number&gt;0&lt;/number&gt;&lt;property&gt;NFRSContentReviewDate&lt;/property&gt;&lt;propertyId&gt;7bd3531b-a0e5-43ef-8e98-c9a38591f548&lt;/propertyId&gt;&lt;period&gt;days&lt;/period&gt;&lt;/formula&gt;</vt:lpwstr>
  </property>
  <property fmtid="{D5CDD505-2E9C-101B-9397-08002B2CF9AE}" pid="5" name="SubjectArea">
    <vt:lpwstr>21;#Governance|62da4c92-d7fe-4cac-854d-000390022a07</vt:lpwstr>
  </property>
  <property fmtid="{D5CDD505-2E9C-101B-9397-08002B2CF9AE}" pid="6" name="ServiceArea">
    <vt:lpwstr/>
  </property>
  <property fmtid="{D5CDD505-2E9C-101B-9397-08002B2CF9AE}" pid="7" name="DocumentType">
    <vt:lpwstr>66;#Report|d38eebe3-d119-4dce-9eea-dcc174300977</vt:lpwstr>
  </property>
</Properties>
</file>