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017" w:rsidRDefault="0027365C" w:rsidP="00165A04">
      <w:pPr>
        <w:spacing w:before="100" w:beforeAutospacing="1" w:after="100" w:afterAutospacing="1"/>
        <w:rPr>
          <w:sz w:val="48"/>
          <w:szCs w:val="48"/>
        </w:rPr>
      </w:pPr>
      <w:r>
        <w:rPr>
          <w:noProof/>
          <w:sz w:val="48"/>
          <w:szCs w:val="48"/>
          <w:lang w:eastAsia="en-GB"/>
        </w:rPr>
        <w:drawing>
          <wp:anchor distT="0" distB="0" distL="114300" distR="114300" simplePos="0" relativeHeight="251658240" behindDoc="1" locked="0" layoutInCell="1" allowOverlap="1" wp14:anchorId="7E63F197" wp14:editId="5B381E52">
            <wp:simplePos x="0" y="0"/>
            <wp:positionH relativeFrom="page">
              <wp:align>left</wp:align>
            </wp:positionH>
            <wp:positionV relativeFrom="page">
              <wp:posOffset>-152400</wp:posOffset>
            </wp:positionV>
            <wp:extent cx="7560000" cy="1069200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G report_justwypf.pn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rsidR="00911017" w:rsidRDefault="00911017" w:rsidP="00BE1CB8">
      <w:pPr>
        <w:spacing w:before="100" w:beforeAutospacing="1" w:after="100" w:afterAutospacing="1"/>
        <w:ind w:hanging="700"/>
        <w:rPr>
          <w:sz w:val="48"/>
          <w:szCs w:val="48"/>
        </w:rPr>
      </w:pPr>
    </w:p>
    <w:p w:rsidR="00911017" w:rsidRDefault="00911017" w:rsidP="00BE1CB8">
      <w:pPr>
        <w:spacing w:before="100" w:beforeAutospacing="1" w:after="100" w:afterAutospacing="1"/>
        <w:ind w:hanging="700"/>
        <w:rPr>
          <w:sz w:val="48"/>
          <w:szCs w:val="48"/>
        </w:rPr>
      </w:pPr>
    </w:p>
    <w:p w:rsidR="00911017" w:rsidRDefault="00911017" w:rsidP="00BE1CB8">
      <w:pPr>
        <w:spacing w:before="100" w:beforeAutospacing="1" w:after="100" w:afterAutospacing="1"/>
        <w:ind w:hanging="700"/>
        <w:rPr>
          <w:sz w:val="48"/>
          <w:szCs w:val="48"/>
        </w:rPr>
      </w:pPr>
    </w:p>
    <w:p w:rsidR="00911017" w:rsidRDefault="00911017" w:rsidP="00BE1CB8">
      <w:pPr>
        <w:spacing w:before="100" w:beforeAutospacing="1" w:after="100" w:afterAutospacing="1"/>
        <w:ind w:hanging="700"/>
        <w:rPr>
          <w:sz w:val="48"/>
          <w:szCs w:val="48"/>
        </w:rPr>
      </w:pPr>
    </w:p>
    <w:p w:rsidR="00911017" w:rsidRDefault="00911017" w:rsidP="00BE1CB8">
      <w:pPr>
        <w:spacing w:before="100" w:beforeAutospacing="1" w:after="100" w:afterAutospacing="1"/>
        <w:ind w:hanging="700"/>
        <w:rPr>
          <w:sz w:val="48"/>
          <w:szCs w:val="48"/>
        </w:rPr>
      </w:pPr>
    </w:p>
    <w:p w:rsidR="00911017" w:rsidRDefault="00911017" w:rsidP="00BE1CB8">
      <w:pPr>
        <w:spacing w:before="100" w:beforeAutospacing="1" w:after="100" w:afterAutospacing="1"/>
        <w:ind w:hanging="700"/>
        <w:rPr>
          <w:sz w:val="48"/>
          <w:szCs w:val="48"/>
        </w:rPr>
      </w:pPr>
    </w:p>
    <w:p w:rsidR="00755317" w:rsidRDefault="005F6F1D" w:rsidP="00755317">
      <w:pPr>
        <w:spacing w:before="100" w:beforeAutospacing="1" w:after="100" w:afterAutospacing="1"/>
        <w:ind w:hanging="700"/>
        <w:rPr>
          <w:sz w:val="48"/>
          <w:szCs w:val="48"/>
        </w:rPr>
      </w:pPr>
      <w:r>
        <w:rPr>
          <w:sz w:val="48"/>
          <w:szCs w:val="48"/>
        </w:rPr>
        <w:t xml:space="preserve"> </w:t>
      </w:r>
      <w:r w:rsidR="002C24D4">
        <w:rPr>
          <w:sz w:val="48"/>
          <w:szCs w:val="48"/>
        </w:rPr>
        <w:t xml:space="preserve"> February </w:t>
      </w:r>
      <w:r w:rsidR="00DE70D9">
        <w:rPr>
          <w:sz w:val="48"/>
          <w:szCs w:val="48"/>
        </w:rPr>
        <w:t>2023</w:t>
      </w:r>
    </w:p>
    <w:p w:rsidR="00911017" w:rsidRDefault="005F6F1D" w:rsidP="00BE1CB8">
      <w:pPr>
        <w:spacing w:before="100" w:beforeAutospacing="1" w:after="100" w:afterAutospacing="1"/>
        <w:ind w:hanging="700"/>
        <w:rPr>
          <w:sz w:val="48"/>
          <w:szCs w:val="48"/>
        </w:rPr>
      </w:pPr>
      <w:r>
        <w:rPr>
          <w:noProof/>
          <w:sz w:val="48"/>
          <w:szCs w:val="48"/>
          <w:lang w:eastAsia="en-GB"/>
        </w:rPr>
        <w:t xml:space="preserve">  </w:t>
      </w:r>
      <w:r w:rsidR="00915C6E">
        <w:rPr>
          <w:noProof/>
          <w:sz w:val="48"/>
          <w:szCs w:val="48"/>
          <w:lang w:eastAsia="en-GB"/>
        </w:rPr>
        <w:t>Nottinghamshire</w:t>
      </w:r>
      <w:r w:rsidR="00831979">
        <w:rPr>
          <w:sz w:val="48"/>
          <w:szCs w:val="48"/>
        </w:rPr>
        <w:t xml:space="preserve"> Fire Authority</w:t>
      </w:r>
    </w:p>
    <w:p w:rsidR="00911017" w:rsidRDefault="00911017">
      <w:pPr>
        <w:rPr>
          <w:sz w:val="48"/>
          <w:szCs w:val="48"/>
        </w:rPr>
      </w:pPr>
      <w:r>
        <w:rPr>
          <w:sz w:val="48"/>
          <w:szCs w:val="48"/>
        </w:rPr>
        <w:br w:type="page"/>
      </w:r>
    </w:p>
    <w:p w:rsidR="00543B77" w:rsidRPr="00543B77" w:rsidRDefault="00543B77" w:rsidP="00543B77">
      <w:pPr>
        <w:spacing w:after="0"/>
      </w:pPr>
      <w:r w:rsidRPr="00543B77">
        <w:lastRenderedPageBreak/>
        <w:t>Prepared by:</w:t>
      </w:r>
    </w:p>
    <w:p w:rsidR="00543B77" w:rsidRPr="00543B77" w:rsidRDefault="00543B77" w:rsidP="00543B77">
      <w:pPr>
        <w:spacing w:after="0"/>
      </w:pPr>
    </w:p>
    <w:p w:rsidR="00197734" w:rsidRDefault="00197734" w:rsidP="00197734">
      <w:pPr>
        <w:spacing w:after="0"/>
        <w:rPr>
          <w:b/>
          <w:sz w:val="28"/>
          <w:szCs w:val="28"/>
        </w:rPr>
      </w:pPr>
      <w:r>
        <w:rPr>
          <w:b/>
          <w:sz w:val="28"/>
          <w:szCs w:val="28"/>
        </w:rPr>
        <w:t>Matt Mott</w:t>
      </w:r>
    </w:p>
    <w:p w:rsidR="00197734" w:rsidRDefault="00197734" w:rsidP="00197734">
      <w:pPr>
        <w:spacing w:after="0"/>
      </w:pPr>
      <w:r>
        <w:t>Governance and Business Development Manager</w:t>
      </w:r>
    </w:p>
    <w:p w:rsidR="00197734" w:rsidRDefault="00197734" w:rsidP="00197734">
      <w:pPr>
        <w:spacing w:after="0"/>
      </w:pPr>
      <w:r>
        <w:t>Mobile: 07815 476877</w:t>
      </w:r>
    </w:p>
    <w:p w:rsidR="00197734" w:rsidRDefault="00197734" w:rsidP="00197734">
      <w:pPr>
        <w:spacing w:after="0"/>
      </w:pPr>
      <w:r>
        <w:t>Email:  matt.mott@wypf.org.uk</w:t>
      </w:r>
    </w:p>
    <w:p w:rsidR="00543B77" w:rsidRPr="00543B77" w:rsidRDefault="00543B77" w:rsidP="00543B77">
      <w:pPr>
        <w:spacing w:after="0"/>
      </w:pPr>
    </w:p>
    <w:p w:rsidR="00543B77" w:rsidRPr="00543B77" w:rsidRDefault="00543B77" w:rsidP="00543B77">
      <w:pPr>
        <w:spacing w:after="0"/>
      </w:pPr>
    </w:p>
    <w:p w:rsidR="00543B77" w:rsidRPr="00543B77" w:rsidRDefault="00543B77" w:rsidP="00543B77">
      <w:pPr>
        <w:spacing w:after="0"/>
      </w:pPr>
    </w:p>
    <w:p w:rsidR="00543B77" w:rsidRPr="00543B77" w:rsidRDefault="00543B77" w:rsidP="00543B77">
      <w:pPr>
        <w:spacing w:after="0"/>
        <w:rPr>
          <w:rFonts w:cs="Arial"/>
        </w:rPr>
      </w:pPr>
      <w:r w:rsidRPr="00543B77">
        <w:rPr>
          <w:rFonts w:cs="Arial"/>
        </w:rPr>
        <w:t>West Yorkshire Pension Fund</w:t>
      </w:r>
    </w:p>
    <w:p w:rsidR="00543B77" w:rsidRPr="00543B77" w:rsidRDefault="00543B77" w:rsidP="00543B77">
      <w:pPr>
        <w:spacing w:after="0"/>
        <w:rPr>
          <w:rFonts w:cs="Arial"/>
        </w:rPr>
      </w:pPr>
      <w:r w:rsidRPr="00543B77">
        <w:rPr>
          <w:rFonts w:cs="Arial"/>
        </w:rPr>
        <w:t>Aldermanbury House</w:t>
      </w:r>
    </w:p>
    <w:p w:rsidR="00543B77" w:rsidRPr="00543B77" w:rsidRDefault="00543B77" w:rsidP="00543B77">
      <w:pPr>
        <w:spacing w:after="0"/>
        <w:rPr>
          <w:rFonts w:cs="Arial"/>
        </w:rPr>
      </w:pPr>
      <w:r w:rsidRPr="00543B77">
        <w:rPr>
          <w:rFonts w:cs="Arial"/>
        </w:rPr>
        <w:t>4 Godwin Street</w:t>
      </w:r>
    </w:p>
    <w:p w:rsidR="00543B77" w:rsidRPr="00543B77" w:rsidRDefault="00543B77" w:rsidP="00543B77">
      <w:pPr>
        <w:spacing w:after="0"/>
        <w:rPr>
          <w:rFonts w:cs="Arial"/>
        </w:rPr>
      </w:pPr>
      <w:r w:rsidRPr="00543B77">
        <w:rPr>
          <w:rFonts w:cs="Arial"/>
        </w:rPr>
        <w:t>Bradford</w:t>
      </w:r>
    </w:p>
    <w:p w:rsidR="00543B77" w:rsidRPr="00543B77" w:rsidRDefault="00543B77" w:rsidP="00543B77">
      <w:pPr>
        <w:spacing w:after="0"/>
        <w:rPr>
          <w:rFonts w:cs="Arial"/>
        </w:rPr>
      </w:pPr>
      <w:r w:rsidRPr="00543B77">
        <w:rPr>
          <w:rFonts w:cs="Arial"/>
        </w:rPr>
        <w:t>BD1 2ST</w:t>
      </w:r>
    </w:p>
    <w:p w:rsidR="00543B77" w:rsidRPr="00543B77" w:rsidRDefault="00543B77" w:rsidP="00543B77">
      <w:pPr>
        <w:spacing w:after="0"/>
        <w:rPr>
          <w:rFonts w:cs="Arial"/>
        </w:rPr>
      </w:pPr>
    </w:p>
    <w:p w:rsidR="00543B77" w:rsidRPr="00543B77" w:rsidRDefault="00543B77" w:rsidP="00543B77">
      <w:pPr>
        <w:spacing w:after="0"/>
        <w:rPr>
          <w:rFonts w:cs="Arial"/>
          <w:lang w:val="en-US"/>
        </w:rPr>
      </w:pPr>
      <w:r w:rsidRPr="00543B77">
        <w:rPr>
          <w:rFonts w:cs="Arial"/>
        </w:rPr>
        <w:t>www.wypf.org.uk</w:t>
      </w:r>
    </w:p>
    <w:p w:rsidR="00543B77" w:rsidRPr="00543B77" w:rsidRDefault="00543B77" w:rsidP="00543B77">
      <w:pPr>
        <w:spacing w:after="0"/>
        <w:rPr>
          <w:rFonts w:cs="Arial"/>
          <w:lang w:val="en-US"/>
        </w:rPr>
      </w:pPr>
    </w:p>
    <w:p w:rsidR="00543B77" w:rsidRPr="00543B77" w:rsidRDefault="00543B77" w:rsidP="00543B77">
      <w:pPr>
        <w:rPr>
          <w:rFonts w:eastAsia="Calibri" w:cs="Arial"/>
        </w:rPr>
      </w:pPr>
      <w:r w:rsidRPr="00543B77">
        <w:rPr>
          <w:rFonts w:eastAsia="Calibri" w:cs="Arial"/>
        </w:rPr>
        <w:t xml:space="preserve">Follow WYPF on Twitter </w:t>
      </w:r>
      <w:hyperlink r:id="rId9" w:history="1">
        <w:r w:rsidRPr="00543B77">
          <w:rPr>
            <w:rFonts w:eastAsia="Calibri" w:cs="Arial"/>
            <w:color w:val="0000FF"/>
            <w:u w:val="single"/>
          </w:rPr>
          <w:t>www.twitter.com/wypf_lgps</w:t>
        </w:r>
      </w:hyperlink>
    </w:p>
    <w:p w:rsidR="00543B77" w:rsidRDefault="00543B77" w:rsidP="00543B77">
      <w:pPr>
        <w:rPr>
          <w:rFonts w:eastAsia="Calibri" w:cs="Arial"/>
          <w:color w:val="0000FF"/>
          <w:u w:val="single"/>
        </w:rPr>
      </w:pPr>
      <w:r w:rsidRPr="00543B77">
        <w:rPr>
          <w:rFonts w:eastAsia="Calibri" w:cs="Arial"/>
        </w:rPr>
        <w:t xml:space="preserve">Follow WYPF on Facebook </w:t>
      </w:r>
      <w:hyperlink r:id="rId10" w:history="1">
        <w:r w:rsidRPr="00543B77">
          <w:rPr>
            <w:rFonts w:eastAsia="Calibri" w:cs="Arial"/>
            <w:color w:val="0000FF"/>
            <w:u w:val="single"/>
          </w:rPr>
          <w:t>www.facebook.com/westyorkshirepensionfund</w:t>
        </w:r>
      </w:hyperlink>
    </w:p>
    <w:p w:rsidR="00D5245F" w:rsidRDefault="00D5245F" w:rsidP="00543B77">
      <w:pPr>
        <w:rPr>
          <w:rFonts w:eastAsia="Calibri" w:cs="Arial"/>
          <w:color w:val="0000FF"/>
          <w:u w:val="single"/>
        </w:rPr>
      </w:pPr>
    </w:p>
    <w:p w:rsidR="00D5245F" w:rsidRPr="00543B77" w:rsidRDefault="00D5245F" w:rsidP="00543B77">
      <w:pPr>
        <w:rPr>
          <w:rFonts w:eastAsia="Calibri" w:cs="Arial"/>
        </w:rPr>
      </w:pPr>
    </w:p>
    <w:p w:rsidR="00D5245F" w:rsidRPr="00D5245F" w:rsidRDefault="00D5245F" w:rsidP="00D5245F">
      <w:pPr>
        <w:spacing w:after="0" w:line="240" w:lineRule="auto"/>
        <w:rPr>
          <w:rFonts w:ascii="Calibri" w:eastAsia="Calibri" w:hAnsi="Calibri" w:cs="Calibri"/>
          <w:color w:val="1F497D"/>
          <w:lang w:eastAsia="en-GB"/>
        </w:rPr>
      </w:pPr>
      <w:r w:rsidRPr="00D5245F">
        <w:rPr>
          <w:rFonts w:ascii="Calibri" w:eastAsia="Calibri" w:hAnsi="Calibri" w:cs="Calibri"/>
          <w:noProof/>
          <w:color w:val="1F497D"/>
          <w:lang w:eastAsia="en-GB"/>
        </w:rPr>
        <w:drawing>
          <wp:inline distT="0" distB="0" distL="0" distR="0" wp14:anchorId="5508673A" wp14:editId="61FCA863">
            <wp:extent cx="2371725" cy="1257300"/>
            <wp:effectExtent l="0" t="0" r="9525" b="0"/>
            <wp:docPr id="12" name="Picture 12" descr="cid:image003.jpg@01D8E9F1.C296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8E9F1.C296EA1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371725" cy="1257300"/>
                    </a:xfrm>
                    <a:prstGeom prst="rect">
                      <a:avLst/>
                    </a:prstGeom>
                    <a:noFill/>
                    <a:ln>
                      <a:noFill/>
                    </a:ln>
                  </pic:spPr>
                </pic:pic>
              </a:graphicData>
            </a:graphic>
          </wp:inline>
        </w:drawing>
      </w:r>
      <w:r w:rsidRPr="00D5245F">
        <w:rPr>
          <w:rFonts w:ascii="Calibri" w:eastAsia="Calibri" w:hAnsi="Calibri" w:cs="Calibri"/>
          <w:color w:val="1F497D"/>
          <w:lang w:eastAsia="en-GB"/>
        </w:rPr>
        <w:t> </w:t>
      </w:r>
      <w:r w:rsidRPr="00D5245F">
        <w:rPr>
          <w:rFonts w:ascii="Calibri" w:eastAsia="Calibri" w:hAnsi="Calibri" w:cs="Calibri"/>
          <w:noProof/>
          <w:color w:val="1F497D"/>
          <w:lang w:eastAsia="en-GB"/>
        </w:rPr>
        <w:drawing>
          <wp:inline distT="0" distB="0" distL="0" distR="0" wp14:anchorId="3E6D04E5" wp14:editId="2089C1BA">
            <wp:extent cx="2667000" cy="1171575"/>
            <wp:effectExtent l="0" t="0" r="0" b="9525"/>
            <wp:docPr id="13" name="Picture 13" descr="cid:image004.jpg@01D8E9F1.C296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8E9F1.C296EA1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667000" cy="1171575"/>
                    </a:xfrm>
                    <a:prstGeom prst="rect">
                      <a:avLst/>
                    </a:prstGeom>
                    <a:noFill/>
                    <a:ln>
                      <a:noFill/>
                    </a:ln>
                  </pic:spPr>
                </pic:pic>
              </a:graphicData>
            </a:graphic>
          </wp:inline>
        </w:drawing>
      </w:r>
      <w:r w:rsidRPr="00D5245F">
        <w:rPr>
          <w:rFonts w:ascii="Calibri" w:eastAsia="Calibri" w:hAnsi="Calibri" w:cs="Calibri"/>
          <w:color w:val="1F497D"/>
          <w:lang w:eastAsia="en-GB"/>
        </w:rPr>
        <w:t>   </w:t>
      </w:r>
      <w:r w:rsidRPr="00D5245F">
        <w:rPr>
          <w:rFonts w:ascii="Calibri" w:eastAsia="Calibri" w:hAnsi="Calibri" w:cs="Calibri"/>
          <w:noProof/>
          <w:color w:val="1F497D"/>
          <w:lang w:eastAsia="en-GB"/>
        </w:rPr>
        <w:drawing>
          <wp:inline distT="0" distB="0" distL="0" distR="0" wp14:anchorId="7761A373" wp14:editId="11A311C1">
            <wp:extent cx="2486025" cy="1152525"/>
            <wp:effectExtent l="0" t="0" r="9525" b="9525"/>
            <wp:docPr id="3" name="Picture 3" descr="cid:image005.png@01D8E9F1.C296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png@01D8E9F1.C296EA1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486025" cy="1152525"/>
                    </a:xfrm>
                    <a:prstGeom prst="rect">
                      <a:avLst/>
                    </a:prstGeom>
                    <a:noFill/>
                    <a:ln>
                      <a:noFill/>
                    </a:ln>
                  </pic:spPr>
                </pic:pic>
              </a:graphicData>
            </a:graphic>
          </wp:inline>
        </w:drawing>
      </w:r>
      <w:r w:rsidRPr="00D5245F">
        <w:rPr>
          <w:rFonts w:ascii="Calibri" w:eastAsia="Calibri" w:hAnsi="Calibri" w:cs="Calibri"/>
          <w:noProof/>
          <w:color w:val="1F497D"/>
          <w:lang w:eastAsia="en-GB"/>
        </w:rPr>
        <w:drawing>
          <wp:inline distT="0" distB="0" distL="0" distR="0" wp14:anchorId="77C85FF2" wp14:editId="0ADA7D4F">
            <wp:extent cx="2552700" cy="819150"/>
            <wp:effectExtent l="0" t="0" r="0" b="0"/>
            <wp:docPr id="4" name="Picture 4" descr="cid:image007.png@01D8E9F1.C296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7.png@01D8E9F1.C296EA1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552700" cy="819150"/>
                    </a:xfrm>
                    <a:prstGeom prst="rect">
                      <a:avLst/>
                    </a:prstGeom>
                    <a:noFill/>
                    <a:ln>
                      <a:noFill/>
                    </a:ln>
                  </pic:spPr>
                </pic:pic>
              </a:graphicData>
            </a:graphic>
          </wp:inline>
        </w:drawing>
      </w:r>
    </w:p>
    <w:p w:rsidR="00D5245F" w:rsidRPr="00D5245F" w:rsidRDefault="00D5245F" w:rsidP="00D5245F">
      <w:pPr>
        <w:spacing w:after="0" w:line="240" w:lineRule="auto"/>
        <w:jc w:val="both"/>
        <w:rPr>
          <w:rFonts w:ascii="Calibri" w:eastAsia="Calibri" w:hAnsi="Calibri" w:cs="Calibri"/>
          <w:color w:val="1F497D"/>
          <w:lang w:eastAsia="en-GB"/>
        </w:rPr>
      </w:pPr>
      <w:r w:rsidRPr="00D5245F">
        <w:rPr>
          <w:rFonts w:ascii="Calibri" w:eastAsia="Calibri" w:hAnsi="Calibri" w:cs="Calibri"/>
          <w:noProof/>
          <w:color w:val="1F497D"/>
          <w:lang w:eastAsia="en-GB"/>
        </w:rPr>
        <w:drawing>
          <wp:inline distT="0" distB="0" distL="0" distR="0" wp14:anchorId="5D15B9C7" wp14:editId="5FA698E9">
            <wp:extent cx="2371725" cy="933450"/>
            <wp:effectExtent l="0" t="0" r="9525" b="0"/>
            <wp:docPr id="5" name="Picture 5" descr="cid:image006.jpg@01D8E9F1.C296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6.jpg@01D8E9F1.C296EA1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371725" cy="933450"/>
                    </a:xfrm>
                    <a:prstGeom prst="rect">
                      <a:avLst/>
                    </a:prstGeom>
                    <a:noFill/>
                    <a:ln>
                      <a:noFill/>
                    </a:ln>
                  </pic:spPr>
                </pic:pic>
              </a:graphicData>
            </a:graphic>
          </wp:inline>
        </w:drawing>
      </w:r>
    </w:p>
    <w:p w:rsidR="00D5245F" w:rsidRPr="00D5245F" w:rsidRDefault="00D5245F" w:rsidP="00D5245F">
      <w:pPr>
        <w:spacing w:line="256" w:lineRule="auto"/>
        <w:rPr>
          <w:rFonts w:ascii="Calibri" w:eastAsia="Calibri" w:hAnsi="Calibri" w:cs="Times New Roman"/>
          <w:color w:val="008CB9"/>
          <w:sz w:val="72"/>
          <w:szCs w:val="72"/>
        </w:rPr>
      </w:pPr>
    </w:p>
    <w:p w:rsidR="005F6F1D" w:rsidRPr="005F6F1D" w:rsidRDefault="005F6F1D" w:rsidP="005F6F1D">
      <w:pPr>
        <w:rPr>
          <w:rFonts w:ascii="Calibri" w:eastAsia="Calibri" w:hAnsi="Calibri" w:cs="Times New Roman"/>
          <w:noProof/>
          <w:color w:val="1F497D"/>
          <w:lang w:eastAsia="en-GB"/>
        </w:rPr>
      </w:pPr>
    </w:p>
    <w:p w:rsidR="009D26C3" w:rsidRPr="0083101A" w:rsidRDefault="009D26C3" w:rsidP="009D26C3">
      <w:pPr>
        <w:spacing w:after="1920" w:line="254" w:lineRule="auto"/>
        <w:rPr>
          <w:rFonts w:ascii="Calibri" w:eastAsia="Calibri" w:hAnsi="Calibri" w:cs="Times New Roman"/>
          <w:color w:val="0070C0"/>
          <w:sz w:val="72"/>
          <w:szCs w:val="72"/>
        </w:rPr>
      </w:pPr>
      <w:r w:rsidRPr="0083101A">
        <w:rPr>
          <w:rFonts w:ascii="Calibri" w:eastAsia="Calibri" w:hAnsi="Calibri" w:cs="Times New Roman"/>
          <w:color w:val="0070C0"/>
          <w:sz w:val="72"/>
          <w:szCs w:val="72"/>
        </w:rPr>
        <w:lastRenderedPageBreak/>
        <w:t>Contents</w:t>
      </w:r>
    </w:p>
    <w:p w:rsidR="009D26C3" w:rsidRPr="0083101A" w:rsidRDefault="009D26C3" w:rsidP="009D26C3">
      <w:pPr>
        <w:tabs>
          <w:tab w:val="right" w:leader="dot" w:pos="6804"/>
        </w:tabs>
        <w:spacing w:after="240" w:line="254" w:lineRule="auto"/>
        <w:rPr>
          <w:rFonts w:ascii="Calibri" w:eastAsia="Calibri" w:hAnsi="Calibri" w:cs="Times New Roman"/>
          <w:color w:val="0070C0"/>
          <w:sz w:val="32"/>
          <w:szCs w:val="32"/>
        </w:rPr>
      </w:pPr>
      <w:r w:rsidRPr="0083101A">
        <w:rPr>
          <w:rFonts w:ascii="Calibri" w:eastAsia="Calibri" w:hAnsi="Calibri" w:cs="Times New Roman"/>
          <w:color w:val="0070C0"/>
          <w:sz w:val="32"/>
          <w:szCs w:val="32"/>
        </w:rPr>
        <w:t>1 Comp</w:t>
      </w:r>
      <w:r>
        <w:rPr>
          <w:rFonts w:ascii="Calibri" w:eastAsia="Calibri" w:hAnsi="Calibri" w:cs="Times New Roman"/>
          <w:color w:val="0070C0"/>
          <w:sz w:val="32"/>
          <w:szCs w:val="32"/>
        </w:rPr>
        <w:t>leted work …</w:t>
      </w:r>
      <w:r w:rsidR="00E022F2">
        <w:rPr>
          <w:rFonts w:ascii="Calibri" w:eastAsia="Calibri" w:hAnsi="Calibri" w:cs="Times New Roman"/>
          <w:color w:val="0070C0"/>
          <w:sz w:val="32"/>
          <w:szCs w:val="32"/>
        </w:rPr>
        <w:t>….</w:t>
      </w:r>
      <w:r>
        <w:rPr>
          <w:rFonts w:ascii="Calibri" w:eastAsia="Calibri" w:hAnsi="Calibri" w:cs="Times New Roman"/>
          <w:color w:val="0070C0"/>
          <w:sz w:val="32"/>
          <w:szCs w:val="32"/>
        </w:rPr>
        <w:t>…………………………………………4</w:t>
      </w:r>
    </w:p>
    <w:p w:rsidR="009D26C3" w:rsidRPr="0083101A" w:rsidRDefault="009D26C3" w:rsidP="009D26C3">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2 Work in progress</w:t>
      </w:r>
      <w:r>
        <w:rPr>
          <w:rFonts w:ascii="Calibri" w:eastAsia="Calibri" w:hAnsi="Calibri" w:cs="Times New Roman"/>
          <w:color w:val="0070C0"/>
          <w:sz w:val="32"/>
          <w:szCs w:val="32"/>
        </w:rPr>
        <w:tab/>
        <w:t>5</w:t>
      </w:r>
    </w:p>
    <w:p w:rsidR="009D26C3" w:rsidRPr="0083101A" w:rsidRDefault="009D26C3" w:rsidP="009D26C3">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3 Member web registrations</w:t>
      </w:r>
      <w:r>
        <w:rPr>
          <w:rFonts w:ascii="Calibri" w:eastAsia="Calibri" w:hAnsi="Calibri" w:cs="Times New Roman"/>
          <w:color w:val="0070C0"/>
          <w:sz w:val="32"/>
          <w:szCs w:val="32"/>
        </w:rPr>
        <w:tab/>
        <w:t>6</w:t>
      </w:r>
    </w:p>
    <w:p w:rsidR="009D26C3" w:rsidRPr="0083101A" w:rsidRDefault="009D26C3" w:rsidP="009D26C3">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4 Membership Numbers</w:t>
      </w:r>
      <w:r>
        <w:rPr>
          <w:rFonts w:ascii="Calibri" w:eastAsia="Calibri" w:hAnsi="Calibri" w:cs="Times New Roman"/>
          <w:color w:val="0070C0"/>
          <w:sz w:val="32"/>
          <w:szCs w:val="32"/>
        </w:rPr>
        <w:tab/>
        <w:t>7</w:t>
      </w:r>
    </w:p>
    <w:p w:rsidR="009D26C3" w:rsidRPr="0083101A" w:rsidRDefault="009D26C3" w:rsidP="009D26C3">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5 Administration Update</w:t>
      </w:r>
      <w:r>
        <w:rPr>
          <w:rFonts w:ascii="Calibri" w:eastAsia="Calibri" w:hAnsi="Calibri" w:cs="Times New Roman"/>
          <w:color w:val="0070C0"/>
          <w:sz w:val="32"/>
          <w:szCs w:val="32"/>
        </w:rPr>
        <w:tab/>
        <w:t>11</w:t>
      </w:r>
    </w:p>
    <w:p w:rsidR="009D26C3" w:rsidRPr="0083101A" w:rsidRDefault="009D26C3" w:rsidP="009D26C3">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6</w:t>
      </w:r>
      <w:r w:rsidRPr="0083101A">
        <w:rPr>
          <w:rFonts w:ascii="Calibri" w:eastAsia="Calibri" w:hAnsi="Calibri" w:cs="Times New Roman"/>
          <w:color w:val="0070C0"/>
          <w:sz w:val="32"/>
          <w:szCs w:val="32"/>
        </w:rPr>
        <w:t xml:space="preserve"> Communication &amp; Training</w:t>
      </w:r>
      <w:r>
        <w:rPr>
          <w:rFonts w:ascii="Calibri" w:eastAsia="Calibri" w:hAnsi="Calibri" w:cs="Times New Roman"/>
          <w:color w:val="0070C0"/>
          <w:sz w:val="32"/>
          <w:szCs w:val="32"/>
        </w:rPr>
        <w:tab/>
        <w:t>1</w:t>
      </w:r>
      <w:r w:rsidR="002C24D4">
        <w:rPr>
          <w:rFonts w:ascii="Calibri" w:eastAsia="Calibri" w:hAnsi="Calibri" w:cs="Times New Roman"/>
          <w:color w:val="0070C0"/>
          <w:sz w:val="32"/>
          <w:szCs w:val="32"/>
        </w:rPr>
        <w:t>1</w:t>
      </w:r>
    </w:p>
    <w:p w:rsidR="009D26C3" w:rsidRPr="0083101A" w:rsidRDefault="009D26C3" w:rsidP="009D26C3">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7</w:t>
      </w:r>
      <w:r w:rsidRPr="0083101A">
        <w:rPr>
          <w:rFonts w:ascii="Calibri" w:eastAsia="Calibri" w:hAnsi="Calibri" w:cs="Times New Roman"/>
          <w:color w:val="0070C0"/>
          <w:sz w:val="32"/>
          <w:szCs w:val="32"/>
        </w:rPr>
        <w:t xml:space="preserve"> </w:t>
      </w:r>
      <w:r>
        <w:rPr>
          <w:rFonts w:ascii="Calibri" w:eastAsia="Calibri" w:hAnsi="Calibri" w:cs="Times New Roman"/>
          <w:color w:val="0070C0"/>
          <w:sz w:val="32"/>
          <w:szCs w:val="32"/>
        </w:rPr>
        <w:t>Member Update …………………………………………......13</w:t>
      </w:r>
    </w:p>
    <w:p w:rsidR="009D26C3" w:rsidRPr="0083101A" w:rsidRDefault="009D26C3" w:rsidP="009D26C3">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8</w:t>
      </w:r>
      <w:r w:rsidRPr="0083101A">
        <w:rPr>
          <w:rFonts w:ascii="Calibri" w:eastAsia="Calibri" w:hAnsi="Calibri" w:cs="Times New Roman"/>
          <w:color w:val="0070C0"/>
          <w:sz w:val="32"/>
          <w:szCs w:val="32"/>
        </w:rPr>
        <w:t xml:space="preserve"> IT </w:t>
      </w:r>
      <w:r>
        <w:rPr>
          <w:rFonts w:ascii="Calibri" w:eastAsia="Calibri" w:hAnsi="Calibri" w:cs="Times New Roman"/>
          <w:color w:val="0070C0"/>
          <w:sz w:val="32"/>
          <w:szCs w:val="32"/>
        </w:rPr>
        <w:t>Update ………………………………………………………….13</w:t>
      </w:r>
    </w:p>
    <w:p w:rsidR="009D26C3" w:rsidRPr="0083101A" w:rsidRDefault="009D26C3" w:rsidP="009D26C3">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9 Five Year Audit Plan</w:t>
      </w:r>
      <w:r>
        <w:rPr>
          <w:rFonts w:ascii="Calibri" w:eastAsia="Calibri" w:hAnsi="Calibri" w:cs="Times New Roman"/>
          <w:color w:val="0070C0"/>
          <w:sz w:val="32"/>
          <w:szCs w:val="32"/>
        </w:rPr>
        <w:tab/>
        <w:t>14</w:t>
      </w:r>
    </w:p>
    <w:p w:rsidR="009D26C3" w:rsidRPr="0083101A" w:rsidRDefault="009D26C3" w:rsidP="009D26C3">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10</w:t>
      </w:r>
      <w:r w:rsidRPr="0083101A">
        <w:rPr>
          <w:rFonts w:ascii="Calibri" w:eastAsia="Calibri" w:hAnsi="Calibri" w:cs="Times New Roman"/>
          <w:color w:val="0070C0"/>
          <w:sz w:val="32"/>
          <w:szCs w:val="32"/>
        </w:rPr>
        <w:t xml:space="preserve"> Over</w:t>
      </w:r>
      <w:r>
        <w:rPr>
          <w:rFonts w:ascii="Calibri" w:eastAsia="Calibri" w:hAnsi="Calibri" w:cs="Times New Roman"/>
          <w:color w:val="0070C0"/>
          <w:sz w:val="32"/>
          <w:szCs w:val="32"/>
        </w:rPr>
        <w:t>riding Disclosure Time Limits</w:t>
      </w:r>
      <w:r>
        <w:rPr>
          <w:rFonts w:ascii="Calibri" w:eastAsia="Calibri" w:hAnsi="Calibri" w:cs="Times New Roman"/>
          <w:color w:val="0070C0"/>
          <w:sz w:val="32"/>
          <w:szCs w:val="32"/>
        </w:rPr>
        <w:tab/>
        <w:t>15</w:t>
      </w:r>
    </w:p>
    <w:p w:rsidR="009D26C3" w:rsidRDefault="009D26C3" w:rsidP="009D26C3">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11 Calendar of Events</w:t>
      </w:r>
      <w:r>
        <w:rPr>
          <w:rFonts w:ascii="Calibri" w:eastAsia="Calibri" w:hAnsi="Calibri" w:cs="Times New Roman"/>
          <w:color w:val="0070C0"/>
          <w:sz w:val="32"/>
          <w:szCs w:val="32"/>
        </w:rPr>
        <w:tab/>
        <w:t>17</w:t>
      </w:r>
    </w:p>
    <w:p w:rsidR="009D26C3" w:rsidRDefault="009D26C3" w:rsidP="009D26C3">
      <w:pPr>
        <w:tabs>
          <w:tab w:val="right" w:leader="dot" w:pos="6804"/>
        </w:tabs>
        <w:spacing w:after="240" w:line="254" w:lineRule="auto"/>
        <w:rPr>
          <w:rFonts w:ascii="Calibri" w:eastAsia="Calibri" w:hAnsi="Calibri" w:cs="Times New Roman"/>
          <w:color w:val="0070C0"/>
          <w:sz w:val="32"/>
          <w:szCs w:val="32"/>
        </w:rPr>
      </w:pPr>
      <w:r>
        <w:rPr>
          <w:rFonts w:ascii="Calibri" w:eastAsia="Calibri" w:hAnsi="Calibri" w:cs="Times New Roman"/>
          <w:color w:val="0070C0"/>
          <w:sz w:val="32"/>
          <w:szCs w:val="32"/>
        </w:rPr>
        <w:t>12</w:t>
      </w:r>
      <w:r w:rsidRPr="0083101A">
        <w:rPr>
          <w:rFonts w:ascii="Calibri" w:eastAsia="Calibri" w:hAnsi="Calibri" w:cs="Times New Roman"/>
          <w:color w:val="0070C0"/>
          <w:sz w:val="32"/>
          <w:szCs w:val="32"/>
        </w:rPr>
        <w:t xml:space="preserve"> R</w:t>
      </w:r>
      <w:r>
        <w:rPr>
          <w:rFonts w:ascii="Calibri" w:eastAsia="Calibri" w:hAnsi="Calibri" w:cs="Times New Roman"/>
          <w:color w:val="0070C0"/>
          <w:sz w:val="32"/>
          <w:szCs w:val="32"/>
        </w:rPr>
        <w:t>egulations/Fire Scheme Update</w:t>
      </w:r>
      <w:r>
        <w:rPr>
          <w:rFonts w:ascii="Calibri" w:eastAsia="Calibri" w:hAnsi="Calibri" w:cs="Times New Roman"/>
          <w:color w:val="0070C0"/>
          <w:sz w:val="32"/>
          <w:szCs w:val="32"/>
        </w:rPr>
        <w:tab/>
        <w:t>18</w:t>
      </w:r>
    </w:p>
    <w:p w:rsidR="009D26C3" w:rsidRDefault="009D26C3" w:rsidP="009D26C3">
      <w:pPr>
        <w:tabs>
          <w:tab w:val="right" w:leader="dot" w:pos="6804"/>
        </w:tabs>
        <w:spacing w:after="240" w:line="254" w:lineRule="auto"/>
        <w:rPr>
          <w:rFonts w:ascii="Calibri" w:eastAsia="Calibri" w:hAnsi="Calibri" w:cs="Times New Roman"/>
          <w:color w:val="0070C0"/>
          <w:sz w:val="32"/>
          <w:szCs w:val="32"/>
        </w:rPr>
      </w:pPr>
    </w:p>
    <w:p w:rsidR="005F6F1D" w:rsidRDefault="005F6F1D" w:rsidP="005F6F1D">
      <w:pPr>
        <w:tabs>
          <w:tab w:val="right" w:leader="dot" w:pos="6804"/>
        </w:tabs>
        <w:spacing w:after="240"/>
        <w:rPr>
          <w:rFonts w:ascii="Calibri" w:eastAsia="Calibri" w:hAnsi="Calibri" w:cs="Times New Roman"/>
          <w:sz w:val="24"/>
          <w:szCs w:val="24"/>
        </w:rPr>
      </w:pPr>
    </w:p>
    <w:p w:rsidR="006D44F4" w:rsidRDefault="006D44F4" w:rsidP="005F6F1D">
      <w:pPr>
        <w:tabs>
          <w:tab w:val="right" w:leader="dot" w:pos="6804"/>
        </w:tabs>
        <w:spacing w:after="240"/>
        <w:rPr>
          <w:rFonts w:ascii="Calibri" w:eastAsia="Calibri" w:hAnsi="Calibri" w:cs="Times New Roman"/>
          <w:sz w:val="24"/>
          <w:szCs w:val="24"/>
        </w:rPr>
      </w:pPr>
    </w:p>
    <w:p w:rsidR="0019773D" w:rsidRDefault="0019773D" w:rsidP="005F6F1D">
      <w:pPr>
        <w:tabs>
          <w:tab w:val="right" w:leader="dot" w:pos="6804"/>
        </w:tabs>
        <w:spacing w:after="240"/>
        <w:rPr>
          <w:rFonts w:ascii="Calibri" w:eastAsia="Calibri" w:hAnsi="Calibri" w:cs="Times New Roman"/>
          <w:sz w:val="24"/>
          <w:szCs w:val="24"/>
        </w:rPr>
      </w:pPr>
    </w:p>
    <w:p w:rsidR="0019773D" w:rsidRPr="005F6F1D" w:rsidRDefault="0019773D" w:rsidP="005F6F1D">
      <w:pPr>
        <w:tabs>
          <w:tab w:val="right" w:leader="dot" w:pos="6804"/>
        </w:tabs>
        <w:spacing w:after="240"/>
        <w:rPr>
          <w:rFonts w:ascii="Calibri" w:eastAsia="Calibri" w:hAnsi="Calibri" w:cs="Times New Roman"/>
          <w:sz w:val="24"/>
          <w:szCs w:val="24"/>
        </w:rPr>
      </w:pPr>
    </w:p>
    <w:p w:rsidR="005F6F1D" w:rsidRPr="005F6F1D" w:rsidRDefault="005F6F1D" w:rsidP="005F6F1D">
      <w:pPr>
        <w:tabs>
          <w:tab w:val="right" w:leader="dot" w:pos="6804"/>
        </w:tabs>
        <w:spacing w:after="240"/>
        <w:rPr>
          <w:rFonts w:ascii="Calibri" w:eastAsia="Calibri" w:hAnsi="Calibri" w:cs="Times New Roman"/>
          <w:sz w:val="24"/>
          <w:szCs w:val="24"/>
        </w:rPr>
      </w:pPr>
    </w:p>
    <w:p w:rsidR="00BC19D1" w:rsidRDefault="00BC19D1" w:rsidP="005F6F1D">
      <w:pPr>
        <w:ind w:left="851" w:hanging="851"/>
        <w:rPr>
          <w:rFonts w:ascii="Arial" w:eastAsia="Calibri" w:hAnsi="Arial" w:cs="Arial"/>
          <w:b/>
          <w:color w:val="2E74B5"/>
          <w:sz w:val="28"/>
          <w:szCs w:val="28"/>
        </w:rPr>
      </w:pPr>
    </w:p>
    <w:p w:rsidR="005F6F1D" w:rsidRPr="005F6F1D" w:rsidRDefault="005F6F1D" w:rsidP="005F6F1D">
      <w:pPr>
        <w:ind w:left="851" w:hanging="851"/>
        <w:rPr>
          <w:rFonts w:ascii="Arial" w:eastAsia="Calibri" w:hAnsi="Arial" w:cs="Arial"/>
          <w:color w:val="0070C0"/>
          <w:sz w:val="28"/>
          <w:szCs w:val="28"/>
        </w:rPr>
      </w:pPr>
      <w:r w:rsidRPr="005F6F1D">
        <w:rPr>
          <w:rFonts w:ascii="Arial" w:eastAsia="Calibri" w:hAnsi="Arial" w:cs="Arial"/>
          <w:b/>
          <w:color w:val="2E74B5"/>
          <w:sz w:val="28"/>
          <w:szCs w:val="28"/>
        </w:rPr>
        <w:t xml:space="preserve"> </w:t>
      </w:r>
      <w:r w:rsidRPr="005F6F1D">
        <w:rPr>
          <w:rFonts w:ascii="Arial" w:eastAsia="Calibri" w:hAnsi="Arial" w:cs="Arial"/>
          <w:b/>
          <w:color w:val="0070C0"/>
          <w:sz w:val="28"/>
          <w:szCs w:val="28"/>
        </w:rPr>
        <w:t>1.Completed processes</w:t>
      </w:r>
      <w:r w:rsidRPr="005F6F1D">
        <w:rPr>
          <w:rFonts w:ascii="Arial" w:eastAsia="Calibri" w:hAnsi="Arial" w:cs="Arial"/>
          <w:color w:val="0070C0"/>
          <w:sz w:val="28"/>
          <w:szCs w:val="28"/>
        </w:rPr>
        <w:t xml:space="preserve"> </w:t>
      </w:r>
    </w:p>
    <w:p w:rsidR="005F6F1D" w:rsidRPr="005F6F1D" w:rsidRDefault="005F6F1D" w:rsidP="005F6F1D">
      <w:pPr>
        <w:spacing w:after="0"/>
        <w:rPr>
          <w:rFonts w:ascii="Arial" w:eastAsia="Calibri" w:hAnsi="Arial" w:cs="Arial"/>
          <w:color w:val="374C80"/>
          <w:sz w:val="32"/>
          <w:szCs w:val="32"/>
        </w:rPr>
      </w:pPr>
    </w:p>
    <w:tbl>
      <w:tblPr>
        <w:tblStyle w:val="TableGrid3"/>
        <w:tblW w:w="9634" w:type="dxa"/>
        <w:tblLayout w:type="fixed"/>
        <w:tblLook w:val="04A0" w:firstRow="1" w:lastRow="0" w:firstColumn="1" w:lastColumn="0" w:noHBand="0" w:noVBand="1"/>
      </w:tblPr>
      <w:tblGrid>
        <w:gridCol w:w="2972"/>
        <w:gridCol w:w="851"/>
        <w:gridCol w:w="1275"/>
        <w:gridCol w:w="993"/>
        <w:gridCol w:w="1134"/>
        <w:gridCol w:w="1275"/>
        <w:gridCol w:w="1134"/>
      </w:tblGrid>
      <w:tr w:rsidR="005F6F1D" w:rsidRPr="005F6F1D" w:rsidTr="002C24D4">
        <w:trPr>
          <w:trHeight w:val="300"/>
        </w:trPr>
        <w:tc>
          <w:tcPr>
            <w:tcW w:w="8500" w:type="dxa"/>
            <w:gridSpan w:val="6"/>
            <w:tcBorders>
              <w:bottom w:val="single" w:sz="4" w:space="0" w:color="auto"/>
            </w:tcBorders>
            <w:noWrap/>
            <w:hideMark/>
          </w:tcPr>
          <w:p w:rsidR="005F6F1D" w:rsidRPr="005F6F1D" w:rsidRDefault="003063F4" w:rsidP="002C24D4">
            <w:pPr>
              <w:rPr>
                <w:rFonts w:ascii="Calibri" w:eastAsia="Calibri" w:hAnsi="Calibri" w:cs="Arial"/>
                <w:b/>
              </w:rPr>
            </w:pPr>
            <w:r>
              <w:rPr>
                <w:rFonts w:ascii="Calibri" w:eastAsia="Calibri" w:hAnsi="Calibri" w:cs="Arial"/>
                <w:b/>
              </w:rPr>
              <w:t xml:space="preserve">1 to </w:t>
            </w:r>
            <w:r w:rsidR="00753F97">
              <w:rPr>
                <w:rFonts w:ascii="Calibri" w:eastAsia="Calibri" w:hAnsi="Calibri" w:cs="Arial"/>
                <w:b/>
              </w:rPr>
              <w:t xml:space="preserve">31 </w:t>
            </w:r>
            <w:r w:rsidR="002C24D4">
              <w:rPr>
                <w:rFonts w:ascii="Calibri" w:eastAsia="Calibri" w:hAnsi="Calibri" w:cs="Arial"/>
                <w:b/>
              </w:rPr>
              <w:t>January 2023</w:t>
            </w:r>
          </w:p>
        </w:tc>
        <w:tc>
          <w:tcPr>
            <w:tcW w:w="1134" w:type="dxa"/>
            <w:tcBorders>
              <w:bottom w:val="single" w:sz="4" w:space="0" w:color="auto"/>
            </w:tcBorders>
          </w:tcPr>
          <w:p w:rsidR="005F6F1D" w:rsidRPr="005F6F1D" w:rsidRDefault="005F6F1D" w:rsidP="005F6F1D">
            <w:pPr>
              <w:rPr>
                <w:rFonts w:ascii="Calibri" w:eastAsia="Calibri" w:hAnsi="Calibri" w:cs="Arial"/>
                <w:b/>
              </w:rPr>
            </w:pPr>
          </w:p>
        </w:tc>
      </w:tr>
      <w:tr w:rsidR="005F6F1D" w:rsidRPr="005F6F1D" w:rsidTr="002C24D4">
        <w:trPr>
          <w:trHeight w:val="825"/>
        </w:trPr>
        <w:tc>
          <w:tcPr>
            <w:tcW w:w="2972" w:type="dxa"/>
            <w:shd w:val="clear" w:color="auto" w:fill="D3E5F6"/>
            <w:hideMark/>
          </w:tcPr>
          <w:p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Work Type</w:t>
            </w:r>
          </w:p>
        </w:tc>
        <w:tc>
          <w:tcPr>
            <w:tcW w:w="851" w:type="dxa"/>
            <w:shd w:val="clear" w:color="auto" w:fill="D3E5F6"/>
            <w:hideMark/>
          </w:tcPr>
          <w:p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Total Cases</w:t>
            </w:r>
          </w:p>
        </w:tc>
        <w:tc>
          <w:tcPr>
            <w:tcW w:w="1275" w:type="dxa"/>
            <w:shd w:val="clear" w:color="auto" w:fill="D3E5F6"/>
            <w:hideMark/>
          </w:tcPr>
          <w:p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Target days for each case</w:t>
            </w:r>
          </w:p>
        </w:tc>
        <w:tc>
          <w:tcPr>
            <w:tcW w:w="993" w:type="dxa"/>
            <w:shd w:val="clear" w:color="auto" w:fill="D3E5F6"/>
            <w:hideMark/>
          </w:tcPr>
          <w:p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Target met cases</w:t>
            </w:r>
          </w:p>
        </w:tc>
        <w:tc>
          <w:tcPr>
            <w:tcW w:w="1134" w:type="dxa"/>
            <w:shd w:val="clear" w:color="auto" w:fill="D3E5F6"/>
            <w:hideMark/>
          </w:tcPr>
          <w:p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Minimum Target Met</w:t>
            </w:r>
          </w:p>
        </w:tc>
        <w:tc>
          <w:tcPr>
            <w:tcW w:w="1275" w:type="dxa"/>
            <w:shd w:val="clear" w:color="auto" w:fill="D3E5F6"/>
            <w:hideMark/>
          </w:tcPr>
          <w:p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Target met percent</w:t>
            </w:r>
          </w:p>
        </w:tc>
        <w:tc>
          <w:tcPr>
            <w:tcW w:w="1134" w:type="dxa"/>
            <w:shd w:val="clear" w:color="auto" w:fill="D3E5F6"/>
            <w:hideMark/>
          </w:tcPr>
          <w:p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Average time taken</w:t>
            </w:r>
          </w:p>
        </w:tc>
      </w:tr>
      <w:tr w:rsidR="002C24D4" w:rsidRPr="002C24D4" w:rsidTr="002C24D4">
        <w:trPr>
          <w:trHeight w:val="300"/>
        </w:trPr>
        <w:tc>
          <w:tcPr>
            <w:tcW w:w="2972" w:type="dxa"/>
            <w:noWrap/>
            <w:hideMark/>
          </w:tcPr>
          <w:p w:rsidR="002C24D4" w:rsidRPr="002C24D4" w:rsidRDefault="002C24D4" w:rsidP="002C24D4">
            <w:pPr>
              <w:rPr>
                <w:rFonts w:ascii="Calibri" w:eastAsia="Times New Roman" w:hAnsi="Calibri" w:cs="Calibri"/>
                <w:color w:val="000000"/>
                <w:lang w:eastAsia="en-GB"/>
              </w:rPr>
            </w:pPr>
            <w:r>
              <w:rPr>
                <w:rFonts w:ascii="Calibri" w:eastAsia="Times New Roman" w:hAnsi="Calibri" w:cs="Calibri"/>
                <w:color w:val="000000"/>
                <w:lang w:eastAsia="en-GB"/>
              </w:rPr>
              <w:t>Divorce Settlement/</w:t>
            </w:r>
            <w:r w:rsidRPr="002C24D4">
              <w:rPr>
                <w:rFonts w:ascii="Calibri" w:eastAsia="Times New Roman" w:hAnsi="Calibri" w:cs="Calibri"/>
                <w:color w:val="000000"/>
                <w:lang w:eastAsia="en-GB"/>
              </w:rPr>
              <w:t>Pension Sharing order Implemented</w:t>
            </w:r>
          </w:p>
        </w:tc>
        <w:tc>
          <w:tcPr>
            <w:tcW w:w="851"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w:t>
            </w:r>
          </w:p>
        </w:tc>
        <w:tc>
          <w:tcPr>
            <w:tcW w:w="1275"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80</w:t>
            </w:r>
          </w:p>
        </w:tc>
        <w:tc>
          <w:tcPr>
            <w:tcW w:w="993"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w:t>
            </w:r>
          </w:p>
        </w:tc>
        <w:tc>
          <w:tcPr>
            <w:tcW w:w="1134"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100</w:t>
            </w:r>
          </w:p>
        </w:tc>
        <w:tc>
          <w:tcPr>
            <w:tcW w:w="1275"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100</w:t>
            </w:r>
          </w:p>
        </w:tc>
        <w:tc>
          <w:tcPr>
            <w:tcW w:w="1134"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w:t>
            </w:r>
          </w:p>
        </w:tc>
      </w:tr>
      <w:tr w:rsidR="002C24D4" w:rsidRPr="002C24D4" w:rsidTr="002C24D4">
        <w:trPr>
          <w:trHeight w:val="300"/>
        </w:trPr>
        <w:tc>
          <w:tcPr>
            <w:tcW w:w="2972" w:type="dxa"/>
            <w:noWrap/>
            <w:hideMark/>
          </w:tcPr>
          <w:p w:rsidR="002C24D4" w:rsidRPr="002C24D4" w:rsidRDefault="002C24D4" w:rsidP="002C24D4">
            <w:pPr>
              <w:rPr>
                <w:rFonts w:ascii="Calibri" w:eastAsia="Times New Roman" w:hAnsi="Calibri" w:cs="Calibri"/>
                <w:color w:val="000000"/>
                <w:lang w:eastAsia="en-GB"/>
              </w:rPr>
            </w:pPr>
            <w:r w:rsidRPr="002C24D4">
              <w:rPr>
                <w:rFonts w:ascii="Calibri" w:eastAsia="Times New Roman" w:hAnsi="Calibri" w:cs="Calibri"/>
                <w:color w:val="000000"/>
                <w:lang w:eastAsia="en-GB"/>
              </w:rPr>
              <w:t>Deferred Benefits Set Up on Leaving</w:t>
            </w:r>
          </w:p>
        </w:tc>
        <w:tc>
          <w:tcPr>
            <w:tcW w:w="851"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2</w:t>
            </w:r>
          </w:p>
        </w:tc>
        <w:tc>
          <w:tcPr>
            <w:tcW w:w="1275"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20</w:t>
            </w:r>
          </w:p>
        </w:tc>
        <w:tc>
          <w:tcPr>
            <w:tcW w:w="993"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2</w:t>
            </w:r>
          </w:p>
        </w:tc>
        <w:tc>
          <w:tcPr>
            <w:tcW w:w="1134"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85</w:t>
            </w:r>
          </w:p>
        </w:tc>
        <w:tc>
          <w:tcPr>
            <w:tcW w:w="1275"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100</w:t>
            </w:r>
          </w:p>
        </w:tc>
        <w:tc>
          <w:tcPr>
            <w:tcW w:w="1134"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7</w:t>
            </w:r>
          </w:p>
        </w:tc>
      </w:tr>
      <w:tr w:rsidR="002C24D4" w:rsidRPr="002C24D4" w:rsidTr="002C24D4">
        <w:trPr>
          <w:trHeight w:val="300"/>
        </w:trPr>
        <w:tc>
          <w:tcPr>
            <w:tcW w:w="2972" w:type="dxa"/>
            <w:noWrap/>
            <w:hideMark/>
          </w:tcPr>
          <w:p w:rsidR="002C24D4" w:rsidRPr="002C24D4" w:rsidRDefault="002C24D4" w:rsidP="002C24D4">
            <w:pPr>
              <w:rPr>
                <w:rFonts w:ascii="Calibri" w:eastAsia="Times New Roman" w:hAnsi="Calibri" w:cs="Calibri"/>
                <w:color w:val="000000"/>
                <w:lang w:eastAsia="en-GB"/>
              </w:rPr>
            </w:pPr>
            <w:r w:rsidRPr="002C24D4">
              <w:rPr>
                <w:rFonts w:ascii="Calibri" w:eastAsia="Times New Roman" w:hAnsi="Calibri" w:cs="Calibri"/>
                <w:color w:val="000000"/>
                <w:lang w:eastAsia="en-GB"/>
              </w:rPr>
              <w:t>Pension Estimate</w:t>
            </w:r>
          </w:p>
        </w:tc>
        <w:tc>
          <w:tcPr>
            <w:tcW w:w="851"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w:t>
            </w:r>
          </w:p>
        </w:tc>
        <w:tc>
          <w:tcPr>
            <w:tcW w:w="1275"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10</w:t>
            </w:r>
          </w:p>
        </w:tc>
        <w:tc>
          <w:tcPr>
            <w:tcW w:w="993"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w:t>
            </w:r>
          </w:p>
        </w:tc>
        <w:tc>
          <w:tcPr>
            <w:tcW w:w="1134"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90</w:t>
            </w:r>
          </w:p>
        </w:tc>
        <w:tc>
          <w:tcPr>
            <w:tcW w:w="1275"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100</w:t>
            </w:r>
          </w:p>
        </w:tc>
        <w:tc>
          <w:tcPr>
            <w:tcW w:w="1134"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2</w:t>
            </w:r>
          </w:p>
        </w:tc>
      </w:tr>
      <w:tr w:rsidR="002C24D4" w:rsidRPr="002C24D4" w:rsidTr="002C24D4">
        <w:trPr>
          <w:trHeight w:val="300"/>
        </w:trPr>
        <w:tc>
          <w:tcPr>
            <w:tcW w:w="2972" w:type="dxa"/>
            <w:noWrap/>
            <w:hideMark/>
          </w:tcPr>
          <w:p w:rsidR="002C24D4" w:rsidRPr="002C24D4" w:rsidRDefault="002C24D4" w:rsidP="002C24D4">
            <w:pPr>
              <w:rPr>
                <w:rFonts w:ascii="Calibri" w:eastAsia="Times New Roman" w:hAnsi="Calibri" w:cs="Calibri"/>
                <w:color w:val="000000"/>
                <w:lang w:eastAsia="en-GB"/>
              </w:rPr>
            </w:pPr>
            <w:r>
              <w:rPr>
                <w:rFonts w:ascii="Calibri" w:eastAsia="Times New Roman" w:hAnsi="Calibri" w:cs="Calibri"/>
                <w:color w:val="000000"/>
                <w:lang w:eastAsia="en-GB"/>
              </w:rPr>
              <w:t>Pension Set Up/</w:t>
            </w:r>
            <w:r w:rsidRPr="002C24D4">
              <w:rPr>
                <w:rFonts w:ascii="Calibri" w:eastAsia="Times New Roman" w:hAnsi="Calibri" w:cs="Calibri"/>
                <w:color w:val="000000"/>
                <w:lang w:eastAsia="en-GB"/>
              </w:rPr>
              <w:t>Payment of Lump Sum</w:t>
            </w:r>
          </w:p>
        </w:tc>
        <w:tc>
          <w:tcPr>
            <w:tcW w:w="851"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w:t>
            </w:r>
          </w:p>
        </w:tc>
        <w:tc>
          <w:tcPr>
            <w:tcW w:w="1275"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3</w:t>
            </w:r>
          </w:p>
        </w:tc>
        <w:tc>
          <w:tcPr>
            <w:tcW w:w="993"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w:t>
            </w:r>
          </w:p>
        </w:tc>
        <w:tc>
          <w:tcPr>
            <w:tcW w:w="1134"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85</w:t>
            </w:r>
          </w:p>
        </w:tc>
        <w:tc>
          <w:tcPr>
            <w:tcW w:w="1275"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100</w:t>
            </w:r>
          </w:p>
        </w:tc>
        <w:tc>
          <w:tcPr>
            <w:tcW w:w="1134"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2</w:t>
            </w:r>
          </w:p>
        </w:tc>
      </w:tr>
      <w:tr w:rsidR="002C24D4" w:rsidRPr="002C24D4" w:rsidTr="002C24D4">
        <w:trPr>
          <w:trHeight w:val="300"/>
        </w:trPr>
        <w:tc>
          <w:tcPr>
            <w:tcW w:w="2972" w:type="dxa"/>
            <w:noWrap/>
            <w:hideMark/>
          </w:tcPr>
          <w:p w:rsidR="002C24D4" w:rsidRPr="002C24D4" w:rsidRDefault="002C24D4" w:rsidP="002C24D4">
            <w:pPr>
              <w:rPr>
                <w:rFonts w:ascii="Calibri" w:eastAsia="Times New Roman" w:hAnsi="Calibri" w:cs="Calibri"/>
                <w:color w:val="000000"/>
                <w:lang w:eastAsia="en-GB"/>
              </w:rPr>
            </w:pPr>
            <w:r w:rsidRPr="002C24D4">
              <w:rPr>
                <w:rFonts w:ascii="Calibri" w:eastAsia="Times New Roman" w:hAnsi="Calibri" w:cs="Calibri"/>
                <w:color w:val="000000"/>
                <w:lang w:eastAsia="en-GB"/>
              </w:rPr>
              <w:t>Retirement Actual</w:t>
            </w:r>
          </w:p>
        </w:tc>
        <w:tc>
          <w:tcPr>
            <w:tcW w:w="851"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w:t>
            </w:r>
          </w:p>
        </w:tc>
        <w:tc>
          <w:tcPr>
            <w:tcW w:w="1275"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10</w:t>
            </w:r>
          </w:p>
        </w:tc>
        <w:tc>
          <w:tcPr>
            <w:tcW w:w="993"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w:t>
            </w:r>
          </w:p>
        </w:tc>
        <w:tc>
          <w:tcPr>
            <w:tcW w:w="1134"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90</w:t>
            </w:r>
          </w:p>
        </w:tc>
        <w:tc>
          <w:tcPr>
            <w:tcW w:w="1275"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100</w:t>
            </w:r>
          </w:p>
        </w:tc>
        <w:tc>
          <w:tcPr>
            <w:tcW w:w="1134"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2</w:t>
            </w:r>
          </w:p>
        </w:tc>
      </w:tr>
      <w:tr w:rsidR="002C24D4" w:rsidRPr="002C24D4" w:rsidTr="002C24D4">
        <w:trPr>
          <w:trHeight w:val="300"/>
        </w:trPr>
        <w:tc>
          <w:tcPr>
            <w:tcW w:w="2972" w:type="dxa"/>
            <w:noWrap/>
            <w:hideMark/>
          </w:tcPr>
          <w:p w:rsidR="002C24D4" w:rsidRPr="002C24D4" w:rsidRDefault="002C24D4" w:rsidP="002C24D4">
            <w:pPr>
              <w:rPr>
                <w:rFonts w:ascii="Calibri" w:eastAsia="Times New Roman" w:hAnsi="Calibri" w:cs="Calibri"/>
                <w:color w:val="000000"/>
                <w:lang w:eastAsia="en-GB"/>
              </w:rPr>
            </w:pPr>
            <w:r w:rsidRPr="002C24D4">
              <w:rPr>
                <w:rFonts w:ascii="Calibri" w:eastAsia="Times New Roman" w:hAnsi="Calibri" w:cs="Calibri"/>
                <w:color w:val="000000"/>
                <w:lang w:eastAsia="en-GB"/>
              </w:rPr>
              <w:t>Set Up New Spouse Pension Fire</w:t>
            </w:r>
          </w:p>
        </w:tc>
        <w:tc>
          <w:tcPr>
            <w:tcW w:w="851"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w:t>
            </w:r>
          </w:p>
        </w:tc>
        <w:tc>
          <w:tcPr>
            <w:tcW w:w="1275"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5</w:t>
            </w:r>
          </w:p>
        </w:tc>
        <w:tc>
          <w:tcPr>
            <w:tcW w:w="993"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0</w:t>
            </w:r>
          </w:p>
        </w:tc>
        <w:tc>
          <w:tcPr>
            <w:tcW w:w="1134"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85</w:t>
            </w:r>
          </w:p>
        </w:tc>
        <w:tc>
          <w:tcPr>
            <w:tcW w:w="1275"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0</w:t>
            </w:r>
          </w:p>
        </w:tc>
        <w:tc>
          <w:tcPr>
            <w:tcW w:w="1134"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17</w:t>
            </w:r>
          </w:p>
        </w:tc>
      </w:tr>
      <w:tr w:rsidR="002C24D4" w:rsidRPr="002C24D4" w:rsidTr="002C24D4">
        <w:trPr>
          <w:trHeight w:val="300"/>
        </w:trPr>
        <w:tc>
          <w:tcPr>
            <w:tcW w:w="2972" w:type="dxa"/>
            <w:noWrap/>
            <w:hideMark/>
          </w:tcPr>
          <w:p w:rsidR="002C24D4" w:rsidRPr="002C24D4" w:rsidRDefault="002C24D4" w:rsidP="002C24D4">
            <w:pPr>
              <w:rPr>
                <w:rFonts w:ascii="Calibri" w:eastAsia="Times New Roman" w:hAnsi="Calibri" w:cs="Calibri"/>
                <w:color w:val="000000"/>
                <w:lang w:eastAsia="en-GB"/>
              </w:rPr>
            </w:pPr>
            <w:r w:rsidRPr="002C24D4">
              <w:rPr>
                <w:rFonts w:ascii="Calibri" w:eastAsia="Times New Roman" w:hAnsi="Calibri" w:cs="Calibri"/>
                <w:color w:val="000000"/>
                <w:lang w:eastAsia="en-GB"/>
              </w:rPr>
              <w:t>NI adjustment to Pension at State Pension Age</w:t>
            </w:r>
          </w:p>
        </w:tc>
        <w:tc>
          <w:tcPr>
            <w:tcW w:w="851"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3</w:t>
            </w:r>
          </w:p>
        </w:tc>
        <w:tc>
          <w:tcPr>
            <w:tcW w:w="1275"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20</w:t>
            </w:r>
          </w:p>
        </w:tc>
        <w:tc>
          <w:tcPr>
            <w:tcW w:w="993"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3</w:t>
            </w:r>
          </w:p>
        </w:tc>
        <w:tc>
          <w:tcPr>
            <w:tcW w:w="1134"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85</w:t>
            </w:r>
          </w:p>
        </w:tc>
        <w:tc>
          <w:tcPr>
            <w:tcW w:w="1275"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100</w:t>
            </w:r>
          </w:p>
        </w:tc>
        <w:tc>
          <w:tcPr>
            <w:tcW w:w="1134"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10.67</w:t>
            </w:r>
          </w:p>
        </w:tc>
      </w:tr>
      <w:tr w:rsidR="002C24D4" w:rsidRPr="002C24D4" w:rsidTr="002C24D4">
        <w:trPr>
          <w:trHeight w:val="300"/>
        </w:trPr>
        <w:tc>
          <w:tcPr>
            <w:tcW w:w="2972" w:type="dxa"/>
            <w:noWrap/>
            <w:hideMark/>
          </w:tcPr>
          <w:p w:rsidR="002C24D4" w:rsidRPr="002C24D4" w:rsidRDefault="002C24D4" w:rsidP="002C24D4">
            <w:pPr>
              <w:rPr>
                <w:rFonts w:ascii="Calibri" w:eastAsia="Times New Roman" w:hAnsi="Calibri" w:cs="Calibri"/>
                <w:color w:val="000000"/>
                <w:lang w:eastAsia="en-GB"/>
              </w:rPr>
            </w:pPr>
            <w:r w:rsidRPr="002C24D4">
              <w:rPr>
                <w:rFonts w:ascii="Calibri" w:eastAsia="Times New Roman" w:hAnsi="Calibri" w:cs="Calibri"/>
                <w:color w:val="000000"/>
                <w:lang w:eastAsia="en-GB"/>
              </w:rPr>
              <w:t>Death in Retirement</w:t>
            </w:r>
          </w:p>
        </w:tc>
        <w:tc>
          <w:tcPr>
            <w:tcW w:w="851"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2</w:t>
            </w:r>
          </w:p>
        </w:tc>
        <w:tc>
          <w:tcPr>
            <w:tcW w:w="1275"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10</w:t>
            </w:r>
          </w:p>
        </w:tc>
        <w:tc>
          <w:tcPr>
            <w:tcW w:w="993"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2</w:t>
            </w:r>
          </w:p>
        </w:tc>
        <w:tc>
          <w:tcPr>
            <w:tcW w:w="1134"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85</w:t>
            </w:r>
          </w:p>
        </w:tc>
        <w:tc>
          <w:tcPr>
            <w:tcW w:w="1275"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100</w:t>
            </w:r>
          </w:p>
        </w:tc>
        <w:tc>
          <w:tcPr>
            <w:tcW w:w="1134"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10</w:t>
            </w:r>
          </w:p>
        </w:tc>
      </w:tr>
      <w:tr w:rsidR="002C24D4" w:rsidRPr="002C24D4" w:rsidTr="002C24D4">
        <w:trPr>
          <w:trHeight w:val="300"/>
        </w:trPr>
        <w:tc>
          <w:tcPr>
            <w:tcW w:w="2972" w:type="dxa"/>
            <w:noWrap/>
            <w:hideMark/>
          </w:tcPr>
          <w:p w:rsidR="002C24D4" w:rsidRPr="002C24D4" w:rsidRDefault="002C24D4" w:rsidP="002C24D4">
            <w:pPr>
              <w:rPr>
                <w:rFonts w:ascii="Calibri" w:eastAsia="Times New Roman" w:hAnsi="Calibri" w:cs="Calibri"/>
                <w:color w:val="000000"/>
                <w:lang w:eastAsia="en-GB"/>
              </w:rPr>
            </w:pPr>
            <w:r w:rsidRPr="002C24D4">
              <w:rPr>
                <w:rFonts w:ascii="Calibri" w:eastAsia="Times New Roman" w:hAnsi="Calibri" w:cs="Calibri"/>
                <w:color w:val="000000"/>
                <w:lang w:eastAsia="en-GB"/>
              </w:rPr>
              <w:t>Update Member Details</w:t>
            </w:r>
          </w:p>
        </w:tc>
        <w:tc>
          <w:tcPr>
            <w:tcW w:w="851"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w:t>
            </w:r>
          </w:p>
        </w:tc>
        <w:tc>
          <w:tcPr>
            <w:tcW w:w="1275"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20</w:t>
            </w:r>
          </w:p>
        </w:tc>
        <w:tc>
          <w:tcPr>
            <w:tcW w:w="993"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w:t>
            </w:r>
          </w:p>
        </w:tc>
        <w:tc>
          <w:tcPr>
            <w:tcW w:w="1134"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100</w:t>
            </w:r>
          </w:p>
        </w:tc>
        <w:tc>
          <w:tcPr>
            <w:tcW w:w="1275"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100</w:t>
            </w:r>
          </w:p>
        </w:tc>
        <w:tc>
          <w:tcPr>
            <w:tcW w:w="1134"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w:t>
            </w:r>
          </w:p>
        </w:tc>
      </w:tr>
      <w:tr w:rsidR="002C24D4" w:rsidRPr="002C24D4" w:rsidTr="002C24D4">
        <w:trPr>
          <w:trHeight w:val="300"/>
        </w:trPr>
        <w:tc>
          <w:tcPr>
            <w:tcW w:w="2972" w:type="dxa"/>
            <w:noWrap/>
            <w:hideMark/>
          </w:tcPr>
          <w:p w:rsidR="002C24D4" w:rsidRPr="002C24D4" w:rsidRDefault="002C24D4" w:rsidP="002C24D4">
            <w:pPr>
              <w:rPr>
                <w:rFonts w:ascii="Calibri" w:eastAsia="Times New Roman" w:hAnsi="Calibri" w:cs="Calibri"/>
                <w:color w:val="000000"/>
                <w:lang w:eastAsia="en-GB"/>
              </w:rPr>
            </w:pPr>
            <w:r w:rsidRPr="002C24D4">
              <w:rPr>
                <w:rFonts w:ascii="Calibri" w:eastAsia="Times New Roman" w:hAnsi="Calibri" w:cs="Calibri"/>
                <w:color w:val="000000"/>
                <w:lang w:eastAsia="en-GB"/>
              </w:rPr>
              <w:t>Injury Review</w:t>
            </w:r>
          </w:p>
        </w:tc>
        <w:tc>
          <w:tcPr>
            <w:tcW w:w="851"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w:t>
            </w:r>
          </w:p>
        </w:tc>
        <w:tc>
          <w:tcPr>
            <w:tcW w:w="1275"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20</w:t>
            </w:r>
          </w:p>
        </w:tc>
        <w:tc>
          <w:tcPr>
            <w:tcW w:w="993"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w:t>
            </w:r>
          </w:p>
        </w:tc>
        <w:tc>
          <w:tcPr>
            <w:tcW w:w="1134"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100</w:t>
            </w:r>
          </w:p>
        </w:tc>
        <w:tc>
          <w:tcPr>
            <w:tcW w:w="1275"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100</w:t>
            </w:r>
          </w:p>
        </w:tc>
        <w:tc>
          <w:tcPr>
            <w:tcW w:w="1134"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w:t>
            </w:r>
          </w:p>
        </w:tc>
      </w:tr>
      <w:tr w:rsidR="002C24D4" w:rsidRPr="002C24D4" w:rsidTr="002C24D4">
        <w:trPr>
          <w:trHeight w:val="300"/>
        </w:trPr>
        <w:tc>
          <w:tcPr>
            <w:tcW w:w="2972" w:type="dxa"/>
            <w:noWrap/>
            <w:hideMark/>
          </w:tcPr>
          <w:p w:rsidR="002C24D4" w:rsidRPr="002C24D4" w:rsidRDefault="002C24D4" w:rsidP="002C24D4">
            <w:pPr>
              <w:rPr>
                <w:rFonts w:ascii="Calibri" w:eastAsia="Times New Roman" w:hAnsi="Calibri" w:cs="Calibri"/>
                <w:color w:val="000000"/>
                <w:lang w:eastAsia="en-GB"/>
              </w:rPr>
            </w:pPr>
            <w:r w:rsidRPr="002C24D4">
              <w:rPr>
                <w:rFonts w:ascii="Calibri" w:eastAsia="Times New Roman" w:hAnsi="Calibri" w:cs="Calibri"/>
                <w:color w:val="000000"/>
                <w:lang w:eastAsia="en-GB"/>
              </w:rPr>
              <w:t>Deferred Benefits Into Payment Quote</w:t>
            </w:r>
          </w:p>
        </w:tc>
        <w:tc>
          <w:tcPr>
            <w:tcW w:w="851"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w:t>
            </w:r>
          </w:p>
        </w:tc>
        <w:tc>
          <w:tcPr>
            <w:tcW w:w="1275"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35</w:t>
            </w:r>
          </w:p>
        </w:tc>
        <w:tc>
          <w:tcPr>
            <w:tcW w:w="993"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w:t>
            </w:r>
          </w:p>
        </w:tc>
        <w:tc>
          <w:tcPr>
            <w:tcW w:w="1134"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85</w:t>
            </w:r>
          </w:p>
        </w:tc>
        <w:tc>
          <w:tcPr>
            <w:tcW w:w="1275"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100</w:t>
            </w:r>
          </w:p>
        </w:tc>
        <w:tc>
          <w:tcPr>
            <w:tcW w:w="1134"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9</w:t>
            </w:r>
          </w:p>
        </w:tc>
      </w:tr>
      <w:tr w:rsidR="002C24D4" w:rsidRPr="002C24D4" w:rsidTr="002C24D4">
        <w:trPr>
          <w:trHeight w:val="300"/>
        </w:trPr>
        <w:tc>
          <w:tcPr>
            <w:tcW w:w="2972" w:type="dxa"/>
            <w:noWrap/>
            <w:hideMark/>
          </w:tcPr>
          <w:p w:rsidR="002C24D4" w:rsidRPr="002C24D4" w:rsidRDefault="002C24D4" w:rsidP="002C24D4">
            <w:pPr>
              <w:rPr>
                <w:rFonts w:ascii="Calibri" w:eastAsia="Times New Roman" w:hAnsi="Calibri" w:cs="Calibri"/>
                <w:color w:val="000000"/>
                <w:lang w:eastAsia="en-GB"/>
              </w:rPr>
            </w:pPr>
            <w:r w:rsidRPr="002C24D4">
              <w:rPr>
                <w:rFonts w:ascii="Calibri" w:eastAsia="Times New Roman" w:hAnsi="Calibri" w:cs="Calibri"/>
                <w:color w:val="000000"/>
                <w:lang w:eastAsia="en-GB"/>
              </w:rPr>
              <w:t>Initial letter Death in Retirement</w:t>
            </w:r>
          </w:p>
        </w:tc>
        <w:tc>
          <w:tcPr>
            <w:tcW w:w="851"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2</w:t>
            </w:r>
          </w:p>
        </w:tc>
        <w:tc>
          <w:tcPr>
            <w:tcW w:w="1275"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10</w:t>
            </w:r>
          </w:p>
        </w:tc>
        <w:tc>
          <w:tcPr>
            <w:tcW w:w="993"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2</w:t>
            </w:r>
          </w:p>
        </w:tc>
        <w:tc>
          <w:tcPr>
            <w:tcW w:w="1134"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85</w:t>
            </w:r>
          </w:p>
        </w:tc>
        <w:tc>
          <w:tcPr>
            <w:tcW w:w="1275"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100</w:t>
            </w:r>
          </w:p>
        </w:tc>
        <w:tc>
          <w:tcPr>
            <w:tcW w:w="1134" w:type="dxa"/>
            <w:noWrap/>
            <w:hideMark/>
          </w:tcPr>
          <w:p w:rsidR="002C24D4" w:rsidRPr="002C24D4" w:rsidRDefault="002C24D4" w:rsidP="002C24D4">
            <w:pPr>
              <w:jc w:val="right"/>
              <w:rPr>
                <w:rFonts w:ascii="Calibri" w:eastAsia="Times New Roman" w:hAnsi="Calibri" w:cs="Calibri"/>
                <w:color w:val="000000"/>
                <w:lang w:eastAsia="en-GB"/>
              </w:rPr>
            </w:pPr>
            <w:r w:rsidRPr="002C24D4">
              <w:rPr>
                <w:rFonts w:ascii="Calibri" w:eastAsia="Times New Roman" w:hAnsi="Calibri" w:cs="Calibri"/>
                <w:color w:val="000000"/>
                <w:lang w:eastAsia="en-GB"/>
              </w:rPr>
              <w:t>1</w:t>
            </w:r>
          </w:p>
        </w:tc>
      </w:tr>
    </w:tbl>
    <w:p w:rsidR="005F6F1D" w:rsidRPr="005F6F1D" w:rsidRDefault="005F6F1D" w:rsidP="005F6F1D">
      <w:pPr>
        <w:autoSpaceDE w:val="0"/>
        <w:autoSpaceDN w:val="0"/>
        <w:adjustRightInd w:val="0"/>
        <w:spacing w:after="0" w:line="240" w:lineRule="auto"/>
        <w:rPr>
          <w:rFonts w:ascii="Arial" w:eastAsia="Calibri" w:hAnsi="Arial" w:cs="Arial"/>
          <w:sz w:val="20"/>
          <w:szCs w:val="20"/>
        </w:rPr>
      </w:pPr>
    </w:p>
    <w:p w:rsidR="005F6F1D" w:rsidRPr="005F6F1D" w:rsidRDefault="005F6F1D" w:rsidP="005F6F1D">
      <w:pPr>
        <w:autoSpaceDE w:val="0"/>
        <w:autoSpaceDN w:val="0"/>
        <w:adjustRightInd w:val="0"/>
        <w:spacing w:after="0" w:line="240" w:lineRule="auto"/>
        <w:rPr>
          <w:rFonts w:ascii="Arial" w:eastAsia="Calibri" w:hAnsi="Arial" w:cs="Arial"/>
          <w:sz w:val="20"/>
          <w:szCs w:val="20"/>
        </w:rPr>
      </w:pPr>
    </w:p>
    <w:p w:rsidR="005F6F1D" w:rsidRPr="005F6F1D" w:rsidRDefault="005F6F1D" w:rsidP="005F6F1D">
      <w:pPr>
        <w:autoSpaceDE w:val="0"/>
        <w:autoSpaceDN w:val="0"/>
        <w:adjustRightInd w:val="0"/>
        <w:spacing w:after="0" w:line="240" w:lineRule="auto"/>
        <w:rPr>
          <w:rFonts w:ascii="Arial" w:eastAsia="Calibri" w:hAnsi="Arial" w:cs="Arial"/>
          <w:sz w:val="20"/>
          <w:szCs w:val="20"/>
        </w:rPr>
      </w:pPr>
    </w:p>
    <w:p w:rsidR="005F6F1D" w:rsidRDefault="002C24D4" w:rsidP="005F6F1D">
      <w:pPr>
        <w:autoSpaceDE w:val="0"/>
        <w:autoSpaceDN w:val="0"/>
        <w:adjustRightInd w:val="0"/>
        <w:spacing w:after="0" w:line="240" w:lineRule="auto"/>
        <w:rPr>
          <w:rFonts w:ascii="Arial" w:eastAsia="Calibri" w:hAnsi="Arial" w:cs="Arial"/>
          <w:sz w:val="20"/>
          <w:szCs w:val="20"/>
        </w:rPr>
      </w:pPr>
      <w:r>
        <w:rPr>
          <w:noProof/>
          <w:lang w:eastAsia="en-GB"/>
        </w:rPr>
        <w:drawing>
          <wp:inline distT="0" distB="0" distL="0" distR="0" wp14:anchorId="016859FB" wp14:editId="0BE08842">
            <wp:extent cx="6172200" cy="20383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C24D4" w:rsidRDefault="002C24D4" w:rsidP="005F6F1D">
      <w:pPr>
        <w:autoSpaceDE w:val="0"/>
        <w:autoSpaceDN w:val="0"/>
        <w:adjustRightInd w:val="0"/>
        <w:spacing w:after="0" w:line="240" w:lineRule="auto"/>
        <w:rPr>
          <w:rFonts w:ascii="Arial" w:eastAsia="Calibri" w:hAnsi="Arial" w:cs="Arial"/>
          <w:sz w:val="20"/>
          <w:szCs w:val="20"/>
        </w:rPr>
      </w:pPr>
    </w:p>
    <w:p w:rsidR="002C24D4" w:rsidRPr="005F6F1D" w:rsidRDefault="002C24D4" w:rsidP="005F6F1D">
      <w:pPr>
        <w:autoSpaceDE w:val="0"/>
        <w:autoSpaceDN w:val="0"/>
        <w:adjustRightInd w:val="0"/>
        <w:spacing w:after="0" w:line="240" w:lineRule="auto"/>
        <w:rPr>
          <w:rFonts w:ascii="Arial" w:eastAsia="Calibri" w:hAnsi="Arial" w:cs="Arial"/>
          <w:sz w:val="20"/>
          <w:szCs w:val="20"/>
        </w:rPr>
      </w:pPr>
    </w:p>
    <w:tbl>
      <w:tblPr>
        <w:tblStyle w:val="TableGrid"/>
        <w:tblW w:w="9776" w:type="dxa"/>
        <w:tblLook w:val="04A0" w:firstRow="1" w:lastRow="0" w:firstColumn="1" w:lastColumn="0" w:noHBand="0" w:noVBand="1"/>
      </w:tblPr>
      <w:tblGrid>
        <w:gridCol w:w="9776"/>
      </w:tblGrid>
      <w:tr w:rsidR="002C24D4" w:rsidRPr="002C24D4" w:rsidTr="002C24D4">
        <w:tc>
          <w:tcPr>
            <w:tcW w:w="9776" w:type="dxa"/>
          </w:tcPr>
          <w:p w:rsidR="002C24D4" w:rsidRPr="002C24D4" w:rsidRDefault="002C24D4" w:rsidP="00F167D7">
            <w:pPr>
              <w:jc w:val="both"/>
              <w:rPr>
                <w:rFonts w:ascii="Arial" w:eastAsia="Calibri" w:hAnsi="Arial" w:cs="Arial"/>
              </w:rPr>
            </w:pPr>
            <w:r w:rsidRPr="002C24D4">
              <w:rPr>
                <w:rFonts w:ascii="Arial" w:eastAsia="Calibri" w:hAnsi="Arial" w:cs="Arial"/>
              </w:rPr>
              <w:t>Spouse pension set up did</w:t>
            </w:r>
            <w:r w:rsidR="00F167D7">
              <w:rPr>
                <w:rFonts w:ascii="Arial" w:eastAsia="Calibri" w:hAnsi="Arial" w:cs="Arial"/>
              </w:rPr>
              <w:t xml:space="preserve"> </w:t>
            </w:r>
            <w:r w:rsidRPr="002C24D4">
              <w:rPr>
                <w:rFonts w:ascii="Arial" w:eastAsia="Calibri" w:hAnsi="Arial" w:cs="Arial"/>
              </w:rPr>
              <w:t>n</w:t>
            </w:r>
            <w:r w:rsidR="00F167D7">
              <w:rPr>
                <w:rFonts w:ascii="Arial" w:eastAsia="Calibri" w:hAnsi="Arial" w:cs="Arial"/>
              </w:rPr>
              <w:t>o</w:t>
            </w:r>
            <w:bookmarkStart w:id="0" w:name="_GoBack"/>
            <w:bookmarkEnd w:id="0"/>
            <w:r w:rsidRPr="002C24D4">
              <w:rPr>
                <w:rFonts w:ascii="Arial" w:eastAsia="Calibri" w:hAnsi="Arial" w:cs="Arial"/>
              </w:rPr>
              <w:t>t meet due to a delay from the FRAs payroll to confirm that they had set up pension for payment on their system. WYPF are unable to complete their task until this confirmation is received.</w:t>
            </w:r>
          </w:p>
        </w:tc>
      </w:tr>
    </w:tbl>
    <w:p w:rsidR="005F6F1D" w:rsidRPr="005F6F1D" w:rsidRDefault="005F6F1D" w:rsidP="005F6F1D">
      <w:pPr>
        <w:rPr>
          <w:rFonts w:ascii="Calibri" w:eastAsia="Calibri" w:hAnsi="Calibri" w:cs="Times New Roman"/>
          <w:color w:val="374C80"/>
          <w:sz w:val="28"/>
          <w:szCs w:val="28"/>
        </w:rPr>
      </w:pPr>
      <w:r w:rsidRPr="005F6F1D">
        <w:rPr>
          <w:rFonts w:ascii="Arial" w:eastAsia="Calibri" w:hAnsi="Arial" w:cs="Arial"/>
          <w:sz w:val="20"/>
          <w:szCs w:val="20"/>
        </w:rPr>
        <w:br w:type="page"/>
      </w:r>
      <w:r w:rsidRPr="005F6F1D">
        <w:rPr>
          <w:rFonts w:ascii="Arial" w:eastAsia="Calibri" w:hAnsi="Arial" w:cs="Arial"/>
          <w:b/>
          <w:color w:val="0070C0"/>
          <w:sz w:val="28"/>
          <w:szCs w:val="28"/>
        </w:rPr>
        <w:lastRenderedPageBreak/>
        <w:t>2. Work in Progress</w:t>
      </w:r>
    </w:p>
    <w:p w:rsidR="005F6F1D" w:rsidRPr="005F6F1D" w:rsidRDefault="002C24D4" w:rsidP="005F6F1D">
      <w:pPr>
        <w:spacing w:after="0"/>
        <w:contextualSpacing/>
        <w:rPr>
          <w:rFonts w:ascii="Calibri" w:eastAsia="Calibri" w:hAnsi="Calibri" w:cs="Times New Roman"/>
          <w:noProof/>
          <w:color w:val="374C80"/>
          <w:sz w:val="36"/>
          <w:szCs w:val="36"/>
          <w:lang w:eastAsia="en-GB"/>
        </w:rPr>
      </w:pPr>
      <w:r>
        <w:rPr>
          <w:noProof/>
          <w:lang w:eastAsia="en-GB"/>
        </w:rPr>
        <w:drawing>
          <wp:inline distT="0" distB="0" distL="0" distR="0" wp14:anchorId="6AD8898D" wp14:editId="78A7E706">
            <wp:extent cx="6181725" cy="3779520"/>
            <wp:effectExtent l="0" t="0" r="9525" b="114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F6F1D" w:rsidRPr="005F6F1D" w:rsidRDefault="005F6F1D" w:rsidP="005F6F1D">
      <w:pPr>
        <w:spacing w:after="0"/>
        <w:contextualSpacing/>
        <w:rPr>
          <w:rFonts w:ascii="Calibri" w:eastAsia="Calibri" w:hAnsi="Calibri" w:cs="Times New Roman"/>
          <w:color w:val="374C80"/>
          <w:sz w:val="36"/>
          <w:szCs w:val="36"/>
        </w:rPr>
      </w:pPr>
    </w:p>
    <w:p w:rsidR="005F6F1D" w:rsidRPr="005F6F1D" w:rsidRDefault="005F6F1D" w:rsidP="005F6F1D">
      <w:pPr>
        <w:spacing w:after="0"/>
        <w:contextualSpacing/>
        <w:rPr>
          <w:rFonts w:ascii="Calibri" w:eastAsia="Calibri" w:hAnsi="Calibri" w:cs="Times New Roman"/>
          <w:noProof/>
          <w:color w:val="374C80"/>
          <w:sz w:val="36"/>
          <w:szCs w:val="36"/>
          <w:lang w:eastAsia="en-GB"/>
        </w:rPr>
      </w:pPr>
      <w:r w:rsidRPr="005F6F1D">
        <w:rPr>
          <w:rFonts w:ascii="Calibri" w:eastAsia="Calibri" w:hAnsi="Calibri" w:cs="Times New Roman"/>
          <w:noProof/>
          <w:color w:val="374C80"/>
          <w:sz w:val="36"/>
          <w:szCs w:val="36"/>
          <w:lang w:eastAsia="en-GB"/>
        </w:rPr>
        <w:t xml:space="preserve"> </w:t>
      </w:r>
      <w:r w:rsidR="002C24D4">
        <w:rPr>
          <w:noProof/>
          <w:lang w:eastAsia="en-GB"/>
        </w:rPr>
        <w:drawing>
          <wp:inline distT="0" distB="0" distL="0" distR="0" wp14:anchorId="0B265659" wp14:editId="6CBB44D4">
            <wp:extent cx="6191250" cy="3779520"/>
            <wp:effectExtent l="0" t="0" r="0" b="114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5F6F1D">
        <w:rPr>
          <w:rFonts w:ascii="Calibri" w:eastAsia="Calibri" w:hAnsi="Calibri" w:cs="Times New Roman"/>
          <w:noProof/>
          <w:color w:val="374C80"/>
          <w:sz w:val="36"/>
          <w:szCs w:val="36"/>
          <w:lang w:eastAsia="en-GB"/>
        </w:rPr>
        <w:t xml:space="preserve">         </w:t>
      </w:r>
    </w:p>
    <w:p w:rsidR="005F6F1D" w:rsidRPr="005F6F1D" w:rsidRDefault="005F6F1D" w:rsidP="005F6F1D">
      <w:pPr>
        <w:spacing w:after="0"/>
        <w:contextualSpacing/>
        <w:rPr>
          <w:rFonts w:ascii="Calibri" w:eastAsia="Calibri" w:hAnsi="Calibri" w:cs="Times New Roman"/>
          <w:noProof/>
          <w:color w:val="374C80"/>
          <w:sz w:val="36"/>
          <w:szCs w:val="36"/>
          <w:lang w:eastAsia="en-GB"/>
        </w:rPr>
      </w:pPr>
    </w:p>
    <w:p w:rsidR="005F6F1D" w:rsidRPr="005F6F1D" w:rsidRDefault="005F6F1D" w:rsidP="005F6F1D">
      <w:pPr>
        <w:spacing w:after="0"/>
        <w:contextualSpacing/>
        <w:rPr>
          <w:rFonts w:ascii="Calibri" w:eastAsia="Calibri" w:hAnsi="Calibri" w:cs="Times New Roman"/>
          <w:noProof/>
          <w:color w:val="374C80"/>
          <w:sz w:val="24"/>
          <w:szCs w:val="24"/>
          <w:lang w:eastAsia="en-GB"/>
        </w:rPr>
      </w:pPr>
    </w:p>
    <w:p w:rsidR="005F6F1D" w:rsidRPr="005F6F1D" w:rsidRDefault="005F6F1D" w:rsidP="005F6F1D">
      <w:pPr>
        <w:spacing w:after="0"/>
        <w:jc w:val="both"/>
        <w:rPr>
          <w:rFonts w:ascii="Arial" w:eastAsia="Calibri" w:hAnsi="Arial" w:cs="Arial"/>
          <w:b/>
          <w:color w:val="0070C0"/>
          <w:sz w:val="28"/>
          <w:szCs w:val="28"/>
        </w:rPr>
      </w:pPr>
      <w:r w:rsidRPr="005F6F1D">
        <w:rPr>
          <w:rFonts w:ascii="Arial" w:eastAsia="Calibri" w:hAnsi="Arial" w:cs="Arial"/>
          <w:b/>
          <w:color w:val="0070C0"/>
          <w:sz w:val="28"/>
          <w:szCs w:val="28"/>
        </w:rPr>
        <w:t>3. Member Web Registrations</w:t>
      </w:r>
    </w:p>
    <w:p w:rsidR="005F6F1D" w:rsidRPr="005F6F1D" w:rsidRDefault="005F6F1D" w:rsidP="005F6F1D">
      <w:pPr>
        <w:spacing w:after="0"/>
        <w:rPr>
          <w:rFonts w:ascii="Calibri" w:eastAsia="Calibri" w:hAnsi="Calibri" w:cs="Times New Roman"/>
        </w:rPr>
      </w:pPr>
    </w:p>
    <w:p w:rsidR="005F6F1D" w:rsidRPr="005F6F1D" w:rsidRDefault="005F6F1D" w:rsidP="005F6F1D">
      <w:pPr>
        <w:spacing w:after="0"/>
        <w:rPr>
          <w:rFonts w:ascii="Calibri" w:eastAsia="Calibri" w:hAnsi="Calibri" w:cs="Times New Roman"/>
        </w:rPr>
      </w:pPr>
    </w:p>
    <w:p w:rsidR="005F6F1D" w:rsidRPr="005F6F1D" w:rsidRDefault="005F6F1D" w:rsidP="005F6F1D">
      <w:pPr>
        <w:rPr>
          <w:rFonts w:ascii="Arial" w:eastAsia="Calibri" w:hAnsi="Arial" w:cs="Arial"/>
          <w:sz w:val="24"/>
          <w:szCs w:val="24"/>
        </w:rPr>
      </w:pPr>
      <w:r w:rsidRPr="005F6F1D">
        <w:rPr>
          <w:rFonts w:ascii="Arial" w:eastAsia="Calibri" w:hAnsi="Arial" w:cs="Arial"/>
          <w:sz w:val="24"/>
          <w:szCs w:val="24"/>
        </w:rPr>
        <w:t xml:space="preserve">      The number of members signed up to member web are:</w:t>
      </w:r>
    </w:p>
    <w:p w:rsidR="005F6F1D" w:rsidRPr="005F6F1D" w:rsidRDefault="005F6F1D" w:rsidP="005F6F1D">
      <w:pPr>
        <w:rPr>
          <w:rFonts w:ascii="Arial" w:eastAsia="Calibri" w:hAnsi="Arial" w:cs="Arial"/>
          <w:sz w:val="24"/>
          <w:szCs w:val="24"/>
        </w:rPr>
      </w:pPr>
    </w:p>
    <w:tbl>
      <w:tblPr>
        <w:tblStyle w:val="TableGrid"/>
        <w:tblW w:w="0" w:type="auto"/>
        <w:tblInd w:w="720" w:type="dxa"/>
        <w:tblLook w:val="04A0" w:firstRow="1" w:lastRow="0" w:firstColumn="1" w:lastColumn="0" w:noHBand="0" w:noVBand="1"/>
      </w:tblPr>
      <w:tblGrid>
        <w:gridCol w:w="2689"/>
        <w:gridCol w:w="1134"/>
      </w:tblGrid>
      <w:tr w:rsidR="005F6F1D" w:rsidRPr="005F6F1D" w:rsidTr="005F6F1D">
        <w:tc>
          <w:tcPr>
            <w:tcW w:w="2689" w:type="dxa"/>
            <w:shd w:val="clear" w:color="auto" w:fill="C0D7EC"/>
          </w:tcPr>
          <w:p w:rsidR="005F6F1D" w:rsidRPr="005F6F1D" w:rsidRDefault="005F6F1D" w:rsidP="005F6F1D">
            <w:pPr>
              <w:rPr>
                <w:rFonts w:ascii="Calibri" w:eastAsia="Calibri" w:hAnsi="Calibri" w:cs="Times New Roman"/>
              </w:rPr>
            </w:pPr>
            <w:r w:rsidRPr="005F6F1D">
              <w:rPr>
                <w:rFonts w:ascii="Calibri" w:eastAsia="Calibri" w:hAnsi="Calibri" w:cs="Times New Roman"/>
              </w:rPr>
              <w:t>Status</w:t>
            </w:r>
          </w:p>
        </w:tc>
        <w:tc>
          <w:tcPr>
            <w:tcW w:w="1134" w:type="dxa"/>
            <w:shd w:val="clear" w:color="auto" w:fill="C0D7EC"/>
          </w:tcPr>
          <w:p w:rsidR="005F6F1D" w:rsidRPr="005F6F1D" w:rsidRDefault="005F6F1D" w:rsidP="005F6F1D">
            <w:pPr>
              <w:rPr>
                <w:rFonts w:ascii="Calibri" w:eastAsia="Calibri" w:hAnsi="Calibri" w:cs="Arial"/>
              </w:rPr>
            </w:pPr>
            <w:r w:rsidRPr="005F6F1D">
              <w:rPr>
                <w:rFonts w:ascii="Calibri" w:eastAsia="Calibri" w:hAnsi="Calibri" w:cs="Arial"/>
              </w:rPr>
              <w:t>Number</w:t>
            </w:r>
          </w:p>
        </w:tc>
      </w:tr>
      <w:tr w:rsidR="005F6F1D" w:rsidRPr="005F6F1D" w:rsidTr="009A5F55">
        <w:tc>
          <w:tcPr>
            <w:tcW w:w="2689" w:type="dxa"/>
          </w:tcPr>
          <w:p w:rsidR="005F6F1D" w:rsidRPr="005F6F1D" w:rsidRDefault="005F6F1D" w:rsidP="005F6F1D">
            <w:pPr>
              <w:rPr>
                <w:rFonts w:ascii="Calibri" w:eastAsia="Calibri" w:hAnsi="Calibri" w:cs="Times New Roman"/>
              </w:rPr>
            </w:pPr>
            <w:r w:rsidRPr="005F6F1D">
              <w:rPr>
                <w:rFonts w:ascii="Calibri" w:eastAsia="Calibri" w:hAnsi="Calibri" w:cs="Times New Roman"/>
              </w:rPr>
              <w:t>Active</w:t>
            </w:r>
          </w:p>
        </w:tc>
        <w:tc>
          <w:tcPr>
            <w:tcW w:w="1134" w:type="dxa"/>
          </w:tcPr>
          <w:p w:rsidR="005F6F1D" w:rsidRPr="005F6F1D" w:rsidRDefault="007C47F5" w:rsidP="005F6F1D">
            <w:pPr>
              <w:rPr>
                <w:rFonts w:ascii="Calibri" w:eastAsia="Calibri" w:hAnsi="Calibri" w:cs="Times New Roman"/>
              </w:rPr>
            </w:pPr>
            <w:r>
              <w:rPr>
                <w:rFonts w:ascii="Calibri" w:eastAsia="Calibri" w:hAnsi="Calibri" w:cs="Times New Roman"/>
              </w:rPr>
              <w:t>414</w:t>
            </w:r>
          </w:p>
        </w:tc>
      </w:tr>
      <w:tr w:rsidR="005F6F1D" w:rsidRPr="005F6F1D" w:rsidTr="009A5F55">
        <w:tc>
          <w:tcPr>
            <w:tcW w:w="2689" w:type="dxa"/>
          </w:tcPr>
          <w:p w:rsidR="005F6F1D" w:rsidRPr="005F6F1D" w:rsidRDefault="005F6F1D" w:rsidP="005F6F1D">
            <w:pPr>
              <w:rPr>
                <w:rFonts w:ascii="Calibri" w:eastAsia="Calibri" w:hAnsi="Calibri" w:cs="Times New Roman"/>
              </w:rPr>
            </w:pPr>
            <w:r w:rsidRPr="005F6F1D">
              <w:rPr>
                <w:rFonts w:ascii="Calibri" w:eastAsia="Calibri" w:hAnsi="Calibri" w:cs="Times New Roman"/>
              </w:rPr>
              <w:t>Pensioner</w:t>
            </w:r>
          </w:p>
        </w:tc>
        <w:tc>
          <w:tcPr>
            <w:tcW w:w="1134" w:type="dxa"/>
          </w:tcPr>
          <w:p w:rsidR="005F6F1D" w:rsidRPr="005F6F1D" w:rsidRDefault="007C47F5" w:rsidP="005F6F1D">
            <w:pPr>
              <w:rPr>
                <w:rFonts w:ascii="Calibri" w:eastAsia="Calibri" w:hAnsi="Calibri" w:cs="Times New Roman"/>
              </w:rPr>
            </w:pPr>
            <w:r>
              <w:rPr>
                <w:rFonts w:ascii="Calibri" w:eastAsia="Calibri" w:hAnsi="Calibri" w:cs="Times New Roman"/>
              </w:rPr>
              <w:t>103</w:t>
            </w:r>
          </w:p>
        </w:tc>
      </w:tr>
      <w:tr w:rsidR="005F6F1D" w:rsidRPr="005F6F1D" w:rsidTr="009A5F55">
        <w:tc>
          <w:tcPr>
            <w:tcW w:w="2689" w:type="dxa"/>
          </w:tcPr>
          <w:p w:rsidR="005F6F1D" w:rsidRPr="005F6F1D" w:rsidRDefault="005F6F1D" w:rsidP="005F6F1D">
            <w:pPr>
              <w:rPr>
                <w:rFonts w:ascii="Calibri" w:eastAsia="Calibri" w:hAnsi="Calibri" w:cs="Times New Roman"/>
              </w:rPr>
            </w:pPr>
            <w:r w:rsidRPr="005F6F1D">
              <w:rPr>
                <w:rFonts w:ascii="Calibri" w:eastAsia="Calibri" w:hAnsi="Calibri" w:cs="Times New Roman"/>
              </w:rPr>
              <w:t>Pensioner Ex-Spouse</w:t>
            </w:r>
          </w:p>
        </w:tc>
        <w:tc>
          <w:tcPr>
            <w:tcW w:w="1134" w:type="dxa"/>
          </w:tcPr>
          <w:p w:rsidR="005F6F1D" w:rsidRPr="005F6F1D" w:rsidRDefault="005F6F1D" w:rsidP="005F6F1D">
            <w:pPr>
              <w:rPr>
                <w:rFonts w:ascii="Calibri" w:eastAsia="Calibri" w:hAnsi="Calibri" w:cs="Times New Roman"/>
              </w:rPr>
            </w:pPr>
            <w:r w:rsidRPr="005F6F1D">
              <w:rPr>
                <w:rFonts w:ascii="Calibri" w:eastAsia="Calibri" w:hAnsi="Calibri" w:cs="Times New Roman"/>
              </w:rPr>
              <w:t>0</w:t>
            </w:r>
          </w:p>
        </w:tc>
      </w:tr>
      <w:tr w:rsidR="005F6F1D" w:rsidRPr="005F6F1D" w:rsidTr="009A5F55">
        <w:tc>
          <w:tcPr>
            <w:tcW w:w="2689" w:type="dxa"/>
          </w:tcPr>
          <w:p w:rsidR="005F6F1D" w:rsidRPr="005F6F1D" w:rsidRDefault="005F6F1D" w:rsidP="005F6F1D">
            <w:pPr>
              <w:rPr>
                <w:rFonts w:ascii="Calibri" w:eastAsia="Calibri" w:hAnsi="Calibri" w:cs="Times New Roman"/>
              </w:rPr>
            </w:pPr>
            <w:r w:rsidRPr="005F6F1D">
              <w:rPr>
                <w:rFonts w:ascii="Calibri" w:eastAsia="Calibri" w:hAnsi="Calibri" w:cs="Times New Roman"/>
              </w:rPr>
              <w:t>Beneficiary Pensioner</w:t>
            </w:r>
          </w:p>
        </w:tc>
        <w:tc>
          <w:tcPr>
            <w:tcW w:w="1134" w:type="dxa"/>
          </w:tcPr>
          <w:p w:rsidR="005F6F1D" w:rsidRPr="005F6F1D" w:rsidRDefault="009A5F55" w:rsidP="005F6F1D">
            <w:pPr>
              <w:rPr>
                <w:rFonts w:ascii="Calibri" w:eastAsia="Calibri" w:hAnsi="Calibri" w:cs="Times New Roman"/>
              </w:rPr>
            </w:pPr>
            <w:r>
              <w:rPr>
                <w:rFonts w:ascii="Calibri" w:eastAsia="Calibri" w:hAnsi="Calibri" w:cs="Times New Roman"/>
              </w:rPr>
              <w:t>0</w:t>
            </w:r>
          </w:p>
        </w:tc>
      </w:tr>
      <w:tr w:rsidR="005F6F1D" w:rsidRPr="005F6F1D" w:rsidTr="009A5F55">
        <w:tc>
          <w:tcPr>
            <w:tcW w:w="2689" w:type="dxa"/>
          </w:tcPr>
          <w:p w:rsidR="005F6F1D" w:rsidRPr="005F6F1D" w:rsidRDefault="005F6F1D" w:rsidP="005F6F1D">
            <w:pPr>
              <w:rPr>
                <w:rFonts w:ascii="Calibri" w:eastAsia="Calibri" w:hAnsi="Calibri" w:cs="Times New Roman"/>
              </w:rPr>
            </w:pPr>
            <w:r w:rsidRPr="005F6F1D">
              <w:rPr>
                <w:rFonts w:ascii="Calibri" w:eastAsia="Calibri" w:hAnsi="Calibri" w:cs="Times New Roman"/>
              </w:rPr>
              <w:t>Deferred Ex-Spouse</w:t>
            </w:r>
          </w:p>
        </w:tc>
        <w:tc>
          <w:tcPr>
            <w:tcW w:w="1134" w:type="dxa"/>
          </w:tcPr>
          <w:p w:rsidR="005F6F1D" w:rsidRPr="005F6F1D" w:rsidRDefault="005F6F1D" w:rsidP="005F6F1D">
            <w:pPr>
              <w:rPr>
                <w:rFonts w:ascii="Calibri" w:eastAsia="Calibri" w:hAnsi="Calibri" w:cs="Times New Roman"/>
              </w:rPr>
            </w:pPr>
            <w:r w:rsidRPr="005F6F1D">
              <w:rPr>
                <w:rFonts w:ascii="Calibri" w:eastAsia="Calibri" w:hAnsi="Calibri" w:cs="Times New Roman"/>
              </w:rPr>
              <w:t>0</w:t>
            </w:r>
          </w:p>
        </w:tc>
      </w:tr>
      <w:tr w:rsidR="005F6F1D" w:rsidRPr="005F6F1D" w:rsidTr="009A5F55">
        <w:tc>
          <w:tcPr>
            <w:tcW w:w="2689" w:type="dxa"/>
          </w:tcPr>
          <w:p w:rsidR="005F6F1D" w:rsidRPr="005F6F1D" w:rsidRDefault="005F6F1D" w:rsidP="005F6F1D">
            <w:pPr>
              <w:rPr>
                <w:rFonts w:ascii="Calibri" w:eastAsia="Calibri" w:hAnsi="Calibri" w:cs="Times New Roman"/>
              </w:rPr>
            </w:pPr>
            <w:r w:rsidRPr="005F6F1D">
              <w:rPr>
                <w:rFonts w:ascii="Calibri" w:eastAsia="Calibri" w:hAnsi="Calibri" w:cs="Times New Roman"/>
              </w:rPr>
              <w:t>Deferred</w:t>
            </w:r>
          </w:p>
        </w:tc>
        <w:tc>
          <w:tcPr>
            <w:tcW w:w="1134" w:type="dxa"/>
          </w:tcPr>
          <w:p w:rsidR="005F6F1D" w:rsidRPr="005F6F1D" w:rsidRDefault="007C47F5" w:rsidP="003063F4">
            <w:pPr>
              <w:rPr>
                <w:rFonts w:ascii="Calibri" w:eastAsia="Calibri" w:hAnsi="Calibri" w:cs="Times New Roman"/>
              </w:rPr>
            </w:pPr>
            <w:r>
              <w:rPr>
                <w:rFonts w:ascii="Calibri" w:eastAsia="Calibri" w:hAnsi="Calibri" w:cs="Times New Roman"/>
              </w:rPr>
              <w:t>149</w:t>
            </w:r>
          </w:p>
        </w:tc>
      </w:tr>
    </w:tbl>
    <w:p w:rsidR="005F6F1D" w:rsidRPr="005F6F1D" w:rsidRDefault="005F6F1D" w:rsidP="005F6F1D">
      <w:pPr>
        <w:spacing w:after="0"/>
        <w:rPr>
          <w:rFonts w:ascii="Calibri" w:eastAsia="Calibri" w:hAnsi="Calibri" w:cs="Times New Roman"/>
        </w:rPr>
      </w:pPr>
    </w:p>
    <w:p w:rsidR="005F6F1D" w:rsidRPr="005F6F1D" w:rsidRDefault="005F6F1D" w:rsidP="005F6F1D">
      <w:pPr>
        <w:spacing w:after="0"/>
        <w:rPr>
          <w:rFonts w:ascii="Calibri" w:eastAsia="Calibri" w:hAnsi="Calibri" w:cs="Times New Roman"/>
        </w:rPr>
      </w:pPr>
    </w:p>
    <w:p w:rsidR="005F6F1D" w:rsidRPr="005F6F1D" w:rsidRDefault="005F6F1D" w:rsidP="005F6F1D">
      <w:pPr>
        <w:spacing w:after="0"/>
        <w:rPr>
          <w:rFonts w:ascii="Calibri" w:eastAsia="Calibri" w:hAnsi="Calibri" w:cs="Times New Roman"/>
        </w:rPr>
      </w:pPr>
    </w:p>
    <w:p w:rsidR="005F6F1D" w:rsidRPr="005F6F1D" w:rsidRDefault="005F6F1D" w:rsidP="005F6F1D">
      <w:pPr>
        <w:spacing w:after="0"/>
        <w:rPr>
          <w:rFonts w:ascii="Calibri" w:eastAsia="Calibri" w:hAnsi="Calibri" w:cs="Times New Roman"/>
        </w:rPr>
      </w:pPr>
    </w:p>
    <w:p w:rsidR="005F6F1D" w:rsidRPr="005F6F1D" w:rsidRDefault="005F6F1D" w:rsidP="005F6F1D">
      <w:pPr>
        <w:spacing w:after="0"/>
        <w:rPr>
          <w:rFonts w:ascii="Calibri" w:eastAsia="Calibri" w:hAnsi="Calibri" w:cs="Times New Roman"/>
        </w:rPr>
      </w:pPr>
    </w:p>
    <w:p w:rsidR="005F6F1D" w:rsidRPr="005F6F1D" w:rsidRDefault="005F6F1D" w:rsidP="005F6F1D">
      <w:pPr>
        <w:spacing w:after="0"/>
        <w:rPr>
          <w:rFonts w:ascii="Calibri" w:eastAsia="Calibri" w:hAnsi="Calibri" w:cs="Times New Roman"/>
        </w:rPr>
      </w:pPr>
    </w:p>
    <w:p w:rsidR="005F6F1D" w:rsidRPr="005F6F1D" w:rsidRDefault="007C47F5" w:rsidP="005F6F1D">
      <w:pPr>
        <w:spacing w:after="0"/>
        <w:rPr>
          <w:rFonts w:ascii="Calibri" w:eastAsia="Calibri" w:hAnsi="Calibri" w:cs="Times New Roman"/>
        </w:rPr>
        <w:sectPr w:rsidR="005F6F1D" w:rsidRPr="005F6F1D" w:rsidSect="009A5F55">
          <w:footerReference w:type="default" r:id="rId24"/>
          <w:pgSz w:w="11906" w:h="16838"/>
          <w:pgMar w:top="1440" w:right="1440" w:bottom="1440" w:left="1134" w:header="709" w:footer="709" w:gutter="0"/>
          <w:cols w:space="708"/>
          <w:docGrid w:linePitch="360"/>
        </w:sectPr>
      </w:pPr>
      <w:r>
        <w:rPr>
          <w:noProof/>
          <w:lang w:eastAsia="en-GB"/>
        </w:rPr>
        <w:drawing>
          <wp:inline distT="0" distB="0" distL="0" distR="0" wp14:anchorId="152AD8AD" wp14:editId="1BF546A7">
            <wp:extent cx="60960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F6F1D" w:rsidRPr="005F6F1D" w:rsidRDefault="005F6F1D" w:rsidP="005F6F1D">
      <w:pPr>
        <w:spacing w:after="0"/>
        <w:ind w:left="720"/>
        <w:rPr>
          <w:rFonts w:ascii="Arial" w:eastAsia="Calibri" w:hAnsi="Arial" w:cs="Arial"/>
          <w:color w:val="4A66AC"/>
          <w:sz w:val="56"/>
          <w:szCs w:val="56"/>
        </w:rPr>
      </w:pPr>
    </w:p>
    <w:p w:rsidR="005F6F1D" w:rsidRPr="005F6F1D" w:rsidRDefault="005F6F1D" w:rsidP="005F6F1D">
      <w:pPr>
        <w:spacing w:after="0"/>
        <w:ind w:left="720"/>
        <w:rPr>
          <w:rFonts w:ascii="Arial" w:eastAsia="Calibri" w:hAnsi="Arial" w:cs="Arial"/>
          <w:b/>
          <w:color w:val="0070C0"/>
          <w:sz w:val="28"/>
          <w:szCs w:val="28"/>
        </w:rPr>
      </w:pPr>
      <w:r w:rsidRPr="005F6F1D">
        <w:rPr>
          <w:rFonts w:ascii="Arial" w:eastAsia="Calibri" w:hAnsi="Arial" w:cs="Arial"/>
          <w:b/>
          <w:color w:val="0070C0"/>
          <w:sz w:val="28"/>
          <w:szCs w:val="28"/>
        </w:rPr>
        <w:t>4.Membership Numbers</w:t>
      </w:r>
    </w:p>
    <w:p w:rsidR="005F6F1D" w:rsidRPr="005F6F1D" w:rsidRDefault="005F6F1D" w:rsidP="005F6F1D">
      <w:pPr>
        <w:spacing w:after="0"/>
        <w:ind w:left="993"/>
        <w:rPr>
          <w:rFonts w:ascii="Calibri" w:eastAsia="Calibri" w:hAnsi="Calibri" w:cs="Times New Roman"/>
          <w:noProof/>
          <w:lang w:eastAsia="en-GB"/>
        </w:rPr>
      </w:pPr>
    </w:p>
    <w:p w:rsidR="005F6F1D" w:rsidRPr="005F6F1D" w:rsidRDefault="005F6F1D" w:rsidP="005F6F1D">
      <w:pPr>
        <w:spacing w:after="0"/>
        <w:ind w:left="993"/>
        <w:rPr>
          <w:rFonts w:ascii="Calibri" w:eastAsia="Calibri" w:hAnsi="Calibri" w:cs="Times New Roman"/>
          <w:noProof/>
          <w:lang w:eastAsia="en-GB"/>
        </w:rPr>
      </w:pPr>
    </w:p>
    <w:tbl>
      <w:tblPr>
        <w:tblStyle w:val="TableGrid3"/>
        <w:tblW w:w="12571" w:type="dxa"/>
        <w:tblInd w:w="607" w:type="dxa"/>
        <w:tblLayout w:type="fixed"/>
        <w:tblLook w:val="04A0" w:firstRow="1" w:lastRow="0" w:firstColumn="1" w:lastColumn="0" w:noHBand="0" w:noVBand="1"/>
      </w:tblPr>
      <w:tblGrid>
        <w:gridCol w:w="3924"/>
        <w:gridCol w:w="1441"/>
        <w:gridCol w:w="1441"/>
        <w:gridCol w:w="1441"/>
        <w:gridCol w:w="1441"/>
        <w:gridCol w:w="1441"/>
        <w:gridCol w:w="1442"/>
      </w:tblGrid>
      <w:tr w:rsidR="005F6F1D" w:rsidRPr="005F6F1D" w:rsidTr="007C47F5">
        <w:trPr>
          <w:trHeight w:val="825"/>
        </w:trPr>
        <w:tc>
          <w:tcPr>
            <w:tcW w:w="3924" w:type="dxa"/>
            <w:shd w:val="clear" w:color="auto" w:fill="C0D7EC"/>
            <w:hideMark/>
          </w:tcPr>
          <w:p w:rsidR="005F6F1D" w:rsidRPr="005F6F1D" w:rsidRDefault="005F6F1D" w:rsidP="005F6F1D">
            <w:pPr>
              <w:tabs>
                <w:tab w:val="left" w:pos="2580"/>
              </w:tabs>
              <w:rPr>
                <w:rFonts w:ascii="Calibri" w:eastAsia="Calibri" w:hAnsi="Calibri" w:cs="Times New Roman"/>
                <w:b/>
              </w:rPr>
            </w:pPr>
            <w:r w:rsidRPr="005F6F1D">
              <w:rPr>
                <w:rFonts w:ascii="Calibri" w:eastAsia="Times New Roman" w:hAnsi="Calibri" w:cs="Calibri"/>
                <w:b/>
                <w:color w:val="000000"/>
                <w:lang w:eastAsia="en-GB"/>
              </w:rPr>
              <w:t>Scheme Name</w:t>
            </w:r>
            <w:r w:rsidRPr="005F6F1D">
              <w:rPr>
                <w:rFonts w:ascii="Calibri" w:eastAsia="Times New Roman" w:hAnsi="Calibri" w:cs="Calibri"/>
                <w:b/>
                <w:color w:val="000000"/>
                <w:lang w:eastAsia="en-GB"/>
              </w:rPr>
              <w:tab/>
            </w:r>
          </w:p>
        </w:tc>
        <w:tc>
          <w:tcPr>
            <w:tcW w:w="1441" w:type="dxa"/>
            <w:shd w:val="clear" w:color="auto" w:fill="C0D7EC"/>
            <w:hideMark/>
          </w:tcPr>
          <w:p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Active Members</w:t>
            </w:r>
            <w:r w:rsidRPr="005F6F1D">
              <w:rPr>
                <w:rFonts w:ascii="Calibri" w:eastAsia="Times New Roman" w:hAnsi="Calibri" w:cs="Calibri"/>
                <w:b/>
                <w:bCs/>
                <w:color w:val="000000"/>
                <w:lang w:eastAsia="en-GB"/>
              </w:rPr>
              <w:t xml:space="preserve"> </w:t>
            </w:r>
          </w:p>
        </w:tc>
        <w:tc>
          <w:tcPr>
            <w:tcW w:w="1441" w:type="dxa"/>
            <w:shd w:val="clear" w:color="auto" w:fill="C0D7EC"/>
            <w:hideMark/>
          </w:tcPr>
          <w:p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Deferred Members</w:t>
            </w:r>
          </w:p>
        </w:tc>
        <w:tc>
          <w:tcPr>
            <w:tcW w:w="1441" w:type="dxa"/>
            <w:shd w:val="clear" w:color="auto" w:fill="C0D7EC"/>
            <w:hideMark/>
          </w:tcPr>
          <w:p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Pensioners</w:t>
            </w:r>
          </w:p>
        </w:tc>
        <w:tc>
          <w:tcPr>
            <w:tcW w:w="1441" w:type="dxa"/>
            <w:shd w:val="clear" w:color="auto" w:fill="C0D7EC"/>
            <w:hideMark/>
          </w:tcPr>
          <w:p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Beneficiaries</w:t>
            </w:r>
          </w:p>
        </w:tc>
        <w:tc>
          <w:tcPr>
            <w:tcW w:w="1441" w:type="dxa"/>
            <w:shd w:val="clear" w:color="auto" w:fill="C0D7EC"/>
            <w:hideMark/>
          </w:tcPr>
          <w:p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Preserved Refund</w:t>
            </w:r>
          </w:p>
        </w:tc>
        <w:tc>
          <w:tcPr>
            <w:tcW w:w="1442" w:type="dxa"/>
            <w:shd w:val="clear" w:color="auto" w:fill="C0D7EC"/>
            <w:hideMark/>
          </w:tcPr>
          <w:p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Leavers Options Pending</w:t>
            </w:r>
          </w:p>
        </w:tc>
      </w:tr>
      <w:tr w:rsidR="007C47F5" w:rsidRPr="007C47F5" w:rsidTr="007C47F5">
        <w:trPr>
          <w:trHeight w:val="300"/>
        </w:trPr>
        <w:tc>
          <w:tcPr>
            <w:tcW w:w="3924" w:type="dxa"/>
            <w:noWrap/>
            <w:hideMark/>
          </w:tcPr>
          <w:p w:rsidR="007C47F5" w:rsidRPr="007C47F5" w:rsidRDefault="007C47F5" w:rsidP="007C47F5">
            <w:pPr>
              <w:rPr>
                <w:rFonts w:ascii="Calibri" w:eastAsia="Times New Roman" w:hAnsi="Calibri" w:cs="Calibri"/>
                <w:color w:val="000000"/>
                <w:lang w:eastAsia="en-GB"/>
              </w:rPr>
            </w:pPr>
            <w:r w:rsidRPr="007C47F5">
              <w:rPr>
                <w:rFonts w:ascii="Calibri" w:eastAsia="Times New Roman" w:hAnsi="Calibri" w:cs="Calibri"/>
                <w:color w:val="000000"/>
                <w:lang w:eastAsia="en-GB"/>
              </w:rPr>
              <w:t>Nottinghamshire (1992 Scheme)</w:t>
            </w:r>
          </w:p>
        </w:tc>
        <w:tc>
          <w:tcPr>
            <w:tcW w:w="1441" w:type="dxa"/>
            <w:noWrap/>
            <w:hideMark/>
          </w:tcPr>
          <w:p w:rsidR="007C47F5" w:rsidRPr="007C47F5" w:rsidRDefault="007C47F5" w:rsidP="007C47F5">
            <w:pPr>
              <w:jc w:val="right"/>
              <w:rPr>
                <w:rFonts w:ascii="Calibri" w:eastAsia="Times New Roman" w:hAnsi="Calibri" w:cs="Calibri"/>
                <w:color w:val="000000"/>
                <w:lang w:eastAsia="en-GB"/>
              </w:rPr>
            </w:pPr>
            <w:r w:rsidRPr="007C47F5">
              <w:rPr>
                <w:rFonts w:ascii="Calibri" w:eastAsia="Times New Roman" w:hAnsi="Calibri" w:cs="Calibri"/>
                <w:color w:val="000000"/>
                <w:lang w:eastAsia="en-GB"/>
              </w:rPr>
              <w:t>0</w:t>
            </w:r>
          </w:p>
        </w:tc>
        <w:tc>
          <w:tcPr>
            <w:tcW w:w="1441" w:type="dxa"/>
            <w:noWrap/>
            <w:hideMark/>
          </w:tcPr>
          <w:p w:rsidR="007C47F5" w:rsidRPr="007C47F5" w:rsidRDefault="007C47F5" w:rsidP="007C47F5">
            <w:pPr>
              <w:jc w:val="right"/>
              <w:rPr>
                <w:rFonts w:ascii="Calibri" w:eastAsia="Times New Roman" w:hAnsi="Calibri" w:cs="Calibri"/>
                <w:color w:val="000000"/>
                <w:lang w:eastAsia="en-GB"/>
              </w:rPr>
            </w:pPr>
            <w:r w:rsidRPr="007C47F5">
              <w:rPr>
                <w:rFonts w:ascii="Calibri" w:eastAsia="Times New Roman" w:hAnsi="Calibri" w:cs="Calibri"/>
                <w:color w:val="000000"/>
                <w:lang w:eastAsia="en-GB"/>
              </w:rPr>
              <w:t>43</w:t>
            </w:r>
          </w:p>
        </w:tc>
        <w:tc>
          <w:tcPr>
            <w:tcW w:w="1441" w:type="dxa"/>
            <w:noWrap/>
            <w:hideMark/>
          </w:tcPr>
          <w:p w:rsidR="007C47F5" w:rsidRPr="007C47F5" w:rsidRDefault="007C47F5" w:rsidP="007C47F5">
            <w:pPr>
              <w:jc w:val="right"/>
              <w:rPr>
                <w:rFonts w:ascii="Calibri" w:eastAsia="Times New Roman" w:hAnsi="Calibri" w:cs="Calibri"/>
                <w:color w:val="000000"/>
                <w:lang w:eastAsia="en-GB"/>
              </w:rPr>
            </w:pPr>
            <w:r w:rsidRPr="007C47F5">
              <w:rPr>
                <w:rFonts w:ascii="Calibri" w:eastAsia="Times New Roman" w:hAnsi="Calibri" w:cs="Calibri"/>
                <w:color w:val="000000"/>
                <w:lang w:eastAsia="en-GB"/>
              </w:rPr>
              <w:t>713</w:t>
            </w:r>
          </w:p>
        </w:tc>
        <w:tc>
          <w:tcPr>
            <w:tcW w:w="1441" w:type="dxa"/>
            <w:noWrap/>
            <w:hideMark/>
          </w:tcPr>
          <w:p w:rsidR="007C47F5" w:rsidRPr="007C47F5" w:rsidRDefault="007C47F5" w:rsidP="007C47F5">
            <w:pPr>
              <w:jc w:val="right"/>
              <w:rPr>
                <w:rFonts w:ascii="Calibri" w:eastAsia="Times New Roman" w:hAnsi="Calibri" w:cs="Calibri"/>
                <w:color w:val="000000"/>
                <w:lang w:eastAsia="en-GB"/>
              </w:rPr>
            </w:pPr>
            <w:r w:rsidRPr="007C47F5">
              <w:rPr>
                <w:rFonts w:ascii="Calibri" w:eastAsia="Times New Roman" w:hAnsi="Calibri" w:cs="Calibri"/>
                <w:color w:val="000000"/>
                <w:lang w:eastAsia="en-GB"/>
              </w:rPr>
              <w:t>119</w:t>
            </w:r>
          </w:p>
        </w:tc>
        <w:tc>
          <w:tcPr>
            <w:tcW w:w="1441" w:type="dxa"/>
            <w:noWrap/>
            <w:hideMark/>
          </w:tcPr>
          <w:p w:rsidR="007C47F5" w:rsidRPr="007C47F5" w:rsidRDefault="007C47F5" w:rsidP="007C47F5">
            <w:pPr>
              <w:jc w:val="right"/>
              <w:rPr>
                <w:rFonts w:ascii="Calibri" w:eastAsia="Times New Roman" w:hAnsi="Calibri" w:cs="Calibri"/>
                <w:color w:val="000000"/>
                <w:lang w:eastAsia="en-GB"/>
              </w:rPr>
            </w:pPr>
            <w:r w:rsidRPr="007C47F5">
              <w:rPr>
                <w:rFonts w:ascii="Calibri" w:eastAsia="Times New Roman" w:hAnsi="Calibri" w:cs="Calibri"/>
                <w:color w:val="000000"/>
                <w:lang w:eastAsia="en-GB"/>
              </w:rPr>
              <w:t>1</w:t>
            </w:r>
          </w:p>
        </w:tc>
        <w:tc>
          <w:tcPr>
            <w:tcW w:w="1442" w:type="dxa"/>
            <w:noWrap/>
            <w:hideMark/>
          </w:tcPr>
          <w:p w:rsidR="007C47F5" w:rsidRPr="007C47F5" w:rsidRDefault="007C47F5" w:rsidP="007C47F5">
            <w:pPr>
              <w:jc w:val="right"/>
              <w:rPr>
                <w:rFonts w:ascii="Calibri" w:eastAsia="Times New Roman" w:hAnsi="Calibri" w:cs="Calibri"/>
                <w:color w:val="000000"/>
                <w:lang w:eastAsia="en-GB"/>
              </w:rPr>
            </w:pPr>
            <w:r w:rsidRPr="007C47F5">
              <w:rPr>
                <w:rFonts w:ascii="Calibri" w:eastAsia="Times New Roman" w:hAnsi="Calibri" w:cs="Calibri"/>
                <w:color w:val="000000"/>
                <w:lang w:eastAsia="en-GB"/>
              </w:rPr>
              <w:t>0</w:t>
            </w:r>
          </w:p>
        </w:tc>
      </w:tr>
      <w:tr w:rsidR="007C47F5" w:rsidRPr="007C47F5" w:rsidTr="007C47F5">
        <w:trPr>
          <w:trHeight w:val="300"/>
        </w:trPr>
        <w:tc>
          <w:tcPr>
            <w:tcW w:w="3924" w:type="dxa"/>
            <w:noWrap/>
            <w:hideMark/>
          </w:tcPr>
          <w:p w:rsidR="007C47F5" w:rsidRPr="007C47F5" w:rsidRDefault="007C47F5" w:rsidP="007C47F5">
            <w:pPr>
              <w:rPr>
                <w:rFonts w:ascii="Calibri" w:eastAsia="Times New Roman" w:hAnsi="Calibri" w:cs="Calibri"/>
                <w:color w:val="000000"/>
                <w:lang w:eastAsia="en-GB"/>
              </w:rPr>
            </w:pPr>
            <w:r w:rsidRPr="007C47F5">
              <w:rPr>
                <w:rFonts w:ascii="Calibri" w:eastAsia="Times New Roman" w:hAnsi="Calibri" w:cs="Calibri"/>
                <w:color w:val="000000"/>
                <w:lang w:eastAsia="en-GB"/>
              </w:rPr>
              <w:t>Nottinghamshire (2006 Scheme)</w:t>
            </w:r>
          </w:p>
        </w:tc>
        <w:tc>
          <w:tcPr>
            <w:tcW w:w="1441" w:type="dxa"/>
            <w:noWrap/>
            <w:hideMark/>
          </w:tcPr>
          <w:p w:rsidR="007C47F5" w:rsidRPr="007C47F5" w:rsidRDefault="007C47F5" w:rsidP="007C47F5">
            <w:pPr>
              <w:jc w:val="right"/>
              <w:rPr>
                <w:rFonts w:ascii="Calibri" w:eastAsia="Times New Roman" w:hAnsi="Calibri" w:cs="Calibri"/>
                <w:color w:val="000000"/>
                <w:lang w:eastAsia="en-GB"/>
              </w:rPr>
            </w:pPr>
            <w:r w:rsidRPr="007C47F5">
              <w:rPr>
                <w:rFonts w:ascii="Calibri" w:eastAsia="Times New Roman" w:hAnsi="Calibri" w:cs="Calibri"/>
                <w:color w:val="000000"/>
                <w:lang w:eastAsia="en-GB"/>
              </w:rPr>
              <w:t>0</w:t>
            </w:r>
          </w:p>
        </w:tc>
        <w:tc>
          <w:tcPr>
            <w:tcW w:w="1441" w:type="dxa"/>
            <w:noWrap/>
            <w:hideMark/>
          </w:tcPr>
          <w:p w:rsidR="007C47F5" w:rsidRPr="007C47F5" w:rsidRDefault="007C47F5" w:rsidP="007C47F5">
            <w:pPr>
              <w:jc w:val="right"/>
              <w:rPr>
                <w:rFonts w:ascii="Calibri" w:eastAsia="Times New Roman" w:hAnsi="Calibri" w:cs="Calibri"/>
                <w:color w:val="000000"/>
                <w:lang w:eastAsia="en-GB"/>
              </w:rPr>
            </w:pPr>
            <w:r w:rsidRPr="007C47F5">
              <w:rPr>
                <w:rFonts w:ascii="Calibri" w:eastAsia="Times New Roman" w:hAnsi="Calibri" w:cs="Calibri"/>
                <w:color w:val="000000"/>
                <w:lang w:eastAsia="en-GB"/>
              </w:rPr>
              <w:t>159</w:t>
            </w:r>
          </w:p>
        </w:tc>
        <w:tc>
          <w:tcPr>
            <w:tcW w:w="1441" w:type="dxa"/>
            <w:noWrap/>
            <w:hideMark/>
          </w:tcPr>
          <w:p w:rsidR="007C47F5" w:rsidRPr="007C47F5" w:rsidRDefault="007C47F5" w:rsidP="007C47F5">
            <w:pPr>
              <w:jc w:val="right"/>
              <w:rPr>
                <w:rFonts w:ascii="Calibri" w:eastAsia="Times New Roman" w:hAnsi="Calibri" w:cs="Calibri"/>
                <w:color w:val="000000"/>
                <w:lang w:eastAsia="en-GB"/>
              </w:rPr>
            </w:pPr>
            <w:r w:rsidRPr="007C47F5">
              <w:rPr>
                <w:rFonts w:ascii="Calibri" w:eastAsia="Times New Roman" w:hAnsi="Calibri" w:cs="Calibri"/>
                <w:color w:val="000000"/>
                <w:lang w:eastAsia="en-GB"/>
              </w:rPr>
              <w:t>30</w:t>
            </w:r>
          </w:p>
        </w:tc>
        <w:tc>
          <w:tcPr>
            <w:tcW w:w="1441" w:type="dxa"/>
            <w:noWrap/>
            <w:hideMark/>
          </w:tcPr>
          <w:p w:rsidR="007C47F5" w:rsidRPr="007C47F5" w:rsidRDefault="007C47F5" w:rsidP="007C47F5">
            <w:pPr>
              <w:jc w:val="right"/>
              <w:rPr>
                <w:rFonts w:ascii="Calibri" w:eastAsia="Times New Roman" w:hAnsi="Calibri" w:cs="Calibri"/>
                <w:color w:val="000000"/>
                <w:lang w:eastAsia="en-GB"/>
              </w:rPr>
            </w:pPr>
            <w:r w:rsidRPr="007C47F5">
              <w:rPr>
                <w:rFonts w:ascii="Calibri" w:eastAsia="Times New Roman" w:hAnsi="Calibri" w:cs="Calibri"/>
                <w:color w:val="000000"/>
                <w:lang w:eastAsia="en-GB"/>
              </w:rPr>
              <w:t>10</w:t>
            </w:r>
          </w:p>
        </w:tc>
        <w:tc>
          <w:tcPr>
            <w:tcW w:w="1441" w:type="dxa"/>
            <w:noWrap/>
            <w:hideMark/>
          </w:tcPr>
          <w:p w:rsidR="007C47F5" w:rsidRPr="007C47F5" w:rsidRDefault="007C47F5" w:rsidP="007C47F5">
            <w:pPr>
              <w:jc w:val="right"/>
              <w:rPr>
                <w:rFonts w:ascii="Calibri" w:eastAsia="Times New Roman" w:hAnsi="Calibri" w:cs="Calibri"/>
                <w:color w:val="000000"/>
                <w:lang w:eastAsia="en-GB"/>
              </w:rPr>
            </w:pPr>
            <w:r w:rsidRPr="007C47F5">
              <w:rPr>
                <w:rFonts w:ascii="Calibri" w:eastAsia="Times New Roman" w:hAnsi="Calibri" w:cs="Calibri"/>
                <w:color w:val="000000"/>
                <w:lang w:eastAsia="en-GB"/>
              </w:rPr>
              <w:t>6</w:t>
            </w:r>
          </w:p>
        </w:tc>
        <w:tc>
          <w:tcPr>
            <w:tcW w:w="1442" w:type="dxa"/>
            <w:noWrap/>
            <w:hideMark/>
          </w:tcPr>
          <w:p w:rsidR="007C47F5" w:rsidRPr="007C47F5" w:rsidRDefault="007C47F5" w:rsidP="007C47F5">
            <w:pPr>
              <w:jc w:val="right"/>
              <w:rPr>
                <w:rFonts w:ascii="Calibri" w:eastAsia="Times New Roman" w:hAnsi="Calibri" w:cs="Calibri"/>
                <w:color w:val="000000"/>
                <w:lang w:eastAsia="en-GB"/>
              </w:rPr>
            </w:pPr>
            <w:r w:rsidRPr="007C47F5">
              <w:rPr>
                <w:rFonts w:ascii="Calibri" w:eastAsia="Times New Roman" w:hAnsi="Calibri" w:cs="Calibri"/>
                <w:color w:val="000000"/>
                <w:lang w:eastAsia="en-GB"/>
              </w:rPr>
              <w:t>0</w:t>
            </w:r>
          </w:p>
        </w:tc>
      </w:tr>
      <w:tr w:rsidR="007C47F5" w:rsidRPr="007C47F5" w:rsidTr="007C47F5">
        <w:trPr>
          <w:trHeight w:val="300"/>
        </w:trPr>
        <w:tc>
          <w:tcPr>
            <w:tcW w:w="3924" w:type="dxa"/>
            <w:noWrap/>
            <w:hideMark/>
          </w:tcPr>
          <w:p w:rsidR="007C47F5" w:rsidRPr="007C47F5" w:rsidRDefault="007C47F5" w:rsidP="007C47F5">
            <w:pPr>
              <w:rPr>
                <w:rFonts w:ascii="Calibri" w:eastAsia="Times New Roman" w:hAnsi="Calibri" w:cs="Calibri"/>
                <w:color w:val="000000"/>
                <w:lang w:eastAsia="en-GB"/>
              </w:rPr>
            </w:pPr>
            <w:r w:rsidRPr="007C47F5">
              <w:rPr>
                <w:rFonts w:ascii="Calibri" w:eastAsia="Times New Roman" w:hAnsi="Calibri" w:cs="Calibri"/>
                <w:color w:val="000000"/>
                <w:lang w:eastAsia="en-GB"/>
              </w:rPr>
              <w:t>Nottinghamshire (2006/RDS Scheme)</w:t>
            </w:r>
          </w:p>
        </w:tc>
        <w:tc>
          <w:tcPr>
            <w:tcW w:w="1441" w:type="dxa"/>
            <w:noWrap/>
            <w:hideMark/>
          </w:tcPr>
          <w:p w:rsidR="007C47F5" w:rsidRPr="007C47F5" w:rsidRDefault="007C47F5" w:rsidP="007C47F5">
            <w:pPr>
              <w:jc w:val="right"/>
              <w:rPr>
                <w:rFonts w:ascii="Calibri" w:eastAsia="Times New Roman" w:hAnsi="Calibri" w:cs="Calibri"/>
                <w:color w:val="000000"/>
                <w:lang w:eastAsia="en-GB"/>
              </w:rPr>
            </w:pPr>
            <w:r w:rsidRPr="007C47F5">
              <w:rPr>
                <w:rFonts w:ascii="Calibri" w:eastAsia="Times New Roman" w:hAnsi="Calibri" w:cs="Calibri"/>
                <w:color w:val="000000"/>
                <w:lang w:eastAsia="en-GB"/>
              </w:rPr>
              <w:t>0</w:t>
            </w:r>
          </w:p>
        </w:tc>
        <w:tc>
          <w:tcPr>
            <w:tcW w:w="1441" w:type="dxa"/>
            <w:noWrap/>
            <w:hideMark/>
          </w:tcPr>
          <w:p w:rsidR="007C47F5" w:rsidRPr="007C47F5" w:rsidRDefault="007C47F5" w:rsidP="007C47F5">
            <w:pPr>
              <w:jc w:val="right"/>
              <w:rPr>
                <w:rFonts w:ascii="Calibri" w:eastAsia="Times New Roman" w:hAnsi="Calibri" w:cs="Calibri"/>
                <w:color w:val="000000"/>
                <w:lang w:eastAsia="en-GB"/>
              </w:rPr>
            </w:pPr>
            <w:r w:rsidRPr="007C47F5">
              <w:rPr>
                <w:rFonts w:ascii="Calibri" w:eastAsia="Times New Roman" w:hAnsi="Calibri" w:cs="Calibri"/>
                <w:color w:val="000000"/>
                <w:lang w:eastAsia="en-GB"/>
              </w:rPr>
              <w:t>36</w:t>
            </w:r>
          </w:p>
        </w:tc>
        <w:tc>
          <w:tcPr>
            <w:tcW w:w="1441" w:type="dxa"/>
            <w:noWrap/>
            <w:hideMark/>
          </w:tcPr>
          <w:p w:rsidR="007C47F5" w:rsidRPr="007C47F5" w:rsidRDefault="007C47F5" w:rsidP="007C47F5">
            <w:pPr>
              <w:jc w:val="right"/>
              <w:rPr>
                <w:rFonts w:ascii="Calibri" w:eastAsia="Times New Roman" w:hAnsi="Calibri" w:cs="Calibri"/>
                <w:color w:val="000000"/>
                <w:lang w:eastAsia="en-GB"/>
              </w:rPr>
            </w:pPr>
            <w:r w:rsidRPr="007C47F5">
              <w:rPr>
                <w:rFonts w:ascii="Calibri" w:eastAsia="Times New Roman" w:hAnsi="Calibri" w:cs="Calibri"/>
                <w:color w:val="000000"/>
                <w:lang w:eastAsia="en-GB"/>
              </w:rPr>
              <w:t>64</w:t>
            </w:r>
          </w:p>
        </w:tc>
        <w:tc>
          <w:tcPr>
            <w:tcW w:w="1441" w:type="dxa"/>
            <w:noWrap/>
            <w:hideMark/>
          </w:tcPr>
          <w:p w:rsidR="007C47F5" w:rsidRPr="007C47F5" w:rsidRDefault="007C47F5" w:rsidP="007C47F5">
            <w:pPr>
              <w:jc w:val="right"/>
              <w:rPr>
                <w:rFonts w:ascii="Calibri" w:eastAsia="Times New Roman" w:hAnsi="Calibri" w:cs="Calibri"/>
                <w:color w:val="000000"/>
                <w:lang w:eastAsia="en-GB"/>
              </w:rPr>
            </w:pPr>
            <w:r w:rsidRPr="007C47F5">
              <w:rPr>
                <w:rFonts w:ascii="Calibri" w:eastAsia="Times New Roman" w:hAnsi="Calibri" w:cs="Calibri"/>
                <w:color w:val="000000"/>
                <w:lang w:eastAsia="en-GB"/>
              </w:rPr>
              <w:t>0</w:t>
            </w:r>
          </w:p>
        </w:tc>
        <w:tc>
          <w:tcPr>
            <w:tcW w:w="1441" w:type="dxa"/>
            <w:noWrap/>
            <w:hideMark/>
          </w:tcPr>
          <w:p w:rsidR="007C47F5" w:rsidRPr="007C47F5" w:rsidRDefault="007C47F5" w:rsidP="007C47F5">
            <w:pPr>
              <w:jc w:val="right"/>
              <w:rPr>
                <w:rFonts w:ascii="Calibri" w:eastAsia="Times New Roman" w:hAnsi="Calibri" w:cs="Calibri"/>
                <w:color w:val="000000"/>
                <w:lang w:eastAsia="en-GB"/>
              </w:rPr>
            </w:pPr>
            <w:r w:rsidRPr="007C47F5">
              <w:rPr>
                <w:rFonts w:ascii="Calibri" w:eastAsia="Times New Roman" w:hAnsi="Calibri" w:cs="Calibri"/>
                <w:color w:val="000000"/>
                <w:lang w:eastAsia="en-GB"/>
              </w:rPr>
              <w:t>0</w:t>
            </w:r>
          </w:p>
        </w:tc>
        <w:tc>
          <w:tcPr>
            <w:tcW w:w="1442" w:type="dxa"/>
            <w:noWrap/>
            <w:hideMark/>
          </w:tcPr>
          <w:p w:rsidR="007C47F5" w:rsidRPr="007C47F5" w:rsidRDefault="007C47F5" w:rsidP="007C47F5">
            <w:pPr>
              <w:jc w:val="right"/>
              <w:rPr>
                <w:rFonts w:ascii="Calibri" w:eastAsia="Times New Roman" w:hAnsi="Calibri" w:cs="Calibri"/>
                <w:color w:val="000000"/>
                <w:lang w:eastAsia="en-GB"/>
              </w:rPr>
            </w:pPr>
            <w:r w:rsidRPr="007C47F5">
              <w:rPr>
                <w:rFonts w:ascii="Calibri" w:eastAsia="Times New Roman" w:hAnsi="Calibri" w:cs="Calibri"/>
                <w:color w:val="000000"/>
                <w:lang w:eastAsia="en-GB"/>
              </w:rPr>
              <w:t>0</w:t>
            </w:r>
          </w:p>
        </w:tc>
      </w:tr>
      <w:tr w:rsidR="007C47F5" w:rsidRPr="007C47F5" w:rsidTr="007C47F5">
        <w:trPr>
          <w:trHeight w:val="300"/>
        </w:trPr>
        <w:tc>
          <w:tcPr>
            <w:tcW w:w="3924" w:type="dxa"/>
            <w:noWrap/>
            <w:hideMark/>
          </w:tcPr>
          <w:p w:rsidR="007C47F5" w:rsidRPr="007C47F5" w:rsidRDefault="007C47F5" w:rsidP="007C47F5">
            <w:pPr>
              <w:rPr>
                <w:rFonts w:ascii="Calibri" w:eastAsia="Times New Roman" w:hAnsi="Calibri" w:cs="Calibri"/>
                <w:color w:val="000000"/>
                <w:lang w:eastAsia="en-GB"/>
              </w:rPr>
            </w:pPr>
            <w:r w:rsidRPr="007C47F5">
              <w:rPr>
                <w:rFonts w:ascii="Calibri" w:eastAsia="Times New Roman" w:hAnsi="Calibri" w:cs="Calibri"/>
                <w:color w:val="000000"/>
                <w:lang w:eastAsia="en-GB"/>
              </w:rPr>
              <w:t>Nottinghamshire (2015 Scheme)</w:t>
            </w:r>
          </w:p>
        </w:tc>
        <w:tc>
          <w:tcPr>
            <w:tcW w:w="1441" w:type="dxa"/>
            <w:noWrap/>
            <w:hideMark/>
          </w:tcPr>
          <w:p w:rsidR="007C47F5" w:rsidRPr="007C47F5" w:rsidRDefault="007C47F5" w:rsidP="007C47F5">
            <w:pPr>
              <w:jc w:val="right"/>
              <w:rPr>
                <w:rFonts w:ascii="Calibri" w:eastAsia="Times New Roman" w:hAnsi="Calibri" w:cs="Calibri"/>
                <w:color w:val="000000"/>
                <w:lang w:eastAsia="en-GB"/>
              </w:rPr>
            </w:pPr>
            <w:r w:rsidRPr="007C47F5">
              <w:rPr>
                <w:rFonts w:ascii="Calibri" w:eastAsia="Times New Roman" w:hAnsi="Calibri" w:cs="Calibri"/>
                <w:color w:val="000000"/>
                <w:lang w:eastAsia="en-GB"/>
              </w:rPr>
              <w:t>594</w:t>
            </w:r>
          </w:p>
        </w:tc>
        <w:tc>
          <w:tcPr>
            <w:tcW w:w="1441" w:type="dxa"/>
            <w:noWrap/>
            <w:hideMark/>
          </w:tcPr>
          <w:p w:rsidR="007C47F5" w:rsidRPr="007C47F5" w:rsidRDefault="007C47F5" w:rsidP="007C47F5">
            <w:pPr>
              <w:jc w:val="right"/>
              <w:rPr>
                <w:rFonts w:ascii="Calibri" w:eastAsia="Times New Roman" w:hAnsi="Calibri" w:cs="Calibri"/>
                <w:color w:val="000000"/>
                <w:lang w:eastAsia="en-GB"/>
              </w:rPr>
            </w:pPr>
            <w:r w:rsidRPr="007C47F5">
              <w:rPr>
                <w:rFonts w:ascii="Calibri" w:eastAsia="Times New Roman" w:hAnsi="Calibri" w:cs="Calibri"/>
                <w:color w:val="000000"/>
                <w:lang w:eastAsia="en-GB"/>
              </w:rPr>
              <w:t>188</w:t>
            </w:r>
          </w:p>
        </w:tc>
        <w:tc>
          <w:tcPr>
            <w:tcW w:w="1441" w:type="dxa"/>
            <w:noWrap/>
            <w:hideMark/>
          </w:tcPr>
          <w:p w:rsidR="007C47F5" w:rsidRPr="007C47F5" w:rsidRDefault="007C47F5" w:rsidP="007C47F5">
            <w:pPr>
              <w:jc w:val="right"/>
              <w:rPr>
                <w:rFonts w:ascii="Calibri" w:eastAsia="Times New Roman" w:hAnsi="Calibri" w:cs="Calibri"/>
                <w:color w:val="000000"/>
                <w:lang w:eastAsia="en-GB"/>
              </w:rPr>
            </w:pPr>
            <w:r w:rsidRPr="007C47F5">
              <w:rPr>
                <w:rFonts w:ascii="Calibri" w:eastAsia="Times New Roman" w:hAnsi="Calibri" w:cs="Calibri"/>
                <w:color w:val="000000"/>
                <w:lang w:eastAsia="en-GB"/>
              </w:rPr>
              <w:t>24</w:t>
            </w:r>
          </w:p>
        </w:tc>
        <w:tc>
          <w:tcPr>
            <w:tcW w:w="1441" w:type="dxa"/>
            <w:noWrap/>
            <w:hideMark/>
          </w:tcPr>
          <w:p w:rsidR="007C47F5" w:rsidRPr="007C47F5" w:rsidRDefault="007C47F5" w:rsidP="007C47F5">
            <w:pPr>
              <w:jc w:val="right"/>
              <w:rPr>
                <w:rFonts w:ascii="Calibri" w:eastAsia="Times New Roman" w:hAnsi="Calibri" w:cs="Calibri"/>
                <w:color w:val="000000"/>
                <w:lang w:eastAsia="en-GB"/>
              </w:rPr>
            </w:pPr>
            <w:r w:rsidRPr="007C47F5">
              <w:rPr>
                <w:rFonts w:ascii="Calibri" w:eastAsia="Times New Roman" w:hAnsi="Calibri" w:cs="Calibri"/>
                <w:color w:val="000000"/>
                <w:lang w:eastAsia="en-GB"/>
              </w:rPr>
              <w:t>1</w:t>
            </w:r>
          </w:p>
        </w:tc>
        <w:tc>
          <w:tcPr>
            <w:tcW w:w="1441" w:type="dxa"/>
            <w:noWrap/>
            <w:hideMark/>
          </w:tcPr>
          <w:p w:rsidR="007C47F5" w:rsidRPr="007C47F5" w:rsidRDefault="007C47F5" w:rsidP="007C47F5">
            <w:pPr>
              <w:jc w:val="right"/>
              <w:rPr>
                <w:rFonts w:ascii="Calibri" w:eastAsia="Times New Roman" w:hAnsi="Calibri" w:cs="Calibri"/>
                <w:color w:val="000000"/>
                <w:lang w:eastAsia="en-GB"/>
              </w:rPr>
            </w:pPr>
            <w:r w:rsidRPr="007C47F5">
              <w:rPr>
                <w:rFonts w:ascii="Calibri" w:eastAsia="Times New Roman" w:hAnsi="Calibri" w:cs="Calibri"/>
                <w:color w:val="000000"/>
                <w:lang w:eastAsia="en-GB"/>
              </w:rPr>
              <w:t>0</w:t>
            </w:r>
          </w:p>
        </w:tc>
        <w:tc>
          <w:tcPr>
            <w:tcW w:w="1442" w:type="dxa"/>
            <w:noWrap/>
            <w:hideMark/>
          </w:tcPr>
          <w:p w:rsidR="007C47F5" w:rsidRPr="007C47F5" w:rsidRDefault="007C47F5" w:rsidP="007C47F5">
            <w:pPr>
              <w:jc w:val="right"/>
              <w:rPr>
                <w:rFonts w:ascii="Calibri" w:eastAsia="Times New Roman" w:hAnsi="Calibri" w:cs="Calibri"/>
                <w:color w:val="000000"/>
                <w:lang w:eastAsia="en-GB"/>
              </w:rPr>
            </w:pPr>
            <w:r w:rsidRPr="007C47F5">
              <w:rPr>
                <w:rFonts w:ascii="Calibri" w:eastAsia="Times New Roman" w:hAnsi="Calibri" w:cs="Calibri"/>
                <w:color w:val="000000"/>
                <w:lang w:eastAsia="en-GB"/>
              </w:rPr>
              <w:t>1</w:t>
            </w:r>
          </w:p>
        </w:tc>
      </w:tr>
      <w:tr w:rsidR="007C47F5" w:rsidRPr="007C47F5" w:rsidTr="007C47F5">
        <w:trPr>
          <w:trHeight w:val="300"/>
        </w:trPr>
        <w:tc>
          <w:tcPr>
            <w:tcW w:w="3924" w:type="dxa"/>
            <w:noWrap/>
            <w:hideMark/>
          </w:tcPr>
          <w:p w:rsidR="007C47F5" w:rsidRPr="007C47F5" w:rsidRDefault="007C47F5" w:rsidP="007C47F5">
            <w:pPr>
              <w:rPr>
                <w:rFonts w:ascii="Calibri" w:eastAsia="Times New Roman" w:hAnsi="Calibri" w:cs="Calibri"/>
                <w:color w:val="000000"/>
                <w:lang w:eastAsia="en-GB"/>
              </w:rPr>
            </w:pPr>
            <w:r w:rsidRPr="007C47F5">
              <w:rPr>
                <w:rFonts w:ascii="Calibri" w:eastAsia="Times New Roman" w:hAnsi="Calibri" w:cs="Calibri"/>
                <w:color w:val="000000"/>
                <w:lang w:eastAsia="en-GB"/>
              </w:rPr>
              <w:t>Nottinghamshire (2015/RDS Scheme)</w:t>
            </w:r>
          </w:p>
        </w:tc>
        <w:tc>
          <w:tcPr>
            <w:tcW w:w="1441" w:type="dxa"/>
            <w:noWrap/>
            <w:hideMark/>
          </w:tcPr>
          <w:p w:rsidR="007C47F5" w:rsidRPr="007C47F5" w:rsidRDefault="007C47F5" w:rsidP="007C47F5">
            <w:pPr>
              <w:jc w:val="right"/>
              <w:rPr>
                <w:rFonts w:ascii="Calibri" w:eastAsia="Times New Roman" w:hAnsi="Calibri" w:cs="Calibri"/>
                <w:color w:val="000000"/>
                <w:lang w:eastAsia="en-GB"/>
              </w:rPr>
            </w:pPr>
            <w:r w:rsidRPr="007C47F5">
              <w:rPr>
                <w:rFonts w:ascii="Calibri" w:eastAsia="Times New Roman" w:hAnsi="Calibri" w:cs="Calibri"/>
                <w:color w:val="000000"/>
                <w:lang w:eastAsia="en-GB"/>
              </w:rPr>
              <w:t>17</w:t>
            </w:r>
          </w:p>
        </w:tc>
        <w:tc>
          <w:tcPr>
            <w:tcW w:w="1441" w:type="dxa"/>
            <w:noWrap/>
            <w:hideMark/>
          </w:tcPr>
          <w:p w:rsidR="007C47F5" w:rsidRPr="007C47F5" w:rsidRDefault="007C47F5" w:rsidP="007C47F5">
            <w:pPr>
              <w:jc w:val="right"/>
              <w:rPr>
                <w:rFonts w:ascii="Calibri" w:eastAsia="Times New Roman" w:hAnsi="Calibri" w:cs="Calibri"/>
                <w:color w:val="000000"/>
                <w:lang w:eastAsia="en-GB"/>
              </w:rPr>
            </w:pPr>
            <w:r w:rsidRPr="007C47F5">
              <w:rPr>
                <w:rFonts w:ascii="Calibri" w:eastAsia="Times New Roman" w:hAnsi="Calibri" w:cs="Calibri"/>
                <w:color w:val="000000"/>
                <w:lang w:eastAsia="en-GB"/>
              </w:rPr>
              <w:t>4</w:t>
            </w:r>
          </w:p>
        </w:tc>
        <w:tc>
          <w:tcPr>
            <w:tcW w:w="1441" w:type="dxa"/>
            <w:noWrap/>
            <w:hideMark/>
          </w:tcPr>
          <w:p w:rsidR="007C47F5" w:rsidRPr="007C47F5" w:rsidRDefault="007C47F5" w:rsidP="007C47F5">
            <w:pPr>
              <w:jc w:val="right"/>
              <w:rPr>
                <w:rFonts w:ascii="Calibri" w:eastAsia="Times New Roman" w:hAnsi="Calibri" w:cs="Calibri"/>
                <w:color w:val="000000"/>
                <w:lang w:eastAsia="en-GB"/>
              </w:rPr>
            </w:pPr>
            <w:r w:rsidRPr="007C47F5">
              <w:rPr>
                <w:rFonts w:ascii="Calibri" w:eastAsia="Times New Roman" w:hAnsi="Calibri" w:cs="Calibri"/>
                <w:color w:val="000000"/>
                <w:lang w:eastAsia="en-GB"/>
              </w:rPr>
              <w:t>1</w:t>
            </w:r>
          </w:p>
        </w:tc>
        <w:tc>
          <w:tcPr>
            <w:tcW w:w="1441" w:type="dxa"/>
            <w:noWrap/>
            <w:hideMark/>
          </w:tcPr>
          <w:p w:rsidR="007C47F5" w:rsidRPr="007C47F5" w:rsidRDefault="007C47F5" w:rsidP="007C47F5">
            <w:pPr>
              <w:jc w:val="right"/>
              <w:rPr>
                <w:rFonts w:ascii="Calibri" w:eastAsia="Times New Roman" w:hAnsi="Calibri" w:cs="Calibri"/>
                <w:color w:val="000000"/>
                <w:lang w:eastAsia="en-GB"/>
              </w:rPr>
            </w:pPr>
            <w:r w:rsidRPr="007C47F5">
              <w:rPr>
                <w:rFonts w:ascii="Calibri" w:eastAsia="Times New Roman" w:hAnsi="Calibri" w:cs="Calibri"/>
                <w:color w:val="000000"/>
                <w:lang w:eastAsia="en-GB"/>
              </w:rPr>
              <w:t>0</w:t>
            </w:r>
          </w:p>
        </w:tc>
        <w:tc>
          <w:tcPr>
            <w:tcW w:w="1441" w:type="dxa"/>
            <w:noWrap/>
            <w:hideMark/>
          </w:tcPr>
          <w:p w:rsidR="007C47F5" w:rsidRPr="007C47F5" w:rsidRDefault="007C47F5" w:rsidP="007C47F5">
            <w:pPr>
              <w:jc w:val="right"/>
              <w:rPr>
                <w:rFonts w:ascii="Calibri" w:eastAsia="Times New Roman" w:hAnsi="Calibri" w:cs="Calibri"/>
                <w:color w:val="000000"/>
                <w:lang w:eastAsia="en-GB"/>
              </w:rPr>
            </w:pPr>
            <w:r w:rsidRPr="007C47F5">
              <w:rPr>
                <w:rFonts w:ascii="Calibri" w:eastAsia="Times New Roman" w:hAnsi="Calibri" w:cs="Calibri"/>
                <w:color w:val="000000"/>
                <w:lang w:eastAsia="en-GB"/>
              </w:rPr>
              <w:t>0</w:t>
            </w:r>
          </w:p>
        </w:tc>
        <w:tc>
          <w:tcPr>
            <w:tcW w:w="1442" w:type="dxa"/>
            <w:noWrap/>
            <w:hideMark/>
          </w:tcPr>
          <w:p w:rsidR="007C47F5" w:rsidRPr="007C47F5" w:rsidRDefault="007C47F5" w:rsidP="007C47F5">
            <w:pPr>
              <w:jc w:val="right"/>
              <w:rPr>
                <w:rFonts w:ascii="Calibri" w:eastAsia="Times New Roman" w:hAnsi="Calibri" w:cs="Calibri"/>
                <w:color w:val="000000"/>
                <w:lang w:eastAsia="en-GB"/>
              </w:rPr>
            </w:pPr>
            <w:r w:rsidRPr="007C47F5">
              <w:rPr>
                <w:rFonts w:ascii="Calibri" w:eastAsia="Times New Roman" w:hAnsi="Calibri" w:cs="Calibri"/>
                <w:color w:val="000000"/>
                <w:lang w:eastAsia="en-GB"/>
              </w:rPr>
              <w:t>0</w:t>
            </w:r>
          </w:p>
        </w:tc>
      </w:tr>
    </w:tbl>
    <w:p w:rsidR="005F6F1D" w:rsidRPr="005F6F1D" w:rsidRDefault="005F6F1D" w:rsidP="005F6F1D">
      <w:pPr>
        <w:spacing w:after="0"/>
        <w:ind w:left="993"/>
        <w:rPr>
          <w:rFonts w:ascii="Calibri" w:eastAsia="Calibri" w:hAnsi="Calibri" w:cs="Times New Roman"/>
          <w:noProof/>
          <w:lang w:eastAsia="en-GB"/>
        </w:rPr>
      </w:pPr>
    </w:p>
    <w:p w:rsidR="005F6F1D" w:rsidRPr="005F6F1D" w:rsidRDefault="005F6F1D" w:rsidP="005F6F1D">
      <w:pPr>
        <w:spacing w:after="0"/>
        <w:ind w:left="993"/>
        <w:rPr>
          <w:rFonts w:ascii="Calibri" w:eastAsia="Calibri" w:hAnsi="Calibri" w:cs="Times New Roman"/>
          <w:noProof/>
          <w:lang w:eastAsia="en-GB"/>
        </w:rPr>
      </w:pPr>
    </w:p>
    <w:p w:rsidR="005F6F1D" w:rsidRPr="005F6F1D" w:rsidRDefault="005F6F1D" w:rsidP="005F6F1D">
      <w:pPr>
        <w:spacing w:after="0"/>
        <w:ind w:left="426"/>
        <w:rPr>
          <w:rFonts w:ascii="Calibri" w:eastAsia="Calibri" w:hAnsi="Calibri" w:cs="Times New Roman"/>
          <w:noProof/>
          <w:lang w:eastAsia="en-GB"/>
        </w:rPr>
      </w:pPr>
    </w:p>
    <w:p w:rsidR="005F6F1D" w:rsidRPr="005F6F1D" w:rsidRDefault="007C47F5" w:rsidP="005F6F1D">
      <w:pPr>
        <w:spacing w:after="0"/>
        <w:ind w:left="993"/>
        <w:rPr>
          <w:rFonts w:ascii="Calibri" w:eastAsia="Calibri" w:hAnsi="Calibri" w:cs="Times New Roman"/>
          <w:noProof/>
          <w:lang w:eastAsia="en-GB"/>
        </w:rPr>
      </w:pPr>
      <w:r>
        <w:rPr>
          <w:noProof/>
          <w:lang w:eastAsia="en-GB"/>
        </w:rPr>
        <w:drawing>
          <wp:inline distT="0" distB="0" distL="0" distR="0" wp14:anchorId="3B7A1341" wp14:editId="76422183">
            <wp:extent cx="7248525" cy="2513330"/>
            <wp:effectExtent l="0" t="0" r="9525" b="12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F6F1D" w:rsidRPr="005F6F1D" w:rsidRDefault="005F6F1D" w:rsidP="005F6F1D">
      <w:pPr>
        <w:spacing w:after="0"/>
        <w:ind w:left="993"/>
        <w:rPr>
          <w:rFonts w:ascii="Calibri" w:eastAsia="Calibri" w:hAnsi="Calibri" w:cs="Times New Roman"/>
          <w:noProof/>
          <w:lang w:eastAsia="en-GB"/>
        </w:rPr>
      </w:pPr>
    </w:p>
    <w:p w:rsidR="005F6F1D" w:rsidRPr="005F6F1D" w:rsidRDefault="00A656E3" w:rsidP="005F6F1D">
      <w:pPr>
        <w:spacing w:after="0"/>
        <w:ind w:left="993"/>
        <w:rPr>
          <w:rFonts w:ascii="Calibri" w:eastAsia="Calibri" w:hAnsi="Calibri" w:cs="Times New Roman"/>
          <w:noProof/>
          <w:lang w:eastAsia="en-GB"/>
        </w:rPr>
      </w:pPr>
      <w:r>
        <w:rPr>
          <w:noProof/>
          <w:lang w:eastAsia="en-GB"/>
        </w:rPr>
        <w:lastRenderedPageBreak/>
        <w:drawing>
          <wp:inline distT="0" distB="0" distL="0" distR="0" wp14:anchorId="15CC8F31" wp14:editId="5EF6DD94">
            <wp:extent cx="7734300" cy="4679950"/>
            <wp:effectExtent l="0" t="0" r="0" b="63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F6F1D" w:rsidRPr="005F6F1D" w:rsidRDefault="005F6F1D" w:rsidP="005F6F1D">
      <w:pPr>
        <w:spacing w:after="0"/>
        <w:ind w:left="993"/>
        <w:rPr>
          <w:rFonts w:ascii="Calibri" w:eastAsia="Calibri" w:hAnsi="Calibri" w:cs="Times New Roman"/>
          <w:noProof/>
          <w:lang w:eastAsia="en-GB"/>
        </w:rPr>
      </w:pPr>
    </w:p>
    <w:p w:rsidR="005F6F1D" w:rsidRPr="005F6F1D" w:rsidRDefault="005F6F1D" w:rsidP="005F6F1D">
      <w:pPr>
        <w:spacing w:after="0"/>
        <w:ind w:left="993"/>
        <w:rPr>
          <w:rFonts w:ascii="Calibri" w:eastAsia="Calibri" w:hAnsi="Calibri" w:cs="Times New Roman"/>
          <w:noProof/>
          <w:lang w:eastAsia="en-GB"/>
        </w:rPr>
      </w:pPr>
    </w:p>
    <w:p w:rsidR="005F6F1D" w:rsidRPr="005F6F1D" w:rsidRDefault="005F6F1D" w:rsidP="005F6F1D">
      <w:pPr>
        <w:spacing w:after="0"/>
        <w:ind w:left="993"/>
        <w:rPr>
          <w:rFonts w:ascii="Calibri" w:eastAsia="Calibri" w:hAnsi="Calibri" w:cs="Times New Roman"/>
          <w:noProof/>
          <w:lang w:eastAsia="en-GB"/>
        </w:rPr>
      </w:pPr>
    </w:p>
    <w:p w:rsidR="005F6F1D" w:rsidRPr="005F6F1D" w:rsidRDefault="005F6F1D" w:rsidP="005F6F1D">
      <w:pPr>
        <w:spacing w:after="0"/>
        <w:ind w:left="993"/>
        <w:rPr>
          <w:rFonts w:ascii="Calibri" w:eastAsia="Calibri" w:hAnsi="Calibri" w:cs="Times New Roman"/>
          <w:noProof/>
          <w:lang w:eastAsia="en-GB"/>
        </w:rPr>
      </w:pPr>
    </w:p>
    <w:p w:rsidR="005F6F1D" w:rsidRPr="005F6F1D" w:rsidRDefault="005F6F1D" w:rsidP="005F6F1D">
      <w:pPr>
        <w:spacing w:after="0"/>
        <w:ind w:left="993"/>
        <w:rPr>
          <w:rFonts w:ascii="Calibri" w:eastAsia="Calibri" w:hAnsi="Calibri" w:cs="Times New Roman"/>
          <w:noProof/>
          <w:lang w:eastAsia="en-GB"/>
        </w:rPr>
      </w:pPr>
    </w:p>
    <w:p w:rsidR="005F6F1D" w:rsidRPr="005F6F1D" w:rsidRDefault="005F6F1D" w:rsidP="005F6F1D">
      <w:pPr>
        <w:spacing w:after="0"/>
        <w:ind w:left="426"/>
        <w:rPr>
          <w:rFonts w:ascii="Calibri" w:eastAsia="Calibri" w:hAnsi="Calibri" w:cs="Times New Roman"/>
          <w:noProof/>
          <w:lang w:eastAsia="en-GB"/>
        </w:rPr>
      </w:pPr>
    </w:p>
    <w:p w:rsidR="005F6F1D" w:rsidRPr="005F6F1D" w:rsidRDefault="00A656E3" w:rsidP="005F6F1D">
      <w:pPr>
        <w:spacing w:after="0"/>
        <w:rPr>
          <w:rFonts w:ascii="Calibri" w:eastAsia="Calibri" w:hAnsi="Calibri" w:cs="Times New Roman"/>
          <w:noProof/>
          <w:lang w:eastAsia="en-GB"/>
        </w:rPr>
      </w:pPr>
      <w:r>
        <w:rPr>
          <w:noProof/>
          <w:lang w:eastAsia="en-GB"/>
        </w:rPr>
        <w:lastRenderedPageBreak/>
        <w:drawing>
          <wp:inline distT="0" distB="0" distL="0" distR="0" wp14:anchorId="1682B3B9" wp14:editId="317811F7">
            <wp:extent cx="8915400" cy="4679950"/>
            <wp:effectExtent l="0" t="0" r="0" b="63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F6F1D" w:rsidRPr="005F6F1D" w:rsidRDefault="005F6F1D" w:rsidP="005F6F1D">
      <w:pPr>
        <w:spacing w:after="0"/>
        <w:rPr>
          <w:rFonts w:ascii="Calibri" w:eastAsia="Calibri" w:hAnsi="Calibri" w:cs="Times New Roman"/>
          <w:noProof/>
          <w:lang w:eastAsia="en-GB"/>
        </w:rPr>
      </w:pPr>
    </w:p>
    <w:p w:rsidR="005F6F1D" w:rsidRPr="005F6F1D" w:rsidRDefault="005F6F1D" w:rsidP="005F6F1D">
      <w:pPr>
        <w:spacing w:after="0"/>
        <w:rPr>
          <w:rFonts w:ascii="Calibri" w:eastAsia="Calibri" w:hAnsi="Calibri" w:cs="Times New Roman"/>
          <w:noProof/>
          <w:lang w:eastAsia="en-GB"/>
        </w:rPr>
      </w:pPr>
    </w:p>
    <w:p w:rsidR="005F6F1D" w:rsidRPr="005F6F1D" w:rsidRDefault="005F6F1D" w:rsidP="005F6F1D">
      <w:pPr>
        <w:spacing w:after="0"/>
        <w:rPr>
          <w:rFonts w:ascii="Calibri" w:eastAsia="Calibri" w:hAnsi="Calibri" w:cs="Times New Roman"/>
          <w:noProof/>
          <w:lang w:eastAsia="en-GB"/>
        </w:rPr>
      </w:pPr>
    </w:p>
    <w:p w:rsidR="005F6F1D" w:rsidRPr="005F6F1D" w:rsidRDefault="005F6F1D" w:rsidP="005F6F1D">
      <w:pPr>
        <w:spacing w:after="0"/>
        <w:rPr>
          <w:rFonts w:ascii="Calibri" w:eastAsia="Calibri" w:hAnsi="Calibri" w:cs="Times New Roman"/>
          <w:noProof/>
          <w:lang w:eastAsia="en-GB"/>
        </w:rPr>
      </w:pPr>
    </w:p>
    <w:p w:rsidR="005F6F1D" w:rsidRPr="005F6F1D" w:rsidRDefault="005F6F1D" w:rsidP="005F6F1D">
      <w:pPr>
        <w:spacing w:after="0"/>
        <w:rPr>
          <w:rFonts w:ascii="Calibri" w:eastAsia="Calibri" w:hAnsi="Calibri" w:cs="Times New Roman"/>
          <w:noProof/>
          <w:lang w:eastAsia="en-GB"/>
        </w:rPr>
      </w:pPr>
    </w:p>
    <w:p w:rsidR="005F6F1D" w:rsidRPr="005F6F1D" w:rsidRDefault="005F6F1D" w:rsidP="005F6F1D">
      <w:pPr>
        <w:spacing w:after="0"/>
        <w:rPr>
          <w:rFonts w:ascii="Calibri" w:eastAsia="Calibri" w:hAnsi="Calibri" w:cs="Times New Roman"/>
          <w:noProof/>
          <w:lang w:eastAsia="en-GB"/>
        </w:rPr>
      </w:pPr>
    </w:p>
    <w:p w:rsidR="005F6F1D" w:rsidRPr="005F6F1D" w:rsidRDefault="005F6F1D" w:rsidP="005F6F1D">
      <w:pPr>
        <w:spacing w:after="0"/>
        <w:rPr>
          <w:rFonts w:ascii="Calibri" w:eastAsia="Calibri" w:hAnsi="Calibri" w:cs="Times New Roman"/>
          <w:noProof/>
          <w:lang w:eastAsia="en-GB"/>
        </w:rPr>
      </w:pPr>
    </w:p>
    <w:p w:rsidR="005F6F1D" w:rsidRPr="005F6F1D" w:rsidRDefault="00A656E3" w:rsidP="005F6F1D">
      <w:pPr>
        <w:spacing w:after="0"/>
        <w:rPr>
          <w:rFonts w:ascii="Calibri" w:eastAsia="Calibri" w:hAnsi="Calibri" w:cs="Times New Roman"/>
          <w:noProof/>
          <w:lang w:eastAsia="en-GB"/>
        </w:rPr>
      </w:pPr>
      <w:r>
        <w:rPr>
          <w:noProof/>
          <w:lang w:eastAsia="en-GB"/>
        </w:rPr>
        <w:drawing>
          <wp:inline distT="0" distB="0" distL="0" distR="0" wp14:anchorId="2E3C7FFF" wp14:editId="3F3C1425">
            <wp:extent cx="8715375" cy="4679950"/>
            <wp:effectExtent l="0" t="0" r="9525" b="63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F6F1D" w:rsidRPr="005F6F1D" w:rsidRDefault="005F6F1D" w:rsidP="005F6F1D">
      <w:pPr>
        <w:spacing w:after="0"/>
        <w:rPr>
          <w:rFonts w:ascii="Calibri" w:eastAsia="Calibri" w:hAnsi="Calibri" w:cs="Times New Roman"/>
          <w:noProof/>
          <w:lang w:eastAsia="en-GB"/>
        </w:rPr>
      </w:pPr>
    </w:p>
    <w:p w:rsidR="005F6F1D" w:rsidRPr="005F6F1D" w:rsidRDefault="005F6F1D" w:rsidP="005F6F1D">
      <w:pPr>
        <w:spacing w:after="0"/>
        <w:rPr>
          <w:rFonts w:ascii="Calibri" w:eastAsia="Calibri" w:hAnsi="Calibri" w:cs="Times New Roman"/>
          <w:noProof/>
          <w:lang w:eastAsia="en-GB"/>
        </w:rPr>
      </w:pPr>
    </w:p>
    <w:p w:rsidR="005F6F1D" w:rsidRPr="005F6F1D" w:rsidRDefault="005F6F1D" w:rsidP="005F6F1D">
      <w:pPr>
        <w:rPr>
          <w:rFonts w:ascii="Arial" w:eastAsia="Calibri" w:hAnsi="Arial" w:cs="Arial"/>
          <w:sz w:val="24"/>
          <w:szCs w:val="24"/>
        </w:rPr>
      </w:pPr>
    </w:p>
    <w:p w:rsidR="005F6F1D" w:rsidRPr="005F6F1D" w:rsidRDefault="005F6F1D" w:rsidP="005F6F1D">
      <w:pPr>
        <w:rPr>
          <w:rFonts w:ascii="Arial" w:eastAsia="Calibri" w:hAnsi="Arial" w:cs="Arial"/>
          <w:sz w:val="24"/>
          <w:szCs w:val="24"/>
        </w:rPr>
      </w:pPr>
    </w:p>
    <w:p w:rsidR="005F6F1D" w:rsidRPr="005F6F1D" w:rsidRDefault="005F6F1D" w:rsidP="005F6F1D">
      <w:pPr>
        <w:spacing w:after="0" w:line="240" w:lineRule="auto"/>
        <w:ind w:left="720" w:hanging="1287"/>
        <w:rPr>
          <w:rFonts w:ascii="Arial" w:eastAsia="Calibri" w:hAnsi="Arial" w:cs="Arial"/>
          <w:b/>
          <w:color w:val="0070C0"/>
          <w:sz w:val="28"/>
          <w:szCs w:val="28"/>
        </w:rPr>
        <w:sectPr w:rsidR="005F6F1D" w:rsidRPr="005F6F1D" w:rsidSect="009A5F55">
          <w:pgSz w:w="16838" w:h="11906" w:orient="landscape"/>
          <w:pgMar w:top="1134" w:right="1440" w:bottom="1440" w:left="1440" w:header="709" w:footer="709" w:gutter="0"/>
          <w:cols w:space="708"/>
          <w:docGrid w:linePitch="360"/>
        </w:sectPr>
      </w:pPr>
    </w:p>
    <w:p w:rsidR="00D000EF" w:rsidRPr="00D000EF" w:rsidRDefault="00D000EF" w:rsidP="00D000EF">
      <w:pPr>
        <w:rPr>
          <w:rFonts w:ascii="Arial" w:eastAsia="Calibri" w:hAnsi="Arial" w:cs="Arial"/>
          <w:b/>
          <w:color w:val="0070C0"/>
          <w:sz w:val="28"/>
          <w:szCs w:val="28"/>
        </w:rPr>
      </w:pPr>
      <w:r w:rsidRPr="00D000EF">
        <w:rPr>
          <w:rFonts w:ascii="Arial" w:eastAsia="Calibri" w:hAnsi="Arial" w:cs="Arial"/>
          <w:b/>
          <w:color w:val="0070C0"/>
          <w:sz w:val="28"/>
          <w:szCs w:val="28"/>
        </w:rPr>
        <w:lastRenderedPageBreak/>
        <w:t>5. Administration Update</w:t>
      </w:r>
    </w:p>
    <w:p w:rsidR="00D000EF" w:rsidRPr="00D000EF" w:rsidRDefault="00D000EF" w:rsidP="00D000EF">
      <w:pPr>
        <w:spacing w:after="0" w:line="240" w:lineRule="auto"/>
        <w:rPr>
          <w:rFonts w:ascii="Arial" w:eastAsia="Calibri" w:hAnsi="Arial" w:cs="Arial"/>
          <w:b/>
          <w:color w:val="000000"/>
        </w:rPr>
      </w:pPr>
      <w:r w:rsidRPr="00D000EF">
        <w:rPr>
          <w:rFonts w:ascii="Arial" w:eastAsia="Calibri" w:hAnsi="Arial" w:cs="Arial"/>
          <w:b/>
        </w:rPr>
        <w:t>Industrial Action</w:t>
      </w:r>
    </w:p>
    <w:p w:rsidR="00D000EF" w:rsidRPr="00D000EF" w:rsidRDefault="00D000EF" w:rsidP="00D000EF">
      <w:pPr>
        <w:spacing w:after="0" w:line="240" w:lineRule="auto"/>
        <w:rPr>
          <w:rFonts w:ascii="Arial" w:eastAsia="Calibri" w:hAnsi="Arial" w:cs="Arial"/>
        </w:rPr>
      </w:pPr>
      <w:r w:rsidRPr="00D000EF">
        <w:rPr>
          <w:rFonts w:ascii="Arial" w:eastAsia="Calibri" w:hAnsi="Arial" w:cs="Arial"/>
        </w:rPr>
        <w:t xml:space="preserve">Now that it’s been confirmed that Industrial Action will be going ahead, WYPF will provide a report in the near future that will list all your active scheme members to enable you to populate each member’s strike position, and whether contributions* were or were not repaid   </w:t>
      </w:r>
    </w:p>
    <w:p w:rsidR="00D000EF" w:rsidRPr="00D000EF" w:rsidRDefault="00D000EF" w:rsidP="00D000EF">
      <w:pPr>
        <w:spacing w:after="0" w:line="240" w:lineRule="auto"/>
        <w:rPr>
          <w:rFonts w:ascii="Arial" w:eastAsia="Calibri" w:hAnsi="Arial" w:cs="Arial"/>
        </w:rPr>
      </w:pPr>
    </w:p>
    <w:p w:rsidR="00D000EF" w:rsidRPr="00D000EF" w:rsidRDefault="00D000EF" w:rsidP="00D000EF">
      <w:pPr>
        <w:spacing w:after="0" w:line="240" w:lineRule="auto"/>
        <w:rPr>
          <w:rFonts w:ascii="Arial" w:eastAsia="Calibri" w:hAnsi="Arial" w:cs="Arial"/>
          <w:i/>
          <w:color w:val="FF0000"/>
        </w:rPr>
      </w:pPr>
      <w:r w:rsidRPr="00D000EF">
        <w:rPr>
          <w:rFonts w:ascii="Arial" w:eastAsia="Calibri" w:hAnsi="Arial" w:cs="Arial"/>
          <w:i/>
          <w:color w:val="FF0000"/>
        </w:rPr>
        <w:t>*Your discretions document should confirm whether the FRA contribution should also be paid by the member.</w:t>
      </w:r>
    </w:p>
    <w:p w:rsidR="00D000EF" w:rsidRPr="00D000EF" w:rsidRDefault="00D000EF" w:rsidP="00D000EF">
      <w:pPr>
        <w:spacing w:after="0" w:line="240" w:lineRule="auto"/>
        <w:rPr>
          <w:rFonts w:ascii="Arial" w:eastAsia="Calibri" w:hAnsi="Arial" w:cs="Arial"/>
        </w:rPr>
      </w:pPr>
    </w:p>
    <w:p w:rsidR="00D000EF" w:rsidRPr="00D000EF" w:rsidRDefault="00D000EF" w:rsidP="00D000EF">
      <w:pPr>
        <w:spacing w:after="0" w:line="240" w:lineRule="auto"/>
        <w:rPr>
          <w:rFonts w:ascii="Arial" w:eastAsia="Calibri" w:hAnsi="Arial" w:cs="Arial"/>
        </w:rPr>
      </w:pPr>
      <w:r w:rsidRPr="00D000EF">
        <w:rPr>
          <w:rFonts w:ascii="Arial" w:eastAsia="Calibri" w:hAnsi="Arial" w:cs="Arial"/>
        </w:rPr>
        <w:t xml:space="preserve">As some members will retire (or leave) before the Industrial Action concludes, and before you return the completed report, please remember to provide the unpaid strike days on the retirement and leaver notification.  </w:t>
      </w:r>
    </w:p>
    <w:p w:rsidR="00D000EF" w:rsidRPr="00D000EF" w:rsidRDefault="00D000EF" w:rsidP="00D000EF">
      <w:pPr>
        <w:spacing w:after="0" w:line="240" w:lineRule="auto"/>
        <w:rPr>
          <w:rFonts w:ascii="Arial" w:eastAsia="Calibri" w:hAnsi="Arial" w:cs="Arial"/>
        </w:rPr>
      </w:pPr>
    </w:p>
    <w:p w:rsidR="00D000EF" w:rsidRPr="00D000EF" w:rsidRDefault="00D000EF" w:rsidP="00D000EF">
      <w:pPr>
        <w:spacing w:after="0" w:line="240" w:lineRule="auto"/>
        <w:rPr>
          <w:rFonts w:ascii="Arial" w:eastAsia="Calibri" w:hAnsi="Arial" w:cs="Arial"/>
          <w:color w:val="000000"/>
        </w:rPr>
      </w:pPr>
      <w:r w:rsidRPr="00D000EF">
        <w:rPr>
          <w:rFonts w:ascii="Arial" w:eastAsia="Calibri" w:hAnsi="Arial" w:cs="Arial"/>
          <w:color w:val="000000"/>
        </w:rPr>
        <w:t>Bulletin 65 includes a link to September’s bulletin (bulletin 61) which provides a useful overview of the effect on striking members’ pension rights along with the repayment election criteria.  </w:t>
      </w:r>
    </w:p>
    <w:p w:rsidR="00D000EF" w:rsidRPr="00D000EF" w:rsidRDefault="00D000EF" w:rsidP="00D000EF">
      <w:pPr>
        <w:spacing w:after="0" w:line="240" w:lineRule="auto"/>
        <w:rPr>
          <w:rFonts w:ascii="Arial" w:eastAsia="Calibri" w:hAnsi="Arial" w:cs="Arial"/>
          <w:color w:val="000000"/>
        </w:rPr>
      </w:pPr>
    </w:p>
    <w:p w:rsidR="00D000EF" w:rsidRPr="00D000EF" w:rsidRDefault="00D000EF" w:rsidP="00D000EF">
      <w:pPr>
        <w:spacing w:after="0" w:line="240" w:lineRule="auto"/>
        <w:rPr>
          <w:rFonts w:ascii="Arial" w:eastAsia="Calibri" w:hAnsi="Arial" w:cs="Arial"/>
          <w:color w:val="000000"/>
        </w:rPr>
      </w:pPr>
      <w:r w:rsidRPr="00D000EF">
        <w:rPr>
          <w:rFonts w:ascii="Arial" w:eastAsia="Calibri" w:hAnsi="Arial" w:cs="Arial"/>
          <w:color w:val="000000"/>
        </w:rPr>
        <w:t>his article also clarifies that members with connected service to a former final salary scheme will have the associated day(s) deducted if they don’t repay the contribution due, and this could well impact on former FPS 1992 members’ anticipated 30-year date. </w:t>
      </w:r>
    </w:p>
    <w:p w:rsidR="00D000EF" w:rsidRPr="00D000EF" w:rsidRDefault="00D000EF" w:rsidP="00D000EF">
      <w:pPr>
        <w:spacing w:after="0" w:line="240" w:lineRule="auto"/>
        <w:rPr>
          <w:rFonts w:ascii="Arial" w:eastAsia="Calibri" w:hAnsi="Arial" w:cs="Arial"/>
          <w:color w:val="000000"/>
        </w:rPr>
      </w:pPr>
    </w:p>
    <w:p w:rsidR="00D000EF" w:rsidRPr="00D000EF" w:rsidRDefault="00D000EF" w:rsidP="00D000EF">
      <w:pPr>
        <w:spacing w:after="0" w:line="240" w:lineRule="auto"/>
        <w:rPr>
          <w:rFonts w:ascii="Calibri" w:eastAsia="Calibri" w:hAnsi="Calibri" w:cs="Calibri"/>
          <w:color w:val="1F497D"/>
        </w:rPr>
      </w:pPr>
      <w:r w:rsidRPr="00D000EF">
        <w:rPr>
          <w:rFonts w:ascii="Arial" w:eastAsia="Calibri" w:hAnsi="Arial" w:cs="Arial"/>
          <w:color w:val="000000"/>
        </w:rPr>
        <w:t>Whilst LGA will provide communication for FRAs to use, it may be beneficial to start drafting something sooner.</w:t>
      </w:r>
    </w:p>
    <w:p w:rsidR="00D000EF" w:rsidRPr="00D000EF" w:rsidRDefault="00D000EF" w:rsidP="00D000EF">
      <w:pPr>
        <w:spacing w:after="0" w:line="240" w:lineRule="auto"/>
        <w:ind w:firstLine="720"/>
        <w:rPr>
          <w:rFonts w:ascii="Arial" w:eastAsia="Calibri" w:hAnsi="Arial" w:cs="Arial"/>
          <w:color w:val="000000"/>
        </w:rPr>
      </w:pPr>
    </w:p>
    <w:p w:rsidR="00D000EF" w:rsidRPr="00D000EF" w:rsidRDefault="00D000EF" w:rsidP="00D000EF">
      <w:pPr>
        <w:spacing w:after="0" w:line="240" w:lineRule="auto"/>
        <w:rPr>
          <w:rFonts w:ascii="Arial" w:eastAsia="Calibri" w:hAnsi="Arial" w:cs="Arial"/>
          <w:b/>
          <w:bCs/>
        </w:rPr>
      </w:pPr>
      <w:r w:rsidRPr="00D000EF">
        <w:rPr>
          <w:rFonts w:ascii="Arial" w:eastAsia="Calibri" w:hAnsi="Arial" w:cs="Arial"/>
          <w:b/>
          <w:bCs/>
        </w:rPr>
        <w:t>Data breaches: [none this month]</w:t>
      </w:r>
    </w:p>
    <w:p w:rsidR="00D000EF" w:rsidRPr="00D000EF" w:rsidRDefault="00D000EF" w:rsidP="00D000EF">
      <w:pPr>
        <w:spacing w:after="0" w:line="240" w:lineRule="auto"/>
        <w:ind w:left="720"/>
        <w:rPr>
          <w:rFonts w:ascii="Arial" w:eastAsia="Calibri" w:hAnsi="Arial" w:cs="Arial"/>
          <w:b/>
          <w:bCs/>
        </w:rPr>
      </w:pPr>
    </w:p>
    <w:p w:rsidR="00D000EF" w:rsidRPr="00D000EF" w:rsidRDefault="00D000EF" w:rsidP="00D000EF">
      <w:pPr>
        <w:spacing w:after="0" w:line="240" w:lineRule="auto"/>
        <w:ind w:firstLine="720"/>
        <w:rPr>
          <w:rFonts w:ascii="Arial" w:eastAsia="Calibri" w:hAnsi="Arial" w:cs="Arial"/>
          <w:b/>
          <w:bCs/>
        </w:rPr>
      </w:pPr>
    </w:p>
    <w:p w:rsidR="00D000EF" w:rsidRPr="00D000EF" w:rsidRDefault="00D000EF" w:rsidP="00D000EF">
      <w:pPr>
        <w:rPr>
          <w:rFonts w:ascii="Arial" w:eastAsia="Calibri" w:hAnsi="Arial" w:cs="Arial"/>
          <w:b/>
          <w:color w:val="0070C0"/>
          <w:sz w:val="28"/>
          <w:szCs w:val="28"/>
        </w:rPr>
      </w:pPr>
      <w:r w:rsidRPr="00D000EF">
        <w:rPr>
          <w:rFonts w:ascii="Arial" w:eastAsia="Calibri" w:hAnsi="Arial" w:cs="Arial"/>
          <w:b/>
          <w:color w:val="0070C0"/>
          <w:sz w:val="28"/>
          <w:szCs w:val="28"/>
        </w:rPr>
        <w:t>6. Communication &amp; Training</w:t>
      </w:r>
    </w:p>
    <w:p w:rsidR="00D000EF" w:rsidRPr="00D000EF" w:rsidRDefault="00D000EF" w:rsidP="00D000EF">
      <w:pPr>
        <w:spacing w:after="0" w:line="240" w:lineRule="auto"/>
        <w:rPr>
          <w:rFonts w:ascii="Arial" w:eastAsia="Calibri" w:hAnsi="Arial" w:cs="Arial"/>
          <w:color w:val="000000"/>
        </w:rPr>
      </w:pPr>
      <w:r w:rsidRPr="00D000EF">
        <w:rPr>
          <w:rFonts w:ascii="Arial" w:eastAsia="Calibri" w:hAnsi="Arial" w:cs="Arial"/>
          <w:color w:val="000000"/>
        </w:rPr>
        <w:t xml:space="preserve">WYPF held its </w:t>
      </w:r>
      <w:r w:rsidRPr="00D000EF">
        <w:rPr>
          <w:rFonts w:ascii="Arial" w:eastAsia="Calibri" w:hAnsi="Arial" w:cs="Arial"/>
        </w:rPr>
        <w:t xml:space="preserve">most recent Fire Client meeting </w:t>
      </w:r>
      <w:r w:rsidRPr="00D000EF">
        <w:rPr>
          <w:rFonts w:ascii="Arial" w:eastAsia="Calibri" w:hAnsi="Arial" w:cs="Arial"/>
          <w:color w:val="000000"/>
        </w:rPr>
        <w:t xml:space="preserve">on 11 January, delivering what we hope were useful roundups and updates.  </w:t>
      </w:r>
    </w:p>
    <w:p w:rsidR="00D000EF" w:rsidRPr="00D000EF" w:rsidRDefault="00D000EF" w:rsidP="00D000EF">
      <w:pPr>
        <w:spacing w:after="0" w:line="240" w:lineRule="auto"/>
        <w:rPr>
          <w:rFonts w:ascii="Arial" w:eastAsia="Calibri" w:hAnsi="Arial" w:cs="Arial"/>
          <w:color w:val="000000"/>
        </w:rPr>
      </w:pPr>
    </w:p>
    <w:p w:rsidR="00D000EF" w:rsidRPr="00D000EF" w:rsidRDefault="00D000EF" w:rsidP="00D000EF">
      <w:pPr>
        <w:spacing w:after="0" w:line="240" w:lineRule="auto"/>
        <w:rPr>
          <w:rFonts w:ascii="Arial" w:eastAsia="Calibri" w:hAnsi="Arial" w:cs="Arial"/>
          <w:color w:val="000000"/>
        </w:rPr>
      </w:pPr>
      <w:r w:rsidRPr="00D000EF">
        <w:rPr>
          <w:rFonts w:ascii="Arial" w:eastAsia="Calibri" w:hAnsi="Arial" w:cs="Arial"/>
          <w:color w:val="000000"/>
        </w:rPr>
        <w:t xml:space="preserve">The latest Hot Topics was issued after the meeting and included guidance notes and a waiver form relating to our approach for processing estimates and retirement quotes for leavers on or after 1 October. These were included in Nina’s invitation for the April meeting.  </w:t>
      </w:r>
    </w:p>
    <w:p w:rsidR="00D000EF" w:rsidRPr="00D000EF" w:rsidRDefault="00D000EF" w:rsidP="00D000EF">
      <w:pPr>
        <w:spacing w:after="0" w:line="240" w:lineRule="auto"/>
        <w:rPr>
          <w:rFonts w:ascii="Arial" w:eastAsia="Calibri" w:hAnsi="Arial" w:cs="Arial"/>
          <w:color w:val="000000"/>
        </w:rPr>
      </w:pPr>
    </w:p>
    <w:p w:rsidR="00D000EF" w:rsidRPr="00D000EF" w:rsidRDefault="00D000EF" w:rsidP="00D000EF">
      <w:pPr>
        <w:spacing w:after="0" w:line="240" w:lineRule="auto"/>
        <w:rPr>
          <w:rFonts w:ascii="Arial" w:eastAsia="Calibri" w:hAnsi="Arial" w:cs="Arial"/>
          <w:color w:val="000000"/>
        </w:rPr>
      </w:pPr>
      <w:r w:rsidRPr="00D000EF">
        <w:rPr>
          <w:rFonts w:ascii="Arial" w:eastAsia="Calibri" w:hAnsi="Arial" w:cs="Arial"/>
          <w:color w:val="000000"/>
        </w:rPr>
        <w:t xml:space="preserve">To date none have been completed and returned to either Nicola or Dave.  </w:t>
      </w:r>
    </w:p>
    <w:p w:rsidR="00D000EF" w:rsidRPr="00D000EF" w:rsidRDefault="00D000EF" w:rsidP="00D000EF">
      <w:pPr>
        <w:spacing w:after="0" w:line="240" w:lineRule="auto"/>
        <w:rPr>
          <w:rFonts w:ascii="Arial" w:eastAsia="Calibri" w:hAnsi="Arial" w:cs="Arial"/>
          <w:color w:val="000000"/>
        </w:rPr>
      </w:pPr>
    </w:p>
    <w:p w:rsidR="00D000EF" w:rsidRPr="00D000EF" w:rsidRDefault="00D000EF" w:rsidP="00D000EF">
      <w:pPr>
        <w:spacing w:after="0" w:line="240" w:lineRule="auto"/>
        <w:rPr>
          <w:rFonts w:ascii="Arial" w:eastAsia="Calibri" w:hAnsi="Arial" w:cs="Arial"/>
          <w:b/>
          <w:i/>
          <w:color w:val="FF0000"/>
        </w:rPr>
      </w:pPr>
      <w:r w:rsidRPr="00D000EF">
        <w:rPr>
          <w:rFonts w:ascii="Arial" w:eastAsia="Calibri" w:hAnsi="Arial" w:cs="Arial"/>
          <w:b/>
          <w:i/>
          <w:color w:val="FF0000"/>
        </w:rPr>
        <w:t xml:space="preserve">Action for FRAs: Please remember that we must have the waiver returned otherwise we </w:t>
      </w:r>
      <w:r w:rsidRPr="00D000EF">
        <w:rPr>
          <w:rFonts w:ascii="Arial" w:eastAsia="Calibri" w:hAnsi="Arial" w:cs="Arial"/>
          <w:b/>
          <w:i/>
          <w:color w:val="FF0000"/>
          <w:u w:val="single"/>
        </w:rPr>
        <w:t>cannot</w:t>
      </w:r>
      <w:r w:rsidRPr="00D000EF">
        <w:rPr>
          <w:rFonts w:ascii="Arial" w:eastAsia="Calibri" w:hAnsi="Arial" w:cs="Arial"/>
          <w:b/>
          <w:i/>
          <w:color w:val="FF0000"/>
        </w:rPr>
        <w:t xml:space="preserve"> process cases</w:t>
      </w:r>
    </w:p>
    <w:p w:rsidR="00D000EF" w:rsidRPr="00D000EF" w:rsidRDefault="00D000EF" w:rsidP="00D000EF">
      <w:pPr>
        <w:spacing w:after="0" w:line="240" w:lineRule="auto"/>
        <w:rPr>
          <w:rFonts w:ascii="Arial" w:eastAsia="Calibri" w:hAnsi="Arial" w:cs="Arial"/>
          <w:b/>
          <w:i/>
          <w:color w:val="FF0000"/>
        </w:rPr>
      </w:pPr>
    </w:p>
    <w:p w:rsidR="00D000EF" w:rsidRPr="00D000EF" w:rsidRDefault="00D000EF" w:rsidP="00D000EF">
      <w:pPr>
        <w:rPr>
          <w:rFonts w:ascii="Arial" w:eastAsia="Calibri" w:hAnsi="Arial" w:cs="Arial"/>
          <w:b/>
          <w:sz w:val="24"/>
          <w:szCs w:val="24"/>
        </w:rPr>
      </w:pPr>
      <w:r w:rsidRPr="00D000EF">
        <w:rPr>
          <w:rFonts w:ascii="Arial" w:eastAsia="Calibri" w:hAnsi="Arial" w:cs="Arial"/>
          <w:b/>
          <w:sz w:val="24"/>
          <w:szCs w:val="24"/>
        </w:rPr>
        <w:t>Workshops</w:t>
      </w:r>
    </w:p>
    <w:p w:rsidR="00D000EF" w:rsidRPr="00D000EF" w:rsidRDefault="00D000EF" w:rsidP="00D000EF">
      <w:pPr>
        <w:spacing w:after="0" w:line="240" w:lineRule="auto"/>
        <w:rPr>
          <w:rFonts w:ascii="Arial" w:eastAsia="Calibri" w:hAnsi="Arial" w:cs="Arial"/>
        </w:rPr>
      </w:pPr>
      <w:r w:rsidRPr="00D000EF">
        <w:rPr>
          <w:rFonts w:ascii="Arial" w:eastAsia="Calibri" w:hAnsi="Arial" w:cs="Arial"/>
        </w:rPr>
        <w:t>At our most recent Fire Client meeting we also discussed delivering 2 workshops to assist FRAs and their Payrolls in successfully completing the month 12 return.</w:t>
      </w:r>
    </w:p>
    <w:p w:rsidR="00D000EF" w:rsidRPr="00D000EF" w:rsidRDefault="00D000EF" w:rsidP="00D000EF">
      <w:pPr>
        <w:spacing w:after="0" w:line="240" w:lineRule="auto"/>
        <w:rPr>
          <w:rFonts w:ascii="Arial" w:eastAsia="Calibri" w:hAnsi="Arial" w:cs="Arial"/>
        </w:rPr>
      </w:pPr>
    </w:p>
    <w:p w:rsidR="00D000EF" w:rsidRPr="00D000EF" w:rsidRDefault="00D000EF" w:rsidP="00D000EF">
      <w:pPr>
        <w:spacing w:after="0" w:line="240" w:lineRule="auto"/>
        <w:rPr>
          <w:rFonts w:ascii="Arial" w:eastAsia="Calibri" w:hAnsi="Arial" w:cs="Arial"/>
        </w:rPr>
      </w:pPr>
      <w:r w:rsidRPr="00D000EF">
        <w:rPr>
          <w:rFonts w:ascii="Arial" w:eastAsia="Calibri" w:hAnsi="Arial" w:cs="Arial"/>
        </w:rPr>
        <w:t xml:space="preserve">We are running these events on </w:t>
      </w:r>
      <w:r w:rsidRPr="00D000EF">
        <w:rPr>
          <w:rFonts w:ascii="Arial" w:eastAsia="Calibri" w:hAnsi="Arial" w:cs="Arial"/>
          <w:b/>
        </w:rPr>
        <w:t>Monday 20 February and Monday 27 February</w:t>
      </w:r>
      <w:r w:rsidRPr="00D000EF">
        <w:rPr>
          <w:rFonts w:ascii="Arial" w:eastAsia="Calibri" w:hAnsi="Arial" w:cs="Arial"/>
        </w:rPr>
        <w:t xml:space="preserve"> and we would encourage all FRAs and all payroll providers to attend.</w:t>
      </w:r>
    </w:p>
    <w:p w:rsidR="00D000EF" w:rsidRPr="00D000EF" w:rsidRDefault="00D000EF" w:rsidP="00D000EF">
      <w:pPr>
        <w:spacing w:after="0" w:line="240" w:lineRule="auto"/>
        <w:rPr>
          <w:rFonts w:ascii="Arial" w:eastAsia="Calibri" w:hAnsi="Arial" w:cs="Arial"/>
        </w:rPr>
      </w:pPr>
    </w:p>
    <w:p w:rsidR="00D000EF" w:rsidRPr="00D000EF" w:rsidRDefault="00D000EF" w:rsidP="00D000EF">
      <w:pPr>
        <w:spacing w:after="0" w:line="240" w:lineRule="auto"/>
        <w:rPr>
          <w:rFonts w:ascii="Arial" w:eastAsia="Calibri" w:hAnsi="Arial" w:cs="Arial"/>
        </w:rPr>
      </w:pPr>
      <w:r w:rsidRPr="00D000EF">
        <w:rPr>
          <w:rFonts w:ascii="Arial" w:eastAsia="Calibri" w:hAnsi="Arial" w:cs="Arial"/>
        </w:rPr>
        <w:t>In these workshops we will cover the following:</w:t>
      </w:r>
    </w:p>
    <w:p w:rsidR="00D000EF" w:rsidRPr="00D000EF" w:rsidRDefault="00D000EF" w:rsidP="00D000EF">
      <w:pPr>
        <w:spacing w:after="0" w:line="240" w:lineRule="auto"/>
        <w:rPr>
          <w:rFonts w:ascii="Arial" w:eastAsia="Calibri" w:hAnsi="Arial" w:cs="Arial"/>
        </w:rPr>
      </w:pPr>
    </w:p>
    <w:p w:rsidR="00D000EF" w:rsidRPr="00D000EF" w:rsidRDefault="00D000EF" w:rsidP="00D000EF">
      <w:pPr>
        <w:numPr>
          <w:ilvl w:val="0"/>
          <w:numId w:val="8"/>
        </w:numPr>
        <w:spacing w:after="0" w:line="240" w:lineRule="auto"/>
        <w:contextualSpacing/>
        <w:rPr>
          <w:rFonts w:ascii="Arial" w:eastAsia="Calibri" w:hAnsi="Arial" w:cs="Arial"/>
        </w:rPr>
      </w:pPr>
      <w:r w:rsidRPr="00D000EF">
        <w:rPr>
          <w:rFonts w:ascii="Arial" w:eastAsia="Calibri" w:hAnsi="Arial" w:cs="Arial"/>
        </w:rPr>
        <w:t>What we need in each column &amp; why</w:t>
      </w:r>
    </w:p>
    <w:p w:rsidR="00D000EF" w:rsidRPr="00D000EF" w:rsidRDefault="00D000EF" w:rsidP="00D000EF">
      <w:pPr>
        <w:spacing w:after="0" w:line="240" w:lineRule="auto"/>
        <w:rPr>
          <w:rFonts w:ascii="Arial" w:eastAsia="Calibri" w:hAnsi="Arial" w:cs="Arial"/>
        </w:rPr>
      </w:pPr>
    </w:p>
    <w:p w:rsidR="00D000EF" w:rsidRPr="00D000EF" w:rsidRDefault="00D000EF" w:rsidP="00D000EF">
      <w:pPr>
        <w:numPr>
          <w:ilvl w:val="0"/>
          <w:numId w:val="8"/>
        </w:numPr>
        <w:spacing w:after="0" w:line="240" w:lineRule="auto"/>
        <w:contextualSpacing/>
        <w:rPr>
          <w:rFonts w:ascii="Arial" w:eastAsia="Calibri" w:hAnsi="Arial" w:cs="Arial"/>
        </w:rPr>
      </w:pPr>
      <w:r w:rsidRPr="00D000EF">
        <w:rPr>
          <w:rFonts w:ascii="Arial" w:eastAsia="Calibri" w:hAnsi="Arial" w:cs="Arial"/>
        </w:rPr>
        <w:t>How new pension records are created</w:t>
      </w:r>
    </w:p>
    <w:p w:rsidR="00D000EF" w:rsidRPr="00D000EF" w:rsidRDefault="00D000EF" w:rsidP="00D000EF">
      <w:pPr>
        <w:spacing w:after="0" w:line="240" w:lineRule="auto"/>
        <w:rPr>
          <w:rFonts w:ascii="Arial" w:eastAsia="Calibri" w:hAnsi="Arial" w:cs="Arial"/>
        </w:rPr>
      </w:pPr>
    </w:p>
    <w:p w:rsidR="00D000EF" w:rsidRPr="00D000EF" w:rsidRDefault="00D000EF" w:rsidP="00D000EF">
      <w:pPr>
        <w:numPr>
          <w:ilvl w:val="0"/>
          <w:numId w:val="8"/>
        </w:numPr>
        <w:spacing w:after="0" w:line="240" w:lineRule="auto"/>
        <w:contextualSpacing/>
        <w:rPr>
          <w:rFonts w:ascii="Arial" w:eastAsia="Calibri" w:hAnsi="Arial" w:cs="Arial"/>
        </w:rPr>
      </w:pPr>
      <w:r w:rsidRPr="00D000EF">
        <w:rPr>
          <w:rFonts w:ascii="Arial" w:eastAsia="Calibri" w:hAnsi="Arial" w:cs="Arial"/>
        </w:rPr>
        <w:lastRenderedPageBreak/>
        <w:t>Why we require one row per post &amp; the impact of not doing that</w:t>
      </w:r>
    </w:p>
    <w:p w:rsidR="00D000EF" w:rsidRPr="00D000EF" w:rsidRDefault="00D000EF" w:rsidP="00D000EF">
      <w:pPr>
        <w:numPr>
          <w:ilvl w:val="0"/>
          <w:numId w:val="8"/>
        </w:numPr>
        <w:spacing w:after="0" w:line="240" w:lineRule="auto"/>
        <w:contextualSpacing/>
        <w:rPr>
          <w:rFonts w:ascii="Arial" w:eastAsia="Calibri" w:hAnsi="Arial" w:cs="Arial"/>
        </w:rPr>
      </w:pPr>
      <w:r w:rsidRPr="00D000EF">
        <w:rPr>
          <w:rFonts w:ascii="Arial" w:eastAsia="Calibri" w:hAnsi="Arial" w:cs="Arial"/>
        </w:rPr>
        <w:t>In depth explanation of what is required for columns AL &amp; AM and what checks they should do on this data before submission of Month 12</w:t>
      </w:r>
    </w:p>
    <w:p w:rsidR="00D000EF" w:rsidRPr="00D000EF" w:rsidRDefault="00D000EF" w:rsidP="00D000EF">
      <w:pPr>
        <w:spacing w:after="0" w:line="240" w:lineRule="auto"/>
        <w:rPr>
          <w:rFonts w:ascii="Arial" w:eastAsia="Calibri" w:hAnsi="Arial" w:cs="Arial"/>
        </w:rPr>
      </w:pPr>
    </w:p>
    <w:p w:rsidR="00D000EF" w:rsidRPr="00D000EF" w:rsidRDefault="00D000EF" w:rsidP="00D000EF">
      <w:pPr>
        <w:numPr>
          <w:ilvl w:val="0"/>
          <w:numId w:val="8"/>
        </w:numPr>
        <w:spacing w:after="0" w:line="240" w:lineRule="auto"/>
        <w:contextualSpacing/>
        <w:rPr>
          <w:rFonts w:ascii="Arial" w:eastAsia="Calibri" w:hAnsi="Arial" w:cs="Arial"/>
        </w:rPr>
      </w:pPr>
      <w:r w:rsidRPr="00D000EF">
        <w:rPr>
          <w:rFonts w:ascii="Arial" w:eastAsia="Calibri" w:hAnsi="Arial" w:cs="Arial"/>
        </w:rPr>
        <w:t>Talk through of the exception reports &amp; what the FRA should be doing on receipt</w:t>
      </w:r>
    </w:p>
    <w:p w:rsidR="00D000EF" w:rsidRPr="00D000EF" w:rsidRDefault="00D000EF" w:rsidP="00D000EF">
      <w:pPr>
        <w:spacing w:after="0" w:line="240" w:lineRule="auto"/>
        <w:rPr>
          <w:rFonts w:ascii="Arial" w:eastAsia="Calibri" w:hAnsi="Arial" w:cs="Arial"/>
        </w:rPr>
      </w:pPr>
    </w:p>
    <w:p w:rsidR="00D000EF" w:rsidRPr="00D000EF" w:rsidRDefault="00D000EF" w:rsidP="00D000EF">
      <w:pPr>
        <w:numPr>
          <w:ilvl w:val="0"/>
          <w:numId w:val="8"/>
        </w:numPr>
        <w:spacing w:after="0" w:line="240" w:lineRule="auto"/>
        <w:contextualSpacing/>
        <w:rPr>
          <w:rFonts w:ascii="Arial" w:eastAsia="Calibri" w:hAnsi="Arial" w:cs="Arial"/>
        </w:rPr>
      </w:pPr>
      <w:r w:rsidRPr="00D000EF">
        <w:rPr>
          <w:rFonts w:ascii="Arial" w:eastAsia="Calibri" w:hAnsi="Arial" w:cs="Arial"/>
        </w:rPr>
        <w:t>Confirm that there will be no changes made to the format of the spreadsheet</w:t>
      </w:r>
    </w:p>
    <w:p w:rsidR="00D000EF" w:rsidRPr="00D000EF" w:rsidRDefault="00D000EF" w:rsidP="00D000EF">
      <w:pPr>
        <w:spacing w:after="0" w:line="240" w:lineRule="auto"/>
        <w:jc w:val="right"/>
        <w:rPr>
          <w:rFonts w:ascii="Arial" w:eastAsia="Calibri" w:hAnsi="Arial" w:cs="Arial"/>
        </w:rPr>
      </w:pPr>
    </w:p>
    <w:p w:rsidR="00D000EF" w:rsidRPr="00D000EF" w:rsidRDefault="00D000EF" w:rsidP="00D000EF">
      <w:pPr>
        <w:spacing w:after="0" w:line="240" w:lineRule="auto"/>
        <w:rPr>
          <w:rFonts w:ascii="Arial" w:eastAsia="Calibri" w:hAnsi="Arial" w:cs="Arial"/>
        </w:rPr>
      </w:pPr>
      <w:r w:rsidRPr="00D000EF">
        <w:rPr>
          <w:rFonts w:ascii="Arial" w:eastAsia="Calibri" w:hAnsi="Arial" w:cs="Arial"/>
        </w:rPr>
        <w:t>To register for either of these events please click on one of the links below:</w:t>
      </w:r>
    </w:p>
    <w:p w:rsidR="00D000EF" w:rsidRPr="00D000EF" w:rsidRDefault="00D000EF" w:rsidP="00D000EF">
      <w:pPr>
        <w:rPr>
          <w:rFonts w:ascii="Arial" w:eastAsia="Calibri" w:hAnsi="Arial" w:cs="Arial"/>
          <w:sz w:val="24"/>
          <w:szCs w:val="24"/>
        </w:rPr>
      </w:pPr>
    </w:p>
    <w:p w:rsidR="00D000EF" w:rsidRPr="00D000EF" w:rsidRDefault="00F167D7" w:rsidP="00D000EF">
      <w:pPr>
        <w:rPr>
          <w:rFonts w:ascii="Arial" w:eastAsia="Calibri" w:hAnsi="Arial" w:cs="Arial"/>
          <w:b/>
        </w:rPr>
      </w:pPr>
      <w:hyperlink r:id="rId30" w:tgtFrame="_blank" w:history="1">
        <w:r w:rsidR="00D000EF" w:rsidRPr="00D000EF">
          <w:rPr>
            <w:rFonts w:ascii="Arial" w:eastAsia="Calibri" w:hAnsi="Arial" w:cs="Arial"/>
            <w:b/>
            <w:color w:val="0563C1"/>
            <w:u w:val="single"/>
          </w:rPr>
          <w:t>Workshop 1 - Monday 20 February 2023</w:t>
        </w:r>
      </w:hyperlink>
    </w:p>
    <w:p w:rsidR="00D000EF" w:rsidRPr="00D000EF" w:rsidRDefault="00F167D7" w:rsidP="00D000EF">
      <w:pPr>
        <w:rPr>
          <w:rFonts w:ascii="Arial" w:eastAsia="Calibri" w:hAnsi="Arial" w:cs="Arial"/>
        </w:rPr>
      </w:pPr>
      <w:hyperlink r:id="rId31" w:tgtFrame="_blank" w:history="1">
        <w:r w:rsidR="00D000EF" w:rsidRPr="00D000EF">
          <w:rPr>
            <w:rFonts w:ascii="Arial" w:eastAsia="Calibri" w:hAnsi="Arial" w:cs="Arial"/>
            <w:b/>
            <w:color w:val="0563C1"/>
            <w:u w:val="single"/>
          </w:rPr>
          <w:t>Workshop 2 - Monday 27 February 2023</w:t>
        </w:r>
      </w:hyperlink>
      <w:r w:rsidR="00D000EF" w:rsidRPr="00D000EF">
        <w:rPr>
          <w:rFonts w:ascii="Arial" w:eastAsia="Calibri" w:hAnsi="Arial" w:cs="Arial"/>
        </w:rPr>
        <w:t xml:space="preserve"> </w:t>
      </w:r>
    </w:p>
    <w:p w:rsidR="00D000EF" w:rsidRPr="00D000EF" w:rsidRDefault="00D000EF" w:rsidP="00D000EF">
      <w:pPr>
        <w:rPr>
          <w:rFonts w:ascii="Arial" w:eastAsia="Calibri" w:hAnsi="Arial" w:cs="Arial"/>
        </w:rPr>
      </w:pPr>
    </w:p>
    <w:p w:rsidR="00D000EF" w:rsidRPr="00D000EF" w:rsidRDefault="00D000EF" w:rsidP="00D000EF">
      <w:pPr>
        <w:rPr>
          <w:rFonts w:ascii="Arial" w:eastAsia="Calibri" w:hAnsi="Arial" w:cs="Arial"/>
          <w:b/>
        </w:rPr>
      </w:pPr>
      <w:r w:rsidRPr="00D000EF">
        <w:rPr>
          <w:rFonts w:ascii="Arial" w:eastAsia="Calibri" w:hAnsi="Arial" w:cs="Arial"/>
        </w:rPr>
        <w:t xml:space="preserve">If you have any concerns about postings please contact </w:t>
      </w:r>
      <w:hyperlink r:id="rId32" w:history="1">
        <w:r w:rsidRPr="00D000EF">
          <w:rPr>
            <w:rFonts w:ascii="Arial" w:eastAsia="Calibri" w:hAnsi="Arial" w:cs="Arial"/>
            <w:color w:val="0563C1"/>
            <w:u w:val="single"/>
          </w:rPr>
          <w:t>abdul.majid@wypf.org.gov</w:t>
        </w:r>
      </w:hyperlink>
      <w:r w:rsidRPr="00D000EF">
        <w:rPr>
          <w:rFonts w:ascii="Arial" w:eastAsia="Calibri" w:hAnsi="Arial" w:cs="Arial"/>
        </w:rPr>
        <w:t xml:space="preserve"> , </w:t>
      </w:r>
      <w:hyperlink r:id="rId33" w:history="1">
        <w:r w:rsidRPr="00D000EF">
          <w:rPr>
            <w:rFonts w:ascii="Arial" w:eastAsia="Calibri" w:hAnsi="Arial" w:cs="Arial"/>
            <w:color w:val="0563C1"/>
            <w:u w:val="single"/>
          </w:rPr>
          <w:t>helen.scargill@wypf.org.uk</w:t>
        </w:r>
      </w:hyperlink>
      <w:r w:rsidRPr="00D000EF">
        <w:rPr>
          <w:rFonts w:ascii="Arial" w:eastAsia="Calibri" w:hAnsi="Arial" w:cs="Arial"/>
        </w:rPr>
        <w:t xml:space="preserve">  or </w:t>
      </w:r>
      <w:hyperlink r:id="rId34" w:history="1">
        <w:r w:rsidRPr="00D000EF">
          <w:rPr>
            <w:rFonts w:ascii="Arial" w:eastAsia="Calibri" w:hAnsi="Arial" w:cs="Arial"/>
            <w:color w:val="0563C1"/>
            <w:u w:val="single"/>
          </w:rPr>
          <w:t>matt.mott@wypf.org.uk</w:t>
        </w:r>
      </w:hyperlink>
    </w:p>
    <w:p w:rsidR="00D000EF" w:rsidRPr="00D000EF" w:rsidRDefault="00D000EF" w:rsidP="00D000EF">
      <w:pPr>
        <w:spacing w:after="0" w:line="240" w:lineRule="auto"/>
        <w:rPr>
          <w:rFonts w:ascii="Arial" w:eastAsia="Calibri" w:hAnsi="Arial" w:cs="Arial"/>
          <w:b/>
          <w:bCs/>
          <w:color w:val="FF0000"/>
        </w:rPr>
      </w:pPr>
    </w:p>
    <w:p w:rsidR="00D000EF" w:rsidRPr="00D000EF" w:rsidRDefault="00D000EF" w:rsidP="00D000EF">
      <w:pPr>
        <w:spacing w:after="0" w:line="240" w:lineRule="auto"/>
        <w:rPr>
          <w:rFonts w:ascii="Arial" w:eastAsia="Calibri" w:hAnsi="Arial" w:cs="Arial"/>
          <w:b/>
          <w:bCs/>
          <w:color w:val="FF0000"/>
        </w:rPr>
      </w:pPr>
      <w:r w:rsidRPr="00D000EF">
        <w:rPr>
          <w:rFonts w:ascii="Arial" w:eastAsia="Calibri" w:hAnsi="Arial" w:cs="Arial"/>
          <w:b/>
          <w:bCs/>
        </w:rPr>
        <w:t xml:space="preserve">Sargeant </w:t>
      </w:r>
    </w:p>
    <w:p w:rsidR="00D000EF" w:rsidRPr="00D000EF" w:rsidRDefault="00D000EF" w:rsidP="00D000EF">
      <w:pPr>
        <w:spacing w:after="0" w:line="240" w:lineRule="auto"/>
        <w:rPr>
          <w:rFonts w:ascii="Arial" w:eastAsia="Calibri" w:hAnsi="Arial" w:cs="Arial"/>
        </w:rPr>
      </w:pPr>
      <w:r w:rsidRPr="00D000EF">
        <w:rPr>
          <w:rFonts w:ascii="Arial" w:eastAsia="Calibri" w:hAnsi="Arial" w:cs="Arial"/>
        </w:rPr>
        <w:t xml:space="preserve">All FRAs should now have received the Financial data extract.  We would draw your attention to point 26 of the associated guidance (housed at: </w:t>
      </w:r>
      <w:hyperlink r:id="rId35" w:history="1">
        <w:r w:rsidRPr="00D000EF">
          <w:rPr>
            <w:rFonts w:ascii="Arial" w:eastAsia="Calibri" w:hAnsi="Arial" w:cs="Arial"/>
            <w:u w:val="single"/>
          </w:rPr>
          <w:t>Remedy data collection guidance - clean (fpsregs.org)</w:t>
        </w:r>
      </w:hyperlink>
      <w:r w:rsidRPr="00D000EF">
        <w:rPr>
          <w:rFonts w:ascii="Arial" w:eastAsia="Calibri" w:hAnsi="Arial" w:cs="Arial"/>
        </w:rPr>
        <w:t>):</w:t>
      </w:r>
    </w:p>
    <w:p w:rsidR="00D000EF" w:rsidRPr="00D000EF" w:rsidRDefault="00D000EF" w:rsidP="00D000EF">
      <w:pPr>
        <w:spacing w:after="0" w:line="240" w:lineRule="auto"/>
        <w:rPr>
          <w:rFonts w:ascii="Arial" w:eastAsia="Calibri" w:hAnsi="Arial" w:cs="Arial"/>
        </w:rPr>
      </w:pPr>
    </w:p>
    <w:p w:rsidR="00D000EF" w:rsidRPr="00D000EF" w:rsidRDefault="00D000EF" w:rsidP="00D000EF">
      <w:pPr>
        <w:spacing w:after="0" w:line="240" w:lineRule="auto"/>
        <w:rPr>
          <w:rFonts w:ascii="Calibri" w:eastAsia="Calibri" w:hAnsi="Calibri" w:cs="Calibri"/>
          <w:color w:val="1F497D"/>
        </w:rPr>
      </w:pPr>
      <w:r w:rsidRPr="00D000EF">
        <w:rPr>
          <w:rFonts w:ascii="Calibri" w:eastAsia="Calibri" w:hAnsi="Calibri" w:cs="Calibri"/>
          <w:noProof/>
          <w:color w:val="1F497D"/>
          <w:lang w:eastAsia="en-GB"/>
        </w:rPr>
        <w:drawing>
          <wp:inline distT="0" distB="0" distL="0" distR="0" wp14:anchorId="5CC35430" wp14:editId="4C819605">
            <wp:extent cx="5962650" cy="1781175"/>
            <wp:effectExtent l="0" t="0" r="0" b="9525"/>
            <wp:docPr id="6" name="Picture 6" descr="cid:image006.png@01D93708.E4FA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6.png@01D93708.E4FA385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981156" cy="1786703"/>
                    </a:xfrm>
                    <a:prstGeom prst="rect">
                      <a:avLst/>
                    </a:prstGeom>
                    <a:noFill/>
                    <a:ln>
                      <a:noFill/>
                    </a:ln>
                  </pic:spPr>
                </pic:pic>
              </a:graphicData>
            </a:graphic>
          </wp:inline>
        </w:drawing>
      </w:r>
    </w:p>
    <w:p w:rsidR="00D000EF" w:rsidRPr="00D000EF" w:rsidRDefault="00D000EF" w:rsidP="00D000EF">
      <w:pPr>
        <w:spacing w:after="0" w:line="240" w:lineRule="auto"/>
        <w:rPr>
          <w:rFonts w:ascii="Calibri" w:eastAsia="Calibri" w:hAnsi="Calibri" w:cs="Calibri"/>
          <w:color w:val="1F497D"/>
        </w:rPr>
      </w:pPr>
    </w:p>
    <w:p w:rsidR="00D000EF" w:rsidRPr="00D000EF" w:rsidRDefault="00D000EF" w:rsidP="00D000EF">
      <w:pPr>
        <w:spacing w:after="0" w:line="240" w:lineRule="auto"/>
        <w:rPr>
          <w:rFonts w:ascii="Arial" w:eastAsia="Calibri" w:hAnsi="Arial" w:cs="Arial"/>
        </w:rPr>
      </w:pPr>
      <w:r w:rsidRPr="00D000EF">
        <w:rPr>
          <w:rFonts w:ascii="Arial" w:eastAsia="Calibri" w:hAnsi="Arial" w:cs="Arial"/>
        </w:rPr>
        <w:t xml:space="preserve">The wording instructs FRAs to check with their administrator whether an additional line is required for mid-year contribution changes.  </w:t>
      </w:r>
    </w:p>
    <w:p w:rsidR="00D000EF" w:rsidRPr="00D000EF" w:rsidRDefault="00D000EF" w:rsidP="00D000EF">
      <w:pPr>
        <w:spacing w:after="0" w:line="240" w:lineRule="auto"/>
        <w:rPr>
          <w:rFonts w:ascii="Arial" w:eastAsia="Calibri" w:hAnsi="Arial" w:cs="Arial"/>
        </w:rPr>
      </w:pPr>
    </w:p>
    <w:p w:rsidR="00D000EF" w:rsidRPr="00D000EF" w:rsidRDefault="00D000EF" w:rsidP="00D000EF">
      <w:pPr>
        <w:spacing w:after="0" w:line="240" w:lineRule="auto"/>
        <w:rPr>
          <w:rFonts w:ascii="Arial" w:eastAsia="Calibri" w:hAnsi="Arial" w:cs="Arial"/>
        </w:rPr>
      </w:pPr>
      <w:r w:rsidRPr="00D000EF">
        <w:rPr>
          <w:rFonts w:ascii="Arial" w:eastAsia="Calibri" w:hAnsi="Arial" w:cs="Arial"/>
        </w:rPr>
        <w:t xml:space="preserve">WYPF don’t believe this is required, as long as the monetary contribution amounts specify the amount actually paid along with what would have been paid in the legacy/reform scheme.  </w:t>
      </w:r>
    </w:p>
    <w:p w:rsidR="00D000EF" w:rsidRPr="00D000EF" w:rsidRDefault="00D000EF" w:rsidP="00D000EF">
      <w:pPr>
        <w:spacing w:after="0" w:line="240" w:lineRule="auto"/>
        <w:rPr>
          <w:rFonts w:ascii="Arial" w:eastAsia="Calibri" w:hAnsi="Arial" w:cs="Arial"/>
        </w:rPr>
      </w:pPr>
    </w:p>
    <w:p w:rsidR="00D000EF" w:rsidRPr="00D000EF" w:rsidRDefault="00D000EF" w:rsidP="00D000EF">
      <w:pPr>
        <w:spacing w:after="0" w:line="240" w:lineRule="auto"/>
        <w:rPr>
          <w:rFonts w:ascii="Arial" w:eastAsia="Calibri" w:hAnsi="Arial" w:cs="Arial"/>
        </w:rPr>
      </w:pPr>
      <w:r w:rsidRPr="00D000EF">
        <w:rPr>
          <w:rFonts w:ascii="Arial" w:eastAsia="Calibri" w:hAnsi="Arial" w:cs="Arial"/>
        </w:rPr>
        <w:t>If you wish, you could detail contribution rate changes in the comments box, however, if FRAs are uncertain please contact WYPF for further clarification.</w:t>
      </w:r>
    </w:p>
    <w:p w:rsidR="00D000EF" w:rsidRPr="00D000EF" w:rsidRDefault="00D000EF" w:rsidP="00D000EF">
      <w:pPr>
        <w:spacing w:after="0" w:line="240" w:lineRule="auto"/>
        <w:rPr>
          <w:rFonts w:ascii="Arial" w:eastAsia="Calibri" w:hAnsi="Arial" w:cs="Arial"/>
          <w:b/>
          <w:bCs/>
          <w:color w:val="FF0000"/>
        </w:rPr>
      </w:pPr>
    </w:p>
    <w:p w:rsidR="00D000EF" w:rsidRPr="00D000EF" w:rsidRDefault="00D000EF" w:rsidP="00D000EF">
      <w:pPr>
        <w:spacing w:after="0" w:line="240" w:lineRule="auto"/>
        <w:rPr>
          <w:rFonts w:ascii="Arial" w:eastAsia="Calibri" w:hAnsi="Arial" w:cs="Arial"/>
          <w:b/>
          <w:bCs/>
          <w:color w:val="FF0000"/>
        </w:rPr>
      </w:pPr>
    </w:p>
    <w:p w:rsidR="00D000EF" w:rsidRPr="00D000EF" w:rsidRDefault="00D000EF" w:rsidP="00D000EF">
      <w:pPr>
        <w:spacing w:after="0" w:line="240" w:lineRule="auto"/>
        <w:rPr>
          <w:rFonts w:ascii="Arial" w:eastAsia="Calibri" w:hAnsi="Arial" w:cs="Arial"/>
          <w:b/>
          <w:bCs/>
        </w:rPr>
      </w:pPr>
      <w:r w:rsidRPr="00D000EF">
        <w:rPr>
          <w:rFonts w:ascii="Arial" w:eastAsia="Calibri" w:hAnsi="Arial" w:cs="Arial"/>
          <w:b/>
          <w:bCs/>
        </w:rPr>
        <w:t>Survey</w:t>
      </w:r>
    </w:p>
    <w:p w:rsidR="00D000EF" w:rsidRPr="00D000EF" w:rsidRDefault="00D000EF" w:rsidP="00D000EF">
      <w:pPr>
        <w:contextualSpacing/>
        <w:rPr>
          <w:rFonts w:ascii="Arial" w:eastAsia="Calibri" w:hAnsi="Arial" w:cs="Arial"/>
          <w:bCs/>
        </w:rPr>
      </w:pPr>
      <w:r w:rsidRPr="00D000EF">
        <w:rPr>
          <w:rFonts w:ascii="Arial" w:eastAsia="Calibri" w:hAnsi="Arial" w:cs="Arial"/>
          <w:bCs/>
        </w:rPr>
        <w:t>You may remember last April we asked all FRAs to complete a survey.</w:t>
      </w:r>
    </w:p>
    <w:p w:rsidR="00D000EF" w:rsidRPr="00D000EF" w:rsidRDefault="00D000EF" w:rsidP="00D000EF">
      <w:pPr>
        <w:contextualSpacing/>
        <w:rPr>
          <w:rFonts w:ascii="Arial" w:eastAsia="Calibri" w:hAnsi="Arial" w:cs="Arial"/>
          <w:bCs/>
        </w:rPr>
      </w:pPr>
      <w:r w:rsidRPr="00D000EF">
        <w:rPr>
          <w:rFonts w:ascii="Arial" w:eastAsia="Calibri" w:hAnsi="Arial" w:cs="Arial"/>
          <w:bCs/>
        </w:rPr>
        <w:t xml:space="preserve">Although disappointed by the overall numbers who participated the results are encouraging. </w:t>
      </w:r>
    </w:p>
    <w:p w:rsidR="00D000EF" w:rsidRPr="00D000EF" w:rsidRDefault="00D000EF" w:rsidP="00D000EF">
      <w:pPr>
        <w:contextualSpacing/>
        <w:rPr>
          <w:rFonts w:ascii="Arial" w:eastAsia="Calibri" w:hAnsi="Arial" w:cs="Arial"/>
          <w:bCs/>
        </w:rPr>
      </w:pPr>
    </w:p>
    <w:p w:rsidR="00D000EF" w:rsidRPr="00D000EF" w:rsidRDefault="00D000EF" w:rsidP="00D000EF">
      <w:pPr>
        <w:contextualSpacing/>
        <w:rPr>
          <w:rFonts w:ascii="Arial" w:eastAsia="Calibri" w:hAnsi="Arial" w:cs="Arial"/>
          <w:bCs/>
        </w:rPr>
      </w:pPr>
      <w:r w:rsidRPr="00D000EF">
        <w:rPr>
          <w:rFonts w:ascii="Arial" w:eastAsia="Calibri" w:hAnsi="Arial" w:cs="Arial"/>
          <w:bCs/>
        </w:rPr>
        <w:t>Yes, we have some work to do particularly around online forms and response times, however, we scored consistently high across all areas.</w:t>
      </w:r>
    </w:p>
    <w:p w:rsidR="00D000EF" w:rsidRPr="00D000EF" w:rsidRDefault="00D000EF" w:rsidP="00D000EF">
      <w:pPr>
        <w:contextualSpacing/>
        <w:rPr>
          <w:rFonts w:ascii="Arial" w:eastAsia="Calibri" w:hAnsi="Arial" w:cs="Arial"/>
          <w:bCs/>
        </w:rPr>
      </w:pPr>
    </w:p>
    <w:p w:rsidR="00D000EF" w:rsidRPr="00D000EF" w:rsidRDefault="00D000EF" w:rsidP="00D000EF">
      <w:pPr>
        <w:contextualSpacing/>
        <w:rPr>
          <w:rFonts w:ascii="Arial" w:eastAsia="Calibri" w:hAnsi="Arial" w:cs="Arial"/>
          <w:bCs/>
        </w:rPr>
      </w:pPr>
      <w:r w:rsidRPr="00D000EF">
        <w:rPr>
          <w:rFonts w:ascii="Arial" w:eastAsia="Calibri" w:hAnsi="Arial" w:cs="Arial"/>
          <w:bCs/>
        </w:rPr>
        <w:lastRenderedPageBreak/>
        <w:t>When we release the 2023 survey it would be good if all stake holders could respond, that is FRAs, Payrolls and Pension Boards.</w:t>
      </w:r>
    </w:p>
    <w:p w:rsidR="00D000EF" w:rsidRPr="00D000EF" w:rsidRDefault="00D000EF" w:rsidP="00D000EF">
      <w:pPr>
        <w:contextualSpacing/>
        <w:rPr>
          <w:rFonts w:ascii="Arial" w:eastAsia="Calibri" w:hAnsi="Arial" w:cs="Arial"/>
          <w:bCs/>
        </w:rPr>
      </w:pPr>
    </w:p>
    <w:p w:rsidR="00D000EF" w:rsidRPr="00D000EF" w:rsidRDefault="00D000EF" w:rsidP="00D000EF">
      <w:pPr>
        <w:contextualSpacing/>
        <w:jc w:val="both"/>
        <w:rPr>
          <w:rFonts w:ascii="Arial" w:eastAsia="Calibri" w:hAnsi="Arial" w:cs="Arial"/>
          <w:bCs/>
        </w:rPr>
      </w:pPr>
      <w:r w:rsidRPr="00D000EF">
        <w:rPr>
          <w:rFonts w:ascii="Arial" w:eastAsia="Calibri" w:hAnsi="Arial" w:cs="Arial"/>
          <w:bCs/>
        </w:rPr>
        <w:t>Survey results below.</w:t>
      </w:r>
    </w:p>
    <w:bookmarkStart w:id="1" w:name="_MON_1736771670"/>
    <w:bookmarkEnd w:id="1"/>
    <w:p w:rsidR="00D000EF" w:rsidRPr="00D000EF" w:rsidRDefault="00D000EF" w:rsidP="00D000EF">
      <w:pPr>
        <w:contextualSpacing/>
        <w:jc w:val="both"/>
        <w:rPr>
          <w:rFonts w:ascii="Arial" w:eastAsia="Calibri" w:hAnsi="Arial" w:cs="Arial"/>
        </w:rPr>
      </w:pPr>
      <w:r w:rsidRPr="00D000EF">
        <w:rPr>
          <w:rFonts w:ascii="Arial" w:eastAsia="Calibri" w:hAnsi="Arial" w:cs="Arial"/>
        </w:rPr>
        <w:object w:dxaOrig="1508"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38" o:title=""/>
          </v:shape>
          <o:OLEObject Type="Embed" ProgID="Word.Document.12" ShapeID="_x0000_i1025" DrawAspect="Icon" ObjectID="_1737794193" r:id="rId39">
            <o:FieldCodes>\s</o:FieldCodes>
          </o:OLEObject>
        </w:object>
      </w:r>
    </w:p>
    <w:p w:rsidR="00D000EF" w:rsidRPr="00D000EF" w:rsidRDefault="00D000EF" w:rsidP="00D000EF">
      <w:pPr>
        <w:spacing w:after="0" w:line="240" w:lineRule="auto"/>
        <w:jc w:val="both"/>
        <w:rPr>
          <w:rFonts w:ascii="Arial" w:eastAsia="Calibri" w:hAnsi="Arial" w:cs="Arial"/>
          <w:b/>
          <w:bCs/>
        </w:rPr>
      </w:pPr>
      <w:r w:rsidRPr="00D000EF">
        <w:rPr>
          <w:rFonts w:ascii="Arial" w:eastAsia="Calibri" w:hAnsi="Arial" w:cs="Arial"/>
          <w:b/>
          <w:bCs/>
          <w:color w:val="000000"/>
        </w:rPr>
        <w:t xml:space="preserve">Pre-retirement seminars attended by WYPF </w:t>
      </w:r>
      <w:r w:rsidRPr="00D000EF">
        <w:rPr>
          <w:rFonts w:ascii="Arial" w:eastAsia="Calibri" w:hAnsi="Arial" w:cs="Arial"/>
          <w:b/>
          <w:bCs/>
        </w:rPr>
        <w:t>during January:</w:t>
      </w:r>
    </w:p>
    <w:p w:rsidR="00D000EF" w:rsidRPr="00D000EF" w:rsidRDefault="00D000EF" w:rsidP="00D000EF">
      <w:pPr>
        <w:spacing w:after="0" w:line="240" w:lineRule="auto"/>
        <w:jc w:val="both"/>
        <w:rPr>
          <w:rFonts w:ascii="Arial" w:eastAsia="Calibri" w:hAnsi="Arial" w:cs="Arial"/>
          <w:b/>
          <w:bCs/>
          <w:color w:val="1F497D"/>
        </w:rPr>
      </w:pPr>
    </w:p>
    <w:p w:rsidR="00D000EF" w:rsidRPr="00D000EF" w:rsidRDefault="00D000EF" w:rsidP="00D000EF">
      <w:pPr>
        <w:spacing w:after="0" w:line="240" w:lineRule="auto"/>
        <w:jc w:val="both"/>
        <w:rPr>
          <w:rFonts w:ascii="Arial" w:eastAsia="Calibri" w:hAnsi="Arial" w:cs="Arial"/>
          <w:bCs/>
        </w:rPr>
      </w:pPr>
      <w:r w:rsidRPr="00D000EF">
        <w:rPr>
          <w:rFonts w:ascii="Arial" w:eastAsia="Calibri" w:hAnsi="Arial" w:cs="Arial"/>
          <w:bCs/>
        </w:rPr>
        <w:t>Dorset &amp; Wiltshire – 23/01/2023</w:t>
      </w:r>
    </w:p>
    <w:p w:rsidR="00D000EF" w:rsidRPr="00D000EF" w:rsidRDefault="00D000EF" w:rsidP="00D000EF">
      <w:pPr>
        <w:spacing w:after="0" w:line="240" w:lineRule="auto"/>
        <w:jc w:val="both"/>
        <w:rPr>
          <w:rFonts w:ascii="Arial" w:eastAsia="Calibri" w:hAnsi="Arial" w:cs="Arial"/>
          <w:bCs/>
        </w:rPr>
      </w:pPr>
      <w:r w:rsidRPr="00D000EF">
        <w:rPr>
          <w:rFonts w:ascii="Arial" w:eastAsia="Calibri" w:hAnsi="Arial" w:cs="Arial"/>
          <w:bCs/>
        </w:rPr>
        <w:t>Cambridgeshire – 24/01/2023</w:t>
      </w:r>
    </w:p>
    <w:p w:rsidR="00D000EF" w:rsidRPr="00D000EF" w:rsidRDefault="00D000EF" w:rsidP="00D000EF">
      <w:pPr>
        <w:spacing w:after="0" w:line="240" w:lineRule="auto"/>
        <w:jc w:val="both"/>
        <w:rPr>
          <w:rFonts w:ascii="Arial" w:eastAsia="Calibri" w:hAnsi="Arial" w:cs="Arial"/>
        </w:rPr>
      </w:pPr>
    </w:p>
    <w:p w:rsidR="00D000EF" w:rsidRPr="00D000EF" w:rsidRDefault="00D000EF" w:rsidP="00D000EF">
      <w:pPr>
        <w:spacing w:after="0" w:line="240" w:lineRule="auto"/>
        <w:jc w:val="both"/>
        <w:rPr>
          <w:rFonts w:ascii="Arial" w:eastAsia="Calibri" w:hAnsi="Arial" w:cs="Arial"/>
        </w:rPr>
      </w:pPr>
    </w:p>
    <w:p w:rsidR="00D000EF" w:rsidRPr="00D000EF" w:rsidRDefault="00D000EF" w:rsidP="00D000EF">
      <w:pPr>
        <w:spacing w:after="0" w:line="240" w:lineRule="auto"/>
        <w:jc w:val="both"/>
        <w:rPr>
          <w:rFonts w:ascii="Arial" w:eastAsia="Calibri" w:hAnsi="Arial" w:cs="Arial"/>
          <w:b/>
          <w:bCs/>
        </w:rPr>
      </w:pPr>
      <w:r w:rsidRPr="00D000EF">
        <w:rPr>
          <w:rFonts w:ascii="Arial" w:eastAsia="Calibri" w:hAnsi="Arial" w:cs="Arial"/>
          <w:b/>
          <w:bCs/>
        </w:rPr>
        <w:t>Pension boards</w:t>
      </w:r>
    </w:p>
    <w:p w:rsidR="00D000EF" w:rsidRPr="00D000EF" w:rsidRDefault="00D000EF" w:rsidP="00D000EF">
      <w:pPr>
        <w:spacing w:after="0" w:line="240" w:lineRule="auto"/>
        <w:jc w:val="both"/>
        <w:rPr>
          <w:rFonts w:ascii="Arial" w:eastAsia="Calibri" w:hAnsi="Arial" w:cs="Arial"/>
          <w:b/>
          <w:bCs/>
        </w:rPr>
      </w:pPr>
    </w:p>
    <w:p w:rsidR="00D000EF" w:rsidRPr="00D000EF" w:rsidRDefault="00D000EF" w:rsidP="00D000EF">
      <w:pPr>
        <w:spacing w:after="0" w:line="240" w:lineRule="auto"/>
        <w:jc w:val="both"/>
        <w:rPr>
          <w:rFonts w:ascii="Arial" w:eastAsia="Calibri" w:hAnsi="Arial" w:cs="Arial"/>
          <w:bCs/>
        </w:rPr>
      </w:pPr>
      <w:r w:rsidRPr="00D000EF">
        <w:rPr>
          <w:rFonts w:ascii="Arial" w:eastAsia="Calibri" w:hAnsi="Arial" w:cs="Arial"/>
          <w:bCs/>
        </w:rPr>
        <w:t>Durham &amp; Darlington – 12/01/2023</w:t>
      </w:r>
    </w:p>
    <w:p w:rsidR="00D000EF" w:rsidRPr="00D000EF" w:rsidRDefault="00D000EF" w:rsidP="00D000EF">
      <w:pPr>
        <w:spacing w:after="0" w:line="240" w:lineRule="auto"/>
        <w:jc w:val="both"/>
        <w:rPr>
          <w:rFonts w:ascii="Arial" w:eastAsia="Calibri" w:hAnsi="Arial" w:cs="Arial"/>
          <w:bCs/>
        </w:rPr>
      </w:pPr>
      <w:r w:rsidRPr="00D000EF">
        <w:rPr>
          <w:rFonts w:ascii="Arial" w:eastAsia="Calibri" w:hAnsi="Arial" w:cs="Arial"/>
          <w:bCs/>
        </w:rPr>
        <w:t>East Sussex – 16/01/2023</w:t>
      </w:r>
    </w:p>
    <w:p w:rsidR="00D000EF" w:rsidRPr="00D000EF" w:rsidRDefault="00D000EF" w:rsidP="00D000EF">
      <w:pPr>
        <w:spacing w:after="0" w:line="240" w:lineRule="auto"/>
        <w:jc w:val="both"/>
        <w:rPr>
          <w:rFonts w:ascii="Arial" w:eastAsia="Calibri" w:hAnsi="Arial" w:cs="Arial"/>
          <w:bCs/>
        </w:rPr>
      </w:pPr>
      <w:r w:rsidRPr="00D000EF">
        <w:rPr>
          <w:rFonts w:ascii="Arial" w:eastAsia="Calibri" w:hAnsi="Arial" w:cs="Arial"/>
          <w:bCs/>
        </w:rPr>
        <w:t>South Yorkshire 0 18/01/2023</w:t>
      </w:r>
    </w:p>
    <w:p w:rsidR="00D000EF" w:rsidRPr="00D000EF" w:rsidRDefault="00D000EF" w:rsidP="00D000EF">
      <w:pPr>
        <w:spacing w:after="0" w:line="240" w:lineRule="auto"/>
        <w:jc w:val="both"/>
        <w:rPr>
          <w:rFonts w:ascii="Arial" w:eastAsia="Calibri" w:hAnsi="Arial" w:cs="Arial"/>
          <w:bCs/>
        </w:rPr>
      </w:pPr>
      <w:r w:rsidRPr="00D000EF">
        <w:rPr>
          <w:rFonts w:ascii="Arial" w:eastAsia="Calibri" w:hAnsi="Arial" w:cs="Arial"/>
          <w:bCs/>
        </w:rPr>
        <w:t>Norfolk – 24/01/2023</w:t>
      </w:r>
    </w:p>
    <w:p w:rsidR="00D000EF" w:rsidRPr="00D000EF" w:rsidRDefault="00D000EF" w:rsidP="00D000EF">
      <w:pPr>
        <w:spacing w:after="0" w:line="240" w:lineRule="auto"/>
        <w:jc w:val="both"/>
        <w:rPr>
          <w:rFonts w:ascii="Arial" w:eastAsia="Calibri" w:hAnsi="Arial" w:cs="Arial"/>
          <w:bCs/>
        </w:rPr>
      </w:pPr>
      <w:r w:rsidRPr="00D000EF">
        <w:rPr>
          <w:rFonts w:ascii="Arial" w:eastAsia="Calibri" w:hAnsi="Arial" w:cs="Arial"/>
          <w:bCs/>
        </w:rPr>
        <w:t>Northumberland – 24/01/2023</w:t>
      </w:r>
    </w:p>
    <w:p w:rsidR="00D000EF" w:rsidRPr="00D000EF" w:rsidRDefault="00D000EF" w:rsidP="00D000EF">
      <w:pPr>
        <w:spacing w:after="0" w:line="240" w:lineRule="auto"/>
        <w:jc w:val="both"/>
        <w:rPr>
          <w:rFonts w:ascii="Arial" w:eastAsia="Calibri" w:hAnsi="Arial" w:cs="Arial"/>
          <w:bCs/>
        </w:rPr>
      </w:pPr>
      <w:r w:rsidRPr="00D000EF">
        <w:rPr>
          <w:rFonts w:ascii="Arial" w:eastAsia="Calibri" w:hAnsi="Arial" w:cs="Arial"/>
          <w:bCs/>
        </w:rPr>
        <w:t>Leicestershire – 25/01/2023</w:t>
      </w:r>
    </w:p>
    <w:p w:rsidR="00D000EF" w:rsidRPr="00D000EF" w:rsidRDefault="00D000EF" w:rsidP="00D000EF">
      <w:pPr>
        <w:spacing w:after="0" w:line="240" w:lineRule="auto"/>
        <w:jc w:val="both"/>
        <w:rPr>
          <w:rFonts w:ascii="Arial" w:eastAsia="Calibri" w:hAnsi="Arial" w:cs="Arial"/>
          <w:bCs/>
        </w:rPr>
      </w:pPr>
    </w:p>
    <w:p w:rsidR="00D000EF" w:rsidRPr="00D000EF" w:rsidRDefault="00D000EF" w:rsidP="00D000EF">
      <w:pPr>
        <w:spacing w:after="0" w:line="240" w:lineRule="auto"/>
        <w:jc w:val="both"/>
        <w:rPr>
          <w:rFonts w:ascii="Arial" w:eastAsia="Calibri" w:hAnsi="Arial" w:cs="Arial"/>
        </w:rPr>
      </w:pPr>
    </w:p>
    <w:p w:rsidR="00D000EF" w:rsidRPr="00D000EF" w:rsidRDefault="00D000EF" w:rsidP="00D000EF">
      <w:pPr>
        <w:spacing w:after="0" w:line="240" w:lineRule="auto"/>
        <w:ind w:hanging="709"/>
        <w:jc w:val="both"/>
        <w:rPr>
          <w:rFonts w:ascii="Arial" w:eastAsia="Calibri" w:hAnsi="Arial" w:cs="Arial"/>
          <w:b/>
          <w:bCs/>
        </w:rPr>
      </w:pPr>
      <w:r w:rsidRPr="00D000EF">
        <w:rPr>
          <w:rFonts w:ascii="Arial" w:eastAsia="Calibri" w:hAnsi="Arial" w:cs="Arial"/>
          <w:b/>
          <w:bCs/>
        </w:rPr>
        <w:t xml:space="preserve">           National / regional meetings</w:t>
      </w:r>
    </w:p>
    <w:p w:rsidR="00D000EF" w:rsidRPr="00D000EF" w:rsidRDefault="00D000EF" w:rsidP="00D000EF">
      <w:pPr>
        <w:spacing w:after="0" w:line="240" w:lineRule="auto"/>
        <w:jc w:val="both"/>
        <w:rPr>
          <w:rFonts w:ascii="Arial" w:eastAsia="Calibri" w:hAnsi="Arial" w:cs="Arial"/>
          <w:b/>
          <w:bCs/>
        </w:rPr>
      </w:pPr>
    </w:p>
    <w:p w:rsidR="00D000EF" w:rsidRPr="00D000EF" w:rsidRDefault="00D000EF" w:rsidP="00D000EF">
      <w:pPr>
        <w:spacing w:after="0" w:line="240" w:lineRule="auto"/>
        <w:ind w:hanging="142"/>
        <w:jc w:val="both"/>
        <w:rPr>
          <w:rFonts w:ascii="Arial" w:eastAsia="Calibri" w:hAnsi="Arial" w:cs="Arial"/>
          <w:bCs/>
        </w:rPr>
      </w:pPr>
      <w:r w:rsidRPr="00D000EF">
        <w:rPr>
          <w:rFonts w:ascii="Arial" w:eastAsia="Calibri" w:hAnsi="Arial" w:cs="Arial"/>
          <w:bCs/>
        </w:rPr>
        <w:t xml:space="preserve">  Public Services Pensions – X Whitehall Project Management Group – 13/01/2023</w:t>
      </w:r>
    </w:p>
    <w:p w:rsidR="00D000EF" w:rsidRPr="00D000EF" w:rsidRDefault="00D000EF" w:rsidP="00D000EF">
      <w:pPr>
        <w:spacing w:after="0" w:line="240" w:lineRule="auto"/>
        <w:ind w:hanging="142"/>
        <w:jc w:val="both"/>
        <w:rPr>
          <w:rFonts w:ascii="Arial" w:eastAsia="Calibri" w:hAnsi="Arial" w:cs="Arial"/>
          <w:bCs/>
        </w:rPr>
      </w:pPr>
      <w:r w:rsidRPr="00D000EF">
        <w:rPr>
          <w:rFonts w:ascii="Arial" w:eastAsia="Calibri" w:hAnsi="Arial" w:cs="Arial"/>
          <w:bCs/>
        </w:rPr>
        <w:t xml:space="preserve">  GAD – Member Contributions Calculator – 17/01/2023</w:t>
      </w:r>
    </w:p>
    <w:p w:rsidR="00D000EF" w:rsidRPr="00D000EF" w:rsidRDefault="00D000EF" w:rsidP="00D000EF">
      <w:pPr>
        <w:spacing w:after="0" w:line="240" w:lineRule="auto"/>
        <w:ind w:hanging="142"/>
        <w:jc w:val="both"/>
        <w:rPr>
          <w:rFonts w:ascii="Arial" w:eastAsia="Calibri" w:hAnsi="Arial" w:cs="Arial"/>
          <w:bCs/>
        </w:rPr>
      </w:pPr>
      <w:r w:rsidRPr="00D000EF">
        <w:rPr>
          <w:rFonts w:ascii="Arial" w:eastAsia="Calibri" w:hAnsi="Arial" w:cs="Arial"/>
          <w:bCs/>
        </w:rPr>
        <w:t xml:space="preserve">  Joint Derbyshire, Leicestershire &amp; Nottinghamshire Pensions meeting – 18/01/2023</w:t>
      </w:r>
    </w:p>
    <w:p w:rsidR="00D000EF" w:rsidRPr="00D000EF" w:rsidRDefault="00D000EF" w:rsidP="00D000EF">
      <w:pPr>
        <w:spacing w:after="0" w:line="240" w:lineRule="auto"/>
        <w:ind w:hanging="142"/>
        <w:jc w:val="both"/>
        <w:rPr>
          <w:rFonts w:ascii="Arial" w:eastAsia="Calibri" w:hAnsi="Arial" w:cs="Arial"/>
          <w:bCs/>
        </w:rPr>
      </w:pPr>
      <w:r w:rsidRPr="00D000EF">
        <w:rPr>
          <w:rFonts w:ascii="Arial" w:eastAsia="Calibri" w:hAnsi="Arial" w:cs="Arial"/>
          <w:bCs/>
        </w:rPr>
        <w:t xml:space="preserve">  McCloud PDD/TWG meeting – 19/01/2023</w:t>
      </w:r>
    </w:p>
    <w:p w:rsidR="00D000EF" w:rsidRPr="00D000EF" w:rsidRDefault="00D000EF" w:rsidP="00D000EF">
      <w:pPr>
        <w:spacing w:after="0" w:line="240" w:lineRule="auto"/>
        <w:ind w:hanging="142"/>
        <w:jc w:val="both"/>
        <w:rPr>
          <w:rFonts w:ascii="Arial" w:eastAsia="Calibri" w:hAnsi="Arial" w:cs="Arial"/>
          <w:bCs/>
        </w:rPr>
      </w:pPr>
      <w:r w:rsidRPr="00D000EF">
        <w:rPr>
          <w:rFonts w:ascii="Arial" w:eastAsia="Calibri" w:hAnsi="Arial" w:cs="Arial"/>
          <w:bCs/>
        </w:rPr>
        <w:t xml:space="preserve">  Fire Scheme Advisory Board – 23/01/2023</w:t>
      </w:r>
    </w:p>
    <w:p w:rsidR="00D000EF" w:rsidRPr="00D000EF" w:rsidRDefault="00D000EF" w:rsidP="00D000EF">
      <w:pPr>
        <w:spacing w:after="0" w:line="240" w:lineRule="auto"/>
        <w:ind w:hanging="142"/>
        <w:jc w:val="both"/>
        <w:rPr>
          <w:rFonts w:ascii="Arial" w:eastAsia="Calibri" w:hAnsi="Arial" w:cs="Arial"/>
          <w:bCs/>
        </w:rPr>
      </w:pPr>
      <w:r w:rsidRPr="00D000EF">
        <w:rPr>
          <w:rFonts w:ascii="Arial" w:eastAsia="Calibri" w:hAnsi="Arial" w:cs="Arial"/>
          <w:bCs/>
        </w:rPr>
        <w:t xml:space="preserve">  HO/SAB Collaboration – 24/01/2023</w:t>
      </w:r>
    </w:p>
    <w:p w:rsidR="00D000EF" w:rsidRPr="00D000EF" w:rsidRDefault="00D000EF" w:rsidP="00D000EF">
      <w:pPr>
        <w:spacing w:after="0" w:line="240" w:lineRule="auto"/>
        <w:ind w:hanging="142"/>
        <w:jc w:val="both"/>
        <w:rPr>
          <w:rFonts w:ascii="Arial" w:eastAsia="Calibri" w:hAnsi="Arial" w:cs="Arial"/>
          <w:bCs/>
        </w:rPr>
      </w:pPr>
    </w:p>
    <w:p w:rsidR="00D000EF" w:rsidRPr="00D000EF" w:rsidRDefault="00D000EF" w:rsidP="00D000EF">
      <w:pPr>
        <w:spacing w:after="0" w:line="240" w:lineRule="auto"/>
        <w:ind w:hanging="142"/>
        <w:jc w:val="both"/>
        <w:rPr>
          <w:rFonts w:ascii="Arial" w:eastAsia="Calibri" w:hAnsi="Arial" w:cs="Arial"/>
        </w:rPr>
      </w:pPr>
    </w:p>
    <w:p w:rsidR="00D000EF" w:rsidRPr="00D000EF" w:rsidRDefault="00D000EF" w:rsidP="00D000EF">
      <w:pPr>
        <w:spacing w:after="0" w:line="240" w:lineRule="auto"/>
        <w:jc w:val="both"/>
        <w:rPr>
          <w:rFonts w:ascii="Arial" w:eastAsia="Calibri" w:hAnsi="Arial" w:cs="Arial"/>
          <w:b/>
          <w:bCs/>
        </w:rPr>
      </w:pPr>
      <w:r w:rsidRPr="00D000EF">
        <w:rPr>
          <w:rFonts w:ascii="Arial" w:eastAsia="Calibri" w:hAnsi="Arial" w:cs="Arial"/>
          <w:b/>
          <w:bCs/>
        </w:rPr>
        <w:t>Client training delivered by WYPF</w:t>
      </w:r>
    </w:p>
    <w:p w:rsidR="00D000EF" w:rsidRPr="00D000EF" w:rsidRDefault="00D000EF" w:rsidP="00D000EF">
      <w:pPr>
        <w:spacing w:after="0" w:line="240" w:lineRule="auto"/>
        <w:jc w:val="both"/>
        <w:rPr>
          <w:rFonts w:ascii="Arial" w:eastAsia="Calibri" w:hAnsi="Arial" w:cs="Arial"/>
          <w:b/>
          <w:bCs/>
        </w:rPr>
      </w:pPr>
    </w:p>
    <w:p w:rsidR="00D000EF" w:rsidRPr="00D000EF" w:rsidRDefault="00D000EF" w:rsidP="00D000EF">
      <w:pPr>
        <w:spacing w:after="0" w:line="240" w:lineRule="auto"/>
        <w:jc w:val="both"/>
        <w:rPr>
          <w:rFonts w:ascii="Arial" w:eastAsia="Calibri" w:hAnsi="Arial" w:cs="Arial"/>
          <w:b/>
          <w:bCs/>
        </w:rPr>
      </w:pPr>
      <w:r w:rsidRPr="00D000EF">
        <w:rPr>
          <w:rFonts w:ascii="Arial" w:eastAsia="Calibri" w:hAnsi="Arial" w:cs="Arial"/>
        </w:rPr>
        <w:t>Meeting with Lincolnshire on completing the remedy financial extract – 31/01/2023</w:t>
      </w:r>
    </w:p>
    <w:p w:rsidR="00D000EF" w:rsidRPr="00D000EF" w:rsidRDefault="00D000EF" w:rsidP="00D000EF">
      <w:pPr>
        <w:contextualSpacing/>
        <w:rPr>
          <w:rFonts w:ascii="Arial" w:eastAsia="Calibri" w:hAnsi="Arial" w:cs="Arial"/>
          <w:b/>
          <w:bCs/>
        </w:rPr>
      </w:pPr>
    </w:p>
    <w:p w:rsidR="00D000EF" w:rsidRPr="00D000EF" w:rsidRDefault="00D000EF" w:rsidP="00D000EF">
      <w:pPr>
        <w:contextualSpacing/>
        <w:rPr>
          <w:rFonts w:ascii="Arial" w:eastAsia="Calibri" w:hAnsi="Arial" w:cs="Arial"/>
          <w:b/>
          <w:bCs/>
          <w:color w:val="1F497D"/>
        </w:rPr>
      </w:pPr>
    </w:p>
    <w:p w:rsidR="00D000EF" w:rsidRPr="00D000EF" w:rsidRDefault="00D000EF" w:rsidP="00D000EF">
      <w:pPr>
        <w:ind w:left="851" w:hanging="851"/>
        <w:rPr>
          <w:rFonts w:ascii="Arial" w:eastAsia="Calibri" w:hAnsi="Arial" w:cs="Arial"/>
          <w:b/>
          <w:color w:val="2E74B5"/>
          <w:sz w:val="28"/>
          <w:szCs w:val="28"/>
        </w:rPr>
      </w:pPr>
      <w:r w:rsidRPr="00D000EF">
        <w:rPr>
          <w:rFonts w:ascii="Arial" w:eastAsia="Calibri" w:hAnsi="Arial" w:cs="Arial"/>
          <w:b/>
          <w:color w:val="0070C0"/>
          <w:sz w:val="28"/>
          <w:szCs w:val="28"/>
        </w:rPr>
        <w:t>7.</w:t>
      </w:r>
      <w:r w:rsidRPr="00D000EF">
        <w:rPr>
          <w:rFonts w:ascii="Arial" w:eastAsia="Calibri" w:hAnsi="Arial" w:cs="Arial"/>
          <w:b/>
          <w:color w:val="2E74B5"/>
          <w:sz w:val="28"/>
          <w:szCs w:val="28"/>
        </w:rPr>
        <w:t xml:space="preserve"> Member Update </w:t>
      </w:r>
    </w:p>
    <w:p w:rsidR="00D000EF" w:rsidRPr="00D000EF" w:rsidRDefault="00D000EF" w:rsidP="00D000EF">
      <w:pPr>
        <w:ind w:left="851" w:hanging="851"/>
        <w:rPr>
          <w:rFonts w:ascii="Arial" w:eastAsia="Calibri" w:hAnsi="Arial" w:cs="Arial"/>
          <w:b/>
          <w:color w:val="2E74B5"/>
          <w:sz w:val="28"/>
          <w:szCs w:val="28"/>
        </w:rPr>
      </w:pPr>
    </w:p>
    <w:p w:rsidR="00D000EF" w:rsidRPr="00D000EF" w:rsidRDefault="00D000EF" w:rsidP="00D000EF">
      <w:pPr>
        <w:ind w:left="851" w:hanging="851"/>
        <w:rPr>
          <w:rFonts w:ascii="Arial" w:eastAsia="Calibri" w:hAnsi="Arial" w:cs="Arial"/>
          <w:b/>
          <w:color w:val="2E74B5"/>
          <w:sz w:val="28"/>
          <w:szCs w:val="28"/>
        </w:rPr>
      </w:pPr>
      <w:r w:rsidRPr="00D000EF">
        <w:rPr>
          <w:rFonts w:ascii="Arial" w:eastAsia="Calibri" w:hAnsi="Arial" w:cs="Arial"/>
          <w:b/>
          <w:color w:val="0070C0"/>
          <w:sz w:val="28"/>
          <w:szCs w:val="28"/>
        </w:rPr>
        <w:t>8.</w:t>
      </w:r>
      <w:r w:rsidRPr="00D000EF">
        <w:rPr>
          <w:rFonts w:ascii="Arial" w:eastAsia="Calibri" w:hAnsi="Arial" w:cs="Arial"/>
          <w:b/>
          <w:color w:val="2E74B5"/>
          <w:sz w:val="28"/>
          <w:szCs w:val="28"/>
        </w:rPr>
        <w:t xml:space="preserve"> IT Update</w:t>
      </w:r>
    </w:p>
    <w:p w:rsidR="00D000EF" w:rsidRPr="00D000EF" w:rsidRDefault="00D000EF" w:rsidP="00D000EF">
      <w:pPr>
        <w:ind w:left="851" w:hanging="851"/>
        <w:rPr>
          <w:rFonts w:ascii="Arial" w:eastAsia="Calibri" w:hAnsi="Arial" w:cs="Arial"/>
        </w:rPr>
      </w:pPr>
      <w:r w:rsidRPr="00D000EF">
        <w:rPr>
          <w:rFonts w:ascii="Arial" w:eastAsia="Calibri" w:hAnsi="Arial" w:cs="Arial"/>
        </w:rPr>
        <w:t>None</w:t>
      </w:r>
    </w:p>
    <w:p w:rsidR="00D000EF" w:rsidRPr="00D000EF" w:rsidRDefault="00D000EF" w:rsidP="00D000EF">
      <w:pPr>
        <w:ind w:left="851" w:hanging="851"/>
        <w:rPr>
          <w:rFonts w:ascii="Arial" w:eastAsia="Calibri" w:hAnsi="Arial" w:cs="Arial"/>
          <w:b/>
          <w:color w:val="2E74B5"/>
        </w:rPr>
      </w:pPr>
    </w:p>
    <w:p w:rsidR="00D000EF" w:rsidRPr="00D000EF" w:rsidRDefault="00D000EF" w:rsidP="00D000EF">
      <w:pPr>
        <w:ind w:left="851" w:hanging="851"/>
        <w:rPr>
          <w:rFonts w:ascii="Arial" w:eastAsia="Calibri" w:hAnsi="Arial" w:cs="Arial"/>
          <w:b/>
          <w:color w:val="0070C0"/>
        </w:rPr>
      </w:pPr>
    </w:p>
    <w:p w:rsidR="005F6F1D" w:rsidRPr="005F6F1D" w:rsidRDefault="005F6F1D" w:rsidP="005F6F1D">
      <w:pPr>
        <w:spacing w:after="0"/>
        <w:rPr>
          <w:rFonts w:ascii="Calibri" w:eastAsia="Calibri" w:hAnsi="Calibri" w:cs="Times New Roman"/>
          <w:noProof/>
          <w:lang w:eastAsia="en-GB"/>
        </w:rPr>
      </w:pPr>
    </w:p>
    <w:p w:rsidR="005F6F1D" w:rsidRPr="005F6F1D" w:rsidRDefault="005F6F1D" w:rsidP="005F6F1D">
      <w:pPr>
        <w:spacing w:after="0"/>
        <w:rPr>
          <w:rFonts w:ascii="Calibri" w:eastAsia="Calibri" w:hAnsi="Calibri" w:cs="Times New Roman"/>
          <w:noProof/>
          <w:lang w:eastAsia="en-GB"/>
        </w:rPr>
      </w:pPr>
    </w:p>
    <w:p w:rsidR="005F6F1D" w:rsidRPr="005F6F1D" w:rsidRDefault="005F6F1D" w:rsidP="005F6F1D">
      <w:pPr>
        <w:spacing w:after="0"/>
        <w:rPr>
          <w:rFonts w:ascii="Calibri" w:eastAsia="Calibri" w:hAnsi="Calibri" w:cs="Times New Roman"/>
          <w:noProof/>
          <w:lang w:eastAsia="en-GB"/>
        </w:rPr>
        <w:sectPr w:rsidR="005F6F1D" w:rsidRPr="005F6F1D" w:rsidSect="009A5F55">
          <w:pgSz w:w="11906" w:h="16838" w:code="9"/>
          <w:pgMar w:top="1440" w:right="1440" w:bottom="1440" w:left="1134" w:header="709" w:footer="709" w:gutter="0"/>
          <w:cols w:space="708"/>
          <w:docGrid w:linePitch="360"/>
        </w:sectPr>
      </w:pPr>
    </w:p>
    <w:p w:rsidR="005F6F1D" w:rsidRPr="005F6F1D" w:rsidRDefault="005F6F1D" w:rsidP="005F6F1D">
      <w:pPr>
        <w:spacing w:after="0"/>
        <w:rPr>
          <w:rFonts w:ascii="Calibri" w:eastAsia="Calibri" w:hAnsi="Calibri" w:cs="Times New Roman"/>
          <w:noProof/>
          <w:lang w:eastAsia="en-GB"/>
        </w:rPr>
      </w:pPr>
    </w:p>
    <w:p w:rsidR="005F6F1D" w:rsidRPr="005F6F1D" w:rsidRDefault="00731643" w:rsidP="005F6F1D">
      <w:pPr>
        <w:spacing w:after="0"/>
        <w:rPr>
          <w:rFonts w:ascii="Arial" w:eastAsia="Calibri" w:hAnsi="Arial" w:cs="Arial"/>
          <w:b/>
          <w:color w:val="0070C0"/>
          <w:sz w:val="28"/>
          <w:szCs w:val="28"/>
        </w:rPr>
      </w:pPr>
      <w:r>
        <w:rPr>
          <w:rFonts w:ascii="Arial" w:eastAsia="Calibri" w:hAnsi="Arial" w:cs="Arial"/>
          <w:b/>
          <w:color w:val="0070C0"/>
          <w:sz w:val="28"/>
          <w:szCs w:val="28"/>
        </w:rPr>
        <w:t>9</w:t>
      </w:r>
      <w:r w:rsidR="005F6F1D" w:rsidRPr="005F6F1D">
        <w:rPr>
          <w:rFonts w:ascii="Arial" w:eastAsia="Calibri" w:hAnsi="Arial" w:cs="Arial"/>
          <w:b/>
          <w:color w:val="0070C0"/>
          <w:sz w:val="28"/>
          <w:szCs w:val="28"/>
        </w:rPr>
        <w:t>. Five Year Audit Plan 2019 – 2024</w:t>
      </w:r>
    </w:p>
    <w:tbl>
      <w:tblPr>
        <w:tblStyle w:val="TableGrid2"/>
        <w:tblpPr w:leftFromText="180" w:rightFromText="180" w:vertAnchor="text" w:horzAnchor="margin" w:tblpY="321"/>
        <w:tblW w:w="14545" w:type="dxa"/>
        <w:tblLook w:val="04A0" w:firstRow="1" w:lastRow="0" w:firstColumn="1" w:lastColumn="0" w:noHBand="0" w:noVBand="1"/>
      </w:tblPr>
      <w:tblGrid>
        <w:gridCol w:w="4248"/>
        <w:gridCol w:w="1559"/>
        <w:gridCol w:w="1134"/>
        <w:gridCol w:w="2185"/>
        <w:gridCol w:w="792"/>
        <w:gridCol w:w="767"/>
        <w:gridCol w:w="792"/>
        <w:gridCol w:w="767"/>
        <w:gridCol w:w="792"/>
        <w:gridCol w:w="767"/>
        <w:gridCol w:w="742"/>
      </w:tblGrid>
      <w:tr w:rsidR="005F6F1D" w:rsidRPr="005F6F1D" w:rsidTr="005F6F1D">
        <w:trPr>
          <w:trHeight w:val="564"/>
        </w:trPr>
        <w:tc>
          <w:tcPr>
            <w:tcW w:w="4248" w:type="dxa"/>
            <w:shd w:val="clear" w:color="auto" w:fill="C0D7EC"/>
            <w:hideMark/>
          </w:tcPr>
          <w:p w:rsidR="005F6F1D" w:rsidRPr="005F6F1D" w:rsidRDefault="005F6F1D" w:rsidP="005F6F1D">
            <w:pPr>
              <w:rPr>
                <w:rFonts w:ascii="Arial" w:eastAsia="Calibri" w:hAnsi="Arial" w:cs="Arial"/>
                <w:b/>
                <w:bCs/>
              </w:rPr>
            </w:pPr>
            <w:r w:rsidRPr="005F6F1D">
              <w:rPr>
                <w:rFonts w:ascii="Arial" w:eastAsia="Calibri" w:hAnsi="Arial" w:cs="Arial"/>
                <w:b/>
                <w:bCs/>
              </w:rPr>
              <w:t>West Yorkshire Pension Fund Five Year Audit Plan 2019 - 2024</w:t>
            </w:r>
          </w:p>
        </w:tc>
        <w:tc>
          <w:tcPr>
            <w:tcW w:w="1559" w:type="dxa"/>
            <w:shd w:val="clear" w:color="auto" w:fill="C0D7EC"/>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Frequency</w:t>
            </w:r>
          </w:p>
        </w:tc>
        <w:tc>
          <w:tcPr>
            <w:tcW w:w="1134" w:type="dxa"/>
            <w:shd w:val="clear" w:color="auto" w:fill="C0D7EC"/>
            <w:hideMark/>
          </w:tcPr>
          <w:p w:rsidR="005F6F1D" w:rsidRPr="005F6F1D" w:rsidRDefault="005F6F1D" w:rsidP="005F6F1D">
            <w:pPr>
              <w:rPr>
                <w:rFonts w:ascii="Arial" w:eastAsia="Calibri" w:hAnsi="Arial" w:cs="Arial"/>
                <w:b/>
              </w:rPr>
            </w:pPr>
            <w:r w:rsidRPr="005F6F1D">
              <w:rPr>
                <w:rFonts w:ascii="Arial" w:eastAsia="Calibri" w:hAnsi="Arial" w:cs="Arial"/>
                <w:b/>
              </w:rPr>
              <w:t>Last Audit</w:t>
            </w:r>
          </w:p>
        </w:tc>
        <w:tc>
          <w:tcPr>
            <w:tcW w:w="2185" w:type="dxa"/>
            <w:shd w:val="clear" w:color="auto" w:fill="C0D7EC"/>
            <w:hideMark/>
          </w:tcPr>
          <w:p w:rsidR="005F6F1D" w:rsidRPr="005F6F1D" w:rsidRDefault="005F6F1D" w:rsidP="005F6F1D">
            <w:pPr>
              <w:rPr>
                <w:rFonts w:ascii="Arial" w:eastAsia="Calibri" w:hAnsi="Arial" w:cs="Arial"/>
                <w:b/>
                <w:bCs/>
              </w:rPr>
            </w:pPr>
            <w:r w:rsidRPr="005F6F1D">
              <w:rPr>
                <w:rFonts w:ascii="Arial" w:eastAsia="Calibri" w:hAnsi="Arial" w:cs="Arial"/>
                <w:b/>
                <w:bCs/>
              </w:rPr>
              <w:t>Recommendations</w:t>
            </w:r>
          </w:p>
        </w:tc>
        <w:tc>
          <w:tcPr>
            <w:tcW w:w="792" w:type="dxa"/>
            <w:shd w:val="clear" w:color="auto" w:fill="C0D7EC"/>
            <w:hideMark/>
          </w:tcPr>
          <w:p w:rsidR="005F6F1D" w:rsidRPr="005F6F1D" w:rsidRDefault="005F6F1D" w:rsidP="005F6F1D">
            <w:pPr>
              <w:rPr>
                <w:rFonts w:ascii="Arial" w:eastAsia="Calibri" w:hAnsi="Arial" w:cs="Arial"/>
                <w:b/>
                <w:bCs/>
              </w:rPr>
            </w:pPr>
            <w:r w:rsidRPr="005F6F1D">
              <w:rPr>
                <w:rFonts w:ascii="Arial" w:eastAsia="Calibri" w:hAnsi="Arial" w:cs="Arial"/>
                <w:b/>
                <w:bCs/>
              </w:rPr>
              <w:t>Days</w:t>
            </w:r>
          </w:p>
        </w:tc>
        <w:tc>
          <w:tcPr>
            <w:tcW w:w="767" w:type="dxa"/>
            <w:shd w:val="clear" w:color="auto" w:fill="C0D7EC"/>
            <w:hideMark/>
          </w:tcPr>
          <w:p w:rsidR="005F6F1D" w:rsidRPr="005F6F1D" w:rsidRDefault="005F6F1D" w:rsidP="005F6F1D">
            <w:pPr>
              <w:rPr>
                <w:rFonts w:ascii="Arial" w:eastAsia="Calibri" w:hAnsi="Arial" w:cs="Arial"/>
                <w:b/>
                <w:bCs/>
              </w:rPr>
            </w:pPr>
            <w:r w:rsidRPr="005F6F1D">
              <w:rPr>
                <w:rFonts w:ascii="Arial" w:eastAsia="Calibri" w:hAnsi="Arial" w:cs="Arial"/>
                <w:b/>
                <w:bCs/>
              </w:rPr>
              <w:t>19/20</w:t>
            </w:r>
          </w:p>
        </w:tc>
        <w:tc>
          <w:tcPr>
            <w:tcW w:w="792" w:type="dxa"/>
            <w:shd w:val="clear" w:color="auto" w:fill="C0D7EC"/>
            <w:hideMark/>
          </w:tcPr>
          <w:p w:rsidR="005F6F1D" w:rsidRPr="005F6F1D" w:rsidRDefault="005F6F1D" w:rsidP="005F6F1D">
            <w:pPr>
              <w:rPr>
                <w:rFonts w:ascii="Arial" w:eastAsia="Calibri" w:hAnsi="Arial" w:cs="Arial"/>
                <w:b/>
                <w:bCs/>
              </w:rPr>
            </w:pPr>
            <w:r w:rsidRPr="005F6F1D">
              <w:rPr>
                <w:rFonts w:ascii="Arial" w:eastAsia="Calibri" w:hAnsi="Arial" w:cs="Arial"/>
                <w:b/>
                <w:bCs/>
              </w:rPr>
              <w:t>20/21</w:t>
            </w:r>
          </w:p>
        </w:tc>
        <w:tc>
          <w:tcPr>
            <w:tcW w:w="767" w:type="dxa"/>
            <w:shd w:val="clear" w:color="auto" w:fill="C0D7EC"/>
            <w:hideMark/>
          </w:tcPr>
          <w:p w:rsidR="005F6F1D" w:rsidRPr="005F6F1D" w:rsidRDefault="005F6F1D" w:rsidP="005F6F1D">
            <w:pPr>
              <w:rPr>
                <w:rFonts w:ascii="Arial" w:eastAsia="Calibri" w:hAnsi="Arial" w:cs="Arial"/>
                <w:b/>
                <w:bCs/>
              </w:rPr>
            </w:pPr>
            <w:r w:rsidRPr="005F6F1D">
              <w:rPr>
                <w:rFonts w:ascii="Arial" w:eastAsia="Calibri" w:hAnsi="Arial" w:cs="Arial"/>
                <w:b/>
                <w:bCs/>
              </w:rPr>
              <w:t>21/22</w:t>
            </w:r>
          </w:p>
        </w:tc>
        <w:tc>
          <w:tcPr>
            <w:tcW w:w="792" w:type="dxa"/>
            <w:shd w:val="clear" w:color="auto" w:fill="C0D7EC"/>
            <w:hideMark/>
          </w:tcPr>
          <w:p w:rsidR="005F6F1D" w:rsidRPr="005F6F1D" w:rsidRDefault="005F6F1D" w:rsidP="005F6F1D">
            <w:pPr>
              <w:rPr>
                <w:rFonts w:ascii="Arial" w:eastAsia="Calibri" w:hAnsi="Arial" w:cs="Arial"/>
                <w:b/>
                <w:bCs/>
              </w:rPr>
            </w:pPr>
            <w:r w:rsidRPr="005F6F1D">
              <w:rPr>
                <w:rFonts w:ascii="Arial" w:eastAsia="Calibri" w:hAnsi="Arial" w:cs="Arial"/>
                <w:b/>
                <w:bCs/>
              </w:rPr>
              <w:t>22/23</w:t>
            </w:r>
          </w:p>
        </w:tc>
        <w:tc>
          <w:tcPr>
            <w:tcW w:w="767" w:type="dxa"/>
            <w:shd w:val="clear" w:color="auto" w:fill="C0D7EC"/>
            <w:hideMark/>
          </w:tcPr>
          <w:p w:rsidR="005F6F1D" w:rsidRPr="005F6F1D" w:rsidRDefault="005F6F1D" w:rsidP="005F6F1D">
            <w:pPr>
              <w:rPr>
                <w:rFonts w:ascii="Arial" w:eastAsia="Calibri" w:hAnsi="Arial" w:cs="Arial"/>
                <w:b/>
                <w:bCs/>
              </w:rPr>
            </w:pPr>
            <w:r w:rsidRPr="005F6F1D">
              <w:rPr>
                <w:rFonts w:ascii="Arial" w:eastAsia="Calibri" w:hAnsi="Arial" w:cs="Arial"/>
                <w:b/>
                <w:bCs/>
              </w:rPr>
              <w:t>23/24</w:t>
            </w:r>
          </w:p>
        </w:tc>
        <w:tc>
          <w:tcPr>
            <w:tcW w:w="742" w:type="dxa"/>
            <w:shd w:val="clear" w:color="auto" w:fill="C0D7EC"/>
            <w:hideMark/>
          </w:tcPr>
          <w:p w:rsidR="005F6F1D" w:rsidRPr="005F6F1D" w:rsidRDefault="005F6F1D" w:rsidP="005F6F1D">
            <w:pPr>
              <w:rPr>
                <w:rFonts w:ascii="Arial" w:eastAsia="Calibri" w:hAnsi="Arial" w:cs="Arial"/>
                <w:b/>
                <w:bCs/>
              </w:rPr>
            </w:pPr>
            <w:r w:rsidRPr="005F6F1D">
              <w:rPr>
                <w:rFonts w:ascii="Arial" w:eastAsia="Calibri" w:hAnsi="Arial" w:cs="Arial"/>
                <w:b/>
                <w:bCs/>
              </w:rPr>
              <w:t xml:space="preserve">Total </w:t>
            </w:r>
          </w:p>
        </w:tc>
      </w:tr>
      <w:tr w:rsidR="005F6F1D" w:rsidRPr="005F6F1D" w:rsidTr="009A5F55">
        <w:trPr>
          <w:trHeight w:val="255"/>
        </w:trPr>
        <w:tc>
          <w:tcPr>
            <w:tcW w:w="4248"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1559"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1134"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2185"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4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r>
      <w:tr w:rsidR="005F6F1D" w:rsidRPr="005F6F1D" w:rsidTr="009A5F55">
        <w:trPr>
          <w:trHeight w:val="255"/>
        </w:trPr>
        <w:tc>
          <w:tcPr>
            <w:tcW w:w="4248" w:type="dxa"/>
            <w:noWrap/>
            <w:hideMark/>
          </w:tcPr>
          <w:p w:rsidR="005F6F1D" w:rsidRPr="005F6F1D" w:rsidRDefault="005F6F1D" w:rsidP="005F6F1D">
            <w:pPr>
              <w:rPr>
                <w:rFonts w:ascii="Arial" w:eastAsia="Calibri" w:hAnsi="Arial" w:cs="Arial"/>
              </w:rPr>
            </w:pPr>
            <w:r w:rsidRPr="005F6F1D">
              <w:rPr>
                <w:rFonts w:ascii="Arial" w:eastAsia="Calibri" w:hAnsi="Arial" w:cs="Arial"/>
              </w:rPr>
              <w:t>Annual Accounts Verification</w:t>
            </w:r>
          </w:p>
        </w:tc>
        <w:tc>
          <w:tcPr>
            <w:tcW w:w="1559" w:type="dxa"/>
            <w:noWrap/>
            <w:hideMark/>
          </w:tcPr>
          <w:p w:rsidR="005F6F1D" w:rsidRPr="005F6F1D" w:rsidRDefault="005F6F1D" w:rsidP="005F6F1D">
            <w:pPr>
              <w:rPr>
                <w:rFonts w:ascii="Arial" w:eastAsia="Calibri" w:hAnsi="Arial" w:cs="Arial"/>
              </w:rPr>
            </w:pPr>
            <w:r w:rsidRPr="005F6F1D">
              <w:rPr>
                <w:rFonts w:ascii="Arial" w:eastAsia="Calibri" w:hAnsi="Arial" w:cs="Arial"/>
              </w:rPr>
              <w:t>Annual</w:t>
            </w:r>
          </w:p>
        </w:tc>
        <w:tc>
          <w:tcPr>
            <w:tcW w:w="1134" w:type="dxa"/>
            <w:noWrap/>
            <w:hideMark/>
          </w:tcPr>
          <w:p w:rsidR="005F6F1D" w:rsidRPr="005F6F1D" w:rsidRDefault="005F6F1D" w:rsidP="005F6F1D">
            <w:pPr>
              <w:rPr>
                <w:rFonts w:ascii="Arial" w:eastAsia="Calibri" w:hAnsi="Arial" w:cs="Arial"/>
              </w:rPr>
            </w:pPr>
            <w:r w:rsidRPr="005F6F1D">
              <w:rPr>
                <w:rFonts w:ascii="Arial" w:eastAsia="Calibri" w:hAnsi="Arial" w:cs="Arial"/>
              </w:rPr>
              <w:t>Jul 18</w:t>
            </w:r>
          </w:p>
        </w:tc>
        <w:tc>
          <w:tcPr>
            <w:tcW w:w="2185" w:type="dxa"/>
            <w:noWrap/>
            <w:hideMark/>
          </w:tcPr>
          <w:p w:rsidR="005F6F1D" w:rsidRPr="005F6F1D" w:rsidRDefault="005F6F1D" w:rsidP="005F6F1D">
            <w:pPr>
              <w:rPr>
                <w:rFonts w:ascii="Arial" w:eastAsia="Calibri" w:hAnsi="Arial" w:cs="Arial"/>
              </w:rPr>
            </w:pPr>
            <w:r w:rsidRPr="005F6F1D">
              <w:rPr>
                <w:rFonts w:ascii="Arial" w:eastAsia="Calibri" w:hAnsi="Arial" w:cs="Arial"/>
              </w:rPr>
              <w:t>1</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10</w:t>
            </w:r>
          </w:p>
        </w:tc>
        <w:tc>
          <w:tcPr>
            <w:tcW w:w="767"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sym w:font="Wingdings 2" w:char="F050"/>
            </w:r>
          </w:p>
        </w:tc>
        <w:tc>
          <w:tcPr>
            <w:tcW w:w="792"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sym w:font="Wingdings 2" w:char="F050"/>
            </w:r>
          </w:p>
        </w:tc>
        <w:tc>
          <w:tcPr>
            <w:tcW w:w="767"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sym w:font="Wingdings 2" w:char="F050"/>
            </w:r>
          </w:p>
        </w:tc>
        <w:tc>
          <w:tcPr>
            <w:tcW w:w="792"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sym w:font="Wingdings 2" w:char="F050"/>
            </w:r>
          </w:p>
        </w:tc>
        <w:tc>
          <w:tcPr>
            <w:tcW w:w="767"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sym w:font="Wingdings 2" w:char="F050"/>
            </w:r>
          </w:p>
        </w:tc>
        <w:tc>
          <w:tcPr>
            <w:tcW w:w="742"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 </w:t>
            </w:r>
          </w:p>
        </w:tc>
      </w:tr>
      <w:tr w:rsidR="005F6F1D" w:rsidRPr="005F6F1D" w:rsidTr="009A5F55">
        <w:trPr>
          <w:trHeight w:val="255"/>
        </w:trPr>
        <w:tc>
          <w:tcPr>
            <w:tcW w:w="4248"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1559"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1134"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2185"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 </w:t>
            </w:r>
          </w:p>
        </w:tc>
        <w:tc>
          <w:tcPr>
            <w:tcW w:w="792"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 </w:t>
            </w:r>
          </w:p>
        </w:tc>
        <w:tc>
          <w:tcPr>
            <w:tcW w:w="767"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 </w:t>
            </w:r>
          </w:p>
        </w:tc>
        <w:tc>
          <w:tcPr>
            <w:tcW w:w="792"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 </w:t>
            </w:r>
          </w:p>
        </w:tc>
        <w:tc>
          <w:tcPr>
            <w:tcW w:w="767"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 </w:t>
            </w:r>
          </w:p>
        </w:tc>
        <w:tc>
          <w:tcPr>
            <w:tcW w:w="742"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 </w:t>
            </w:r>
          </w:p>
        </w:tc>
      </w:tr>
      <w:tr w:rsidR="005F6F1D" w:rsidRPr="005F6F1D" w:rsidTr="009A5F55">
        <w:trPr>
          <w:trHeight w:val="300"/>
        </w:trPr>
        <w:tc>
          <w:tcPr>
            <w:tcW w:w="4248"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Audits Per Year</w:t>
            </w:r>
          </w:p>
        </w:tc>
        <w:tc>
          <w:tcPr>
            <w:tcW w:w="1559"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1134"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2185"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1</w:t>
            </w:r>
          </w:p>
        </w:tc>
        <w:tc>
          <w:tcPr>
            <w:tcW w:w="792"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1</w:t>
            </w:r>
          </w:p>
        </w:tc>
        <w:tc>
          <w:tcPr>
            <w:tcW w:w="767"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1</w:t>
            </w:r>
          </w:p>
        </w:tc>
        <w:tc>
          <w:tcPr>
            <w:tcW w:w="792"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1</w:t>
            </w:r>
          </w:p>
        </w:tc>
        <w:tc>
          <w:tcPr>
            <w:tcW w:w="767"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1</w:t>
            </w:r>
          </w:p>
        </w:tc>
        <w:tc>
          <w:tcPr>
            <w:tcW w:w="742"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5</w:t>
            </w:r>
          </w:p>
        </w:tc>
      </w:tr>
      <w:tr w:rsidR="005F6F1D" w:rsidRPr="005F6F1D" w:rsidTr="009A5F55">
        <w:trPr>
          <w:trHeight w:val="255"/>
        </w:trPr>
        <w:tc>
          <w:tcPr>
            <w:tcW w:w="4248"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Benefits</w:t>
            </w:r>
          </w:p>
        </w:tc>
        <w:tc>
          <w:tcPr>
            <w:tcW w:w="1559"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1134"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2185"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4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r>
      <w:tr w:rsidR="005F6F1D" w:rsidRPr="005F6F1D" w:rsidTr="009A5F55">
        <w:trPr>
          <w:trHeight w:val="255"/>
        </w:trPr>
        <w:tc>
          <w:tcPr>
            <w:tcW w:w="4248" w:type="dxa"/>
            <w:noWrap/>
            <w:hideMark/>
          </w:tcPr>
          <w:p w:rsidR="005F6F1D" w:rsidRPr="005F6F1D" w:rsidRDefault="005F6F1D" w:rsidP="005F6F1D">
            <w:pPr>
              <w:rPr>
                <w:rFonts w:ascii="Arial" w:eastAsia="Calibri" w:hAnsi="Arial" w:cs="Arial"/>
              </w:rPr>
            </w:pPr>
            <w:r w:rsidRPr="005F6F1D">
              <w:rPr>
                <w:rFonts w:ascii="Arial" w:eastAsia="Calibri" w:hAnsi="Arial" w:cs="Arial"/>
              </w:rPr>
              <w:t>Local Government Scheme Contributions</w:t>
            </w:r>
          </w:p>
        </w:tc>
        <w:tc>
          <w:tcPr>
            <w:tcW w:w="1559" w:type="dxa"/>
            <w:noWrap/>
            <w:hideMark/>
          </w:tcPr>
          <w:p w:rsidR="005F6F1D" w:rsidRPr="005F6F1D" w:rsidRDefault="005F6F1D" w:rsidP="005F6F1D">
            <w:pPr>
              <w:rPr>
                <w:rFonts w:ascii="Arial" w:eastAsia="Calibri" w:hAnsi="Arial" w:cs="Arial"/>
              </w:rPr>
            </w:pPr>
            <w:r w:rsidRPr="005F6F1D">
              <w:rPr>
                <w:rFonts w:ascii="Arial" w:eastAsia="Calibri" w:hAnsi="Arial" w:cs="Arial"/>
              </w:rPr>
              <w:t>2 Yearly</w:t>
            </w:r>
          </w:p>
        </w:tc>
        <w:tc>
          <w:tcPr>
            <w:tcW w:w="1134" w:type="dxa"/>
            <w:noWrap/>
            <w:hideMark/>
          </w:tcPr>
          <w:p w:rsidR="005F6F1D" w:rsidRPr="005F6F1D" w:rsidRDefault="005F6F1D" w:rsidP="005F6F1D">
            <w:pPr>
              <w:rPr>
                <w:rFonts w:ascii="Arial" w:eastAsia="Calibri" w:hAnsi="Arial" w:cs="Arial"/>
              </w:rPr>
            </w:pPr>
            <w:r w:rsidRPr="005F6F1D">
              <w:rPr>
                <w:rFonts w:ascii="Arial" w:eastAsia="Calibri" w:hAnsi="Arial" w:cs="Arial"/>
              </w:rPr>
              <w:t>Nov 18</w:t>
            </w:r>
          </w:p>
        </w:tc>
        <w:tc>
          <w:tcPr>
            <w:tcW w:w="2185" w:type="dxa"/>
            <w:noWrap/>
            <w:hideMark/>
          </w:tcPr>
          <w:p w:rsidR="005F6F1D" w:rsidRPr="005F6F1D" w:rsidRDefault="005F6F1D" w:rsidP="005F6F1D">
            <w:pPr>
              <w:rPr>
                <w:rFonts w:ascii="Arial" w:eastAsia="Calibri" w:hAnsi="Arial" w:cs="Arial"/>
              </w:rPr>
            </w:pPr>
            <w:r w:rsidRPr="005F6F1D">
              <w:rPr>
                <w:rFonts w:ascii="Arial" w:eastAsia="Calibri" w:hAnsi="Arial" w:cs="Arial"/>
              </w:rPr>
              <w:t>0</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20</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sym w:font="Wingdings 2" w:char="F050"/>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sym w:font="Wingdings 2" w:char="F050"/>
            </w:r>
          </w:p>
        </w:tc>
        <w:tc>
          <w:tcPr>
            <w:tcW w:w="74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r>
      <w:tr w:rsidR="005F6F1D" w:rsidRPr="005F6F1D" w:rsidTr="009A5F55">
        <w:trPr>
          <w:trHeight w:val="255"/>
        </w:trPr>
        <w:tc>
          <w:tcPr>
            <w:tcW w:w="4248" w:type="dxa"/>
            <w:noWrap/>
            <w:hideMark/>
          </w:tcPr>
          <w:p w:rsidR="005F6F1D" w:rsidRPr="005F6F1D" w:rsidRDefault="005F6F1D" w:rsidP="005F6F1D">
            <w:pPr>
              <w:rPr>
                <w:rFonts w:ascii="Arial" w:eastAsia="Calibri" w:hAnsi="Arial" w:cs="Arial"/>
              </w:rPr>
            </w:pPr>
            <w:r w:rsidRPr="005F6F1D">
              <w:rPr>
                <w:rFonts w:ascii="Arial" w:eastAsia="Calibri" w:hAnsi="Arial" w:cs="Arial"/>
              </w:rPr>
              <w:t>New Pensions and Lump Sums - WYPF</w:t>
            </w:r>
          </w:p>
        </w:tc>
        <w:tc>
          <w:tcPr>
            <w:tcW w:w="1559"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1134"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2185"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4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r>
      <w:tr w:rsidR="005F6F1D" w:rsidRPr="005F6F1D" w:rsidTr="009A5F55">
        <w:trPr>
          <w:trHeight w:val="255"/>
        </w:trPr>
        <w:tc>
          <w:tcPr>
            <w:tcW w:w="4248" w:type="dxa"/>
            <w:noWrap/>
            <w:hideMark/>
          </w:tcPr>
          <w:p w:rsidR="005F6F1D" w:rsidRPr="005F6F1D" w:rsidRDefault="005F6F1D" w:rsidP="005F6F1D">
            <w:pPr>
              <w:rPr>
                <w:rFonts w:ascii="Arial" w:eastAsia="Calibri" w:hAnsi="Arial" w:cs="Arial"/>
              </w:rPr>
            </w:pPr>
            <w:r w:rsidRPr="005F6F1D">
              <w:rPr>
                <w:rFonts w:ascii="Arial" w:eastAsia="Calibri" w:hAnsi="Arial" w:cs="Arial"/>
              </w:rPr>
              <w:t>-   Normal and Early Retirements</w:t>
            </w:r>
          </w:p>
        </w:tc>
        <w:tc>
          <w:tcPr>
            <w:tcW w:w="1559" w:type="dxa"/>
            <w:noWrap/>
            <w:hideMark/>
          </w:tcPr>
          <w:p w:rsidR="005F6F1D" w:rsidRPr="005F6F1D" w:rsidRDefault="005F6F1D" w:rsidP="005F6F1D">
            <w:pPr>
              <w:rPr>
                <w:rFonts w:ascii="Arial" w:eastAsia="Calibri" w:hAnsi="Arial" w:cs="Arial"/>
              </w:rPr>
            </w:pPr>
            <w:r w:rsidRPr="005F6F1D">
              <w:rPr>
                <w:rFonts w:ascii="Arial" w:eastAsia="Calibri" w:hAnsi="Arial" w:cs="Arial"/>
              </w:rPr>
              <w:t>5 Yearly</w:t>
            </w:r>
          </w:p>
        </w:tc>
        <w:tc>
          <w:tcPr>
            <w:tcW w:w="1134" w:type="dxa"/>
            <w:noWrap/>
            <w:hideMark/>
          </w:tcPr>
          <w:p w:rsidR="005F6F1D" w:rsidRPr="005F6F1D" w:rsidRDefault="005F6F1D" w:rsidP="005F6F1D">
            <w:pPr>
              <w:rPr>
                <w:rFonts w:ascii="Arial" w:eastAsia="Calibri" w:hAnsi="Arial" w:cs="Arial"/>
              </w:rPr>
            </w:pPr>
            <w:r w:rsidRPr="005F6F1D">
              <w:rPr>
                <w:rFonts w:ascii="Arial" w:eastAsia="Calibri" w:hAnsi="Arial" w:cs="Arial"/>
              </w:rPr>
              <w:t>Mar 15</w:t>
            </w:r>
          </w:p>
        </w:tc>
        <w:tc>
          <w:tcPr>
            <w:tcW w:w="2185" w:type="dxa"/>
            <w:noWrap/>
            <w:hideMark/>
          </w:tcPr>
          <w:p w:rsidR="005F6F1D" w:rsidRPr="005F6F1D" w:rsidRDefault="005F6F1D" w:rsidP="005F6F1D">
            <w:pPr>
              <w:rPr>
                <w:rFonts w:ascii="Arial" w:eastAsia="Calibri" w:hAnsi="Arial" w:cs="Arial"/>
              </w:rPr>
            </w:pPr>
            <w:r w:rsidRPr="005F6F1D">
              <w:rPr>
                <w:rFonts w:ascii="Arial" w:eastAsia="Calibri" w:hAnsi="Arial" w:cs="Arial"/>
              </w:rPr>
              <w:t>0</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25</w:t>
            </w:r>
          </w:p>
        </w:tc>
        <w:tc>
          <w:tcPr>
            <w:tcW w:w="767"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sym w:font="Wingdings 2" w:char="F050"/>
            </w:r>
          </w:p>
        </w:tc>
        <w:tc>
          <w:tcPr>
            <w:tcW w:w="792"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 </w:t>
            </w:r>
          </w:p>
        </w:tc>
        <w:tc>
          <w:tcPr>
            <w:tcW w:w="767"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 </w:t>
            </w:r>
          </w:p>
        </w:tc>
        <w:tc>
          <w:tcPr>
            <w:tcW w:w="792"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 </w:t>
            </w:r>
          </w:p>
        </w:tc>
        <w:tc>
          <w:tcPr>
            <w:tcW w:w="767"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 </w:t>
            </w:r>
          </w:p>
        </w:tc>
        <w:tc>
          <w:tcPr>
            <w:tcW w:w="742"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 </w:t>
            </w:r>
          </w:p>
        </w:tc>
      </w:tr>
      <w:tr w:rsidR="005F6F1D" w:rsidRPr="005F6F1D" w:rsidTr="009A5F55">
        <w:trPr>
          <w:trHeight w:val="255"/>
        </w:trPr>
        <w:tc>
          <w:tcPr>
            <w:tcW w:w="4248" w:type="dxa"/>
            <w:noWrap/>
            <w:hideMark/>
          </w:tcPr>
          <w:p w:rsidR="005F6F1D" w:rsidRPr="005F6F1D" w:rsidRDefault="005F6F1D" w:rsidP="005F6F1D">
            <w:pPr>
              <w:rPr>
                <w:rFonts w:ascii="Arial" w:eastAsia="Calibri" w:hAnsi="Arial" w:cs="Arial"/>
              </w:rPr>
            </w:pPr>
            <w:r w:rsidRPr="005F6F1D">
              <w:rPr>
                <w:rFonts w:ascii="Arial" w:eastAsia="Calibri" w:hAnsi="Arial" w:cs="Arial"/>
              </w:rPr>
              <w:t>-   Death in Service, Post Retirement Widow and Dependent Benefits</w:t>
            </w:r>
          </w:p>
        </w:tc>
        <w:tc>
          <w:tcPr>
            <w:tcW w:w="1559" w:type="dxa"/>
            <w:noWrap/>
            <w:hideMark/>
          </w:tcPr>
          <w:p w:rsidR="005F6F1D" w:rsidRPr="005F6F1D" w:rsidRDefault="005F6F1D" w:rsidP="005F6F1D">
            <w:pPr>
              <w:rPr>
                <w:rFonts w:ascii="Arial" w:eastAsia="Calibri" w:hAnsi="Arial" w:cs="Arial"/>
              </w:rPr>
            </w:pPr>
            <w:r w:rsidRPr="005F6F1D">
              <w:rPr>
                <w:rFonts w:ascii="Arial" w:eastAsia="Calibri" w:hAnsi="Arial" w:cs="Arial"/>
              </w:rPr>
              <w:t>5 Yearly</w:t>
            </w:r>
          </w:p>
        </w:tc>
        <w:tc>
          <w:tcPr>
            <w:tcW w:w="1134" w:type="dxa"/>
            <w:noWrap/>
            <w:hideMark/>
          </w:tcPr>
          <w:p w:rsidR="005F6F1D" w:rsidRPr="005F6F1D" w:rsidRDefault="005F6F1D" w:rsidP="005F6F1D">
            <w:pPr>
              <w:rPr>
                <w:rFonts w:ascii="Arial" w:eastAsia="Calibri" w:hAnsi="Arial" w:cs="Arial"/>
              </w:rPr>
            </w:pPr>
            <w:r w:rsidRPr="005F6F1D">
              <w:rPr>
                <w:rFonts w:ascii="Arial" w:eastAsia="Calibri" w:hAnsi="Arial" w:cs="Arial"/>
              </w:rPr>
              <w:t>Mar 17</w:t>
            </w:r>
          </w:p>
        </w:tc>
        <w:tc>
          <w:tcPr>
            <w:tcW w:w="2185" w:type="dxa"/>
            <w:noWrap/>
            <w:hideMark/>
          </w:tcPr>
          <w:p w:rsidR="005F6F1D" w:rsidRPr="005F6F1D" w:rsidRDefault="005F6F1D" w:rsidP="005F6F1D">
            <w:pPr>
              <w:rPr>
                <w:rFonts w:ascii="Arial" w:eastAsia="Calibri" w:hAnsi="Arial" w:cs="Arial"/>
              </w:rPr>
            </w:pPr>
            <w:r w:rsidRPr="005F6F1D">
              <w:rPr>
                <w:rFonts w:ascii="Arial" w:eastAsia="Calibri" w:hAnsi="Arial" w:cs="Arial"/>
              </w:rPr>
              <w:t>0</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20</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sym w:font="Wingdings 2" w:char="F050"/>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4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r>
      <w:tr w:rsidR="005F6F1D" w:rsidRPr="005F6F1D" w:rsidTr="009A5F55">
        <w:trPr>
          <w:trHeight w:val="255"/>
        </w:trPr>
        <w:tc>
          <w:tcPr>
            <w:tcW w:w="4248" w:type="dxa"/>
            <w:noWrap/>
            <w:hideMark/>
          </w:tcPr>
          <w:p w:rsidR="005F6F1D" w:rsidRPr="005F6F1D" w:rsidRDefault="005F6F1D" w:rsidP="005F6F1D">
            <w:pPr>
              <w:rPr>
                <w:rFonts w:ascii="Arial" w:eastAsia="Calibri" w:hAnsi="Arial" w:cs="Arial"/>
              </w:rPr>
            </w:pPr>
            <w:r w:rsidRPr="005F6F1D">
              <w:rPr>
                <w:rFonts w:ascii="Arial" w:eastAsia="Calibri" w:hAnsi="Arial" w:cs="Arial"/>
              </w:rPr>
              <w:t>-   Ill Health Pensions</w:t>
            </w:r>
          </w:p>
        </w:tc>
        <w:tc>
          <w:tcPr>
            <w:tcW w:w="1559" w:type="dxa"/>
            <w:noWrap/>
            <w:hideMark/>
          </w:tcPr>
          <w:p w:rsidR="005F6F1D" w:rsidRPr="005F6F1D" w:rsidRDefault="005F6F1D" w:rsidP="005F6F1D">
            <w:pPr>
              <w:rPr>
                <w:rFonts w:ascii="Arial" w:eastAsia="Calibri" w:hAnsi="Arial" w:cs="Arial"/>
              </w:rPr>
            </w:pPr>
            <w:r w:rsidRPr="005F6F1D">
              <w:rPr>
                <w:rFonts w:ascii="Arial" w:eastAsia="Calibri" w:hAnsi="Arial" w:cs="Arial"/>
              </w:rPr>
              <w:t>5 Yearly</w:t>
            </w:r>
          </w:p>
        </w:tc>
        <w:tc>
          <w:tcPr>
            <w:tcW w:w="1134" w:type="dxa"/>
            <w:noWrap/>
            <w:hideMark/>
          </w:tcPr>
          <w:p w:rsidR="005F6F1D" w:rsidRPr="005F6F1D" w:rsidRDefault="005F6F1D" w:rsidP="005F6F1D">
            <w:pPr>
              <w:rPr>
                <w:rFonts w:ascii="Arial" w:eastAsia="Calibri" w:hAnsi="Arial" w:cs="Arial"/>
              </w:rPr>
            </w:pPr>
            <w:r w:rsidRPr="005F6F1D">
              <w:rPr>
                <w:rFonts w:ascii="Arial" w:eastAsia="Calibri" w:hAnsi="Arial" w:cs="Arial"/>
              </w:rPr>
              <w:t>Oct 13</w:t>
            </w:r>
          </w:p>
        </w:tc>
        <w:tc>
          <w:tcPr>
            <w:tcW w:w="2185" w:type="dxa"/>
            <w:noWrap/>
            <w:hideMark/>
          </w:tcPr>
          <w:p w:rsidR="005F6F1D" w:rsidRPr="005F6F1D" w:rsidRDefault="005F6F1D" w:rsidP="005F6F1D">
            <w:pPr>
              <w:rPr>
                <w:rFonts w:ascii="Arial" w:eastAsia="Calibri" w:hAnsi="Arial" w:cs="Arial"/>
              </w:rPr>
            </w:pPr>
            <w:r w:rsidRPr="005F6F1D">
              <w:rPr>
                <w:rFonts w:ascii="Arial" w:eastAsia="Calibri" w:hAnsi="Arial" w:cs="Arial"/>
              </w:rPr>
              <w:t>2</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20</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sym w:font="Wingdings 2" w:char="F050"/>
            </w:r>
          </w:p>
        </w:tc>
        <w:tc>
          <w:tcPr>
            <w:tcW w:w="74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r>
      <w:tr w:rsidR="005F6F1D" w:rsidRPr="005F6F1D" w:rsidTr="009A5F55">
        <w:trPr>
          <w:trHeight w:val="255"/>
        </w:trPr>
        <w:tc>
          <w:tcPr>
            <w:tcW w:w="4248" w:type="dxa"/>
            <w:noWrap/>
            <w:hideMark/>
          </w:tcPr>
          <w:p w:rsidR="005F6F1D" w:rsidRPr="005F6F1D" w:rsidRDefault="005F6F1D" w:rsidP="005F6F1D">
            <w:pPr>
              <w:rPr>
                <w:rFonts w:ascii="Arial" w:eastAsia="Calibri" w:hAnsi="Arial" w:cs="Arial"/>
              </w:rPr>
            </w:pPr>
            <w:r w:rsidRPr="005F6F1D">
              <w:rPr>
                <w:rFonts w:ascii="Arial" w:eastAsia="Calibri" w:hAnsi="Arial" w:cs="Arial"/>
              </w:rPr>
              <w:t>-   Flexible Retirements</w:t>
            </w:r>
          </w:p>
        </w:tc>
        <w:tc>
          <w:tcPr>
            <w:tcW w:w="1559" w:type="dxa"/>
            <w:noWrap/>
            <w:hideMark/>
          </w:tcPr>
          <w:p w:rsidR="005F6F1D" w:rsidRPr="005F6F1D" w:rsidRDefault="005F6F1D" w:rsidP="005F6F1D">
            <w:pPr>
              <w:rPr>
                <w:rFonts w:ascii="Arial" w:eastAsia="Calibri" w:hAnsi="Arial" w:cs="Arial"/>
              </w:rPr>
            </w:pPr>
            <w:r w:rsidRPr="005F6F1D">
              <w:rPr>
                <w:rFonts w:ascii="Arial" w:eastAsia="Calibri" w:hAnsi="Arial" w:cs="Arial"/>
              </w:rPr>
              <w:t>5 Yearly</w:t>
            </w:r>
          </w:p>
        </w:tc>
        <w:tc>
          <w:tcPr>
            <w:tcW w:w="1134" w:type="dxa"/>
            <w:noWrap/>
            <w:hideMark/>
          </w:tcPr>
          <w:p w:rsidR="005F6F1D" w:rsidRPr="005F6F1D" w:rsidRDefault="005F6F1D" w:rsidP="005F6F1D">
            <w:pPr>
              <w:rPr>
                <w:rFonts w:ascii="Arial" w:eastAsia="Calibri" w:hAnsi="Arial" w:cs="Arial"/>
              </w:rPr>
            </w:pPr>
            <w:r w:rsidRPr="005F6F1D">
              <w:rPr>
                <w:rFonts w:ascii="Arial" w:eastAsia="Calibri" w:hAnsi="Arial" w:cs="Arial"/>
              </w:rPr>
              <w:t>Apr 16</w:t>
            </w:r>
          </w:p>
        </w:tc>
        <w:tc>
          <w:tcPr>
            <w:tcW w:w="2185" w:type="dxa"/>
            <w:noWrap/>
            <w:hideMark/>
          </w:tcPr>
          <w:p w:rsidR="005F6F1D" w:rsidRPr="005F6F1D" w:rsidRDefault="005F6F1D" w:rsidP="005F6F1D">
            <w:pPr>
              <w:rPr>
                <w:rFonts w:ascii="Arial" w:eastAsia="Calibri" w:hAnsi="Arial" w:cs="Arial"/>
              </w:rPr>
            </w:pPr>
            <w:r w:rsidRPr="005F6F1D">
              <w:rPr>
                <w:rFonts w:ascii="Arial" w:eastAsia="Calibri" w:hAnsi="Arial" w:cs="Arial"/>
              </w:rPr>
              <w:t>1</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20</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sym w:font="Wingdings 2" w:char="F050"/>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4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r>
      <w:tr w:rsidR="005F6F1D" w:rsidRPr="005F6F1D" w:rsidTr="009A5F55">
        <w:trPr>
          <w:trHeight w:val="255"/>
        </w:trPr>
        <w:tc>
          <w:tcPr>
            <w:tcW w:w="4248" w:type="dxa"/>
            <w:noWrap/>
            <w:hideMark/>
          </w:tcPr>
          <w:p w:rsidR="005F6F1D" w:rsidRPr="005F6F1D" w:rsidRDefault="005F6F1D" w:rsidP="005F6F1D">
            <w:pPr>
              <w:rPr>
                <w:rFonts w:ascii="Arial" w:eastAsia="Calibri" w:hAnsi="Arial" w:cs="Arial"/>
              </w:rPr>
            </w:pPr>
            <w:r w:rsidRPr="005F6F1D">
              <w:rPr>
                <w:rFonts w:ascii="Arial" w:eastAsia="Calibri" w:hAnsi="Arial" w:cs="Arial"/>
              </w:rPr>
              <w:t>-   Deferred Pensions</w:t>
            </w:r>
          </w:p>
        </w:tc>
        <w:tc>
          <w:tcPr>
            <w:tcW w:w="1559" w:type="dxa"/>
            <w:noWrap/>
            <w:hideMark/>
          </w:tcPr>
          <w:p w:rsidR="005F6F1D" w:rsidRPr="005F6F1D" w:rsidRDefault="005F6F1D" w:rsidP="005F6F1D">
            <w:pPr>
              <w:rPr>
                <w:rFonts w:ascii="Arial" w:eastAsia="Calibri" w:hAnsi="Arial" w:cs="Arial"/>
              </w:rPr>
            </w:pPr>
            <w:r w:rsidRPr="005F6F1D">
              <w:rPr>
                <w:rFonts w:ascii="Arial" w:eastAsia="Calibri" w:hAnsi="Arial" w:cs="Arial"/>
              </w:rPr>
              <w:t>5 Yearly</w:t>
            </w:r>
          </w:p>
        </w:tc>
        <w:tc>
          <w:tcPr>
            <w:tcW w:w="1134" w:type="dxa"/>
            <w:noWrap/>
            <w:hideMark/>
          </w:tcPr>
          <w:p w:rsidR="005F6F1D" w:rsidRPr="005F6F1D" w:rsidRDefault="005F6F1D" w:rsidP="005F6F1D">
            <w:pPr>
              <w:rPr>
                <w:rFonts w:ascii="Arial" w:eastAsia="Calibri" w:hAnsi="Arial" w:cs="Arial"/>
              </w:rPr>
            </w:pPr>
            <w:r w:rsidRPr="005F6F1D">
              <w:rPr>
                <w:rFonts w:ascii="Arial" w:eastAsia="Calibri" w:hAnsi="Arial" w:cs="Arial"/>
              </w:rPr>
              <w:t>Mar 18</w:t>
            </w:r>
          </w:p>
        </w:tc>
        <w:tc>
          <w:tcPr>
            <w:tcW w:w="2185" w:type="dxa"/>
            <w:noWrap/>
            <w:hideMark/>
          </w:tcPr>
          <w:p w:rsidR="005F6F1D" w:rsidRPr="005F6F1D" w:rsidRDefault="005F6F1D" w:rsidP="005F6F1D">
            <w:pPr>
              <w:rPr>
                <w:rFonts w:ascii="Arial" w:eastAsia="Calibri" w:hAnsi="Arial" w:cs="Arial"/>
              </w:rPr>
            </w:pPr>
            <w:r w:rsidRPr="005F6F1D">
              <w:rPr>
                <w:rFonts w:ascii="Arial" w:eastAsia="Calibri" w:hAnsi="Arial" w:cs="Arial"/>
              </w:rPr>
              <w:t>0</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20</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sym w:font="Wingdings 2" w:char="F050"/>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4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r>
      <w:tr w:rsidR="005F6F1D" w:rsidRPr="005F6F1D" w:rsidTr="009A5F55">
        <w:trPr>
          <w:trHeight w:val="255"/>
        </w:trPr>
        <w:tc>
          <w:tcPr>
            <w:tcW w:w="4248"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1559"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1134"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2185"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4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r>
      <w:tr w:rsidR="005F6F1D" w:rsidRPr="005F6F1D" w:rsidTr="009A5F55">
        <w:trPr>
          <w:trHeight w:val="255"/>
        </w:trPr>
        <w:tc>
          <w:tcPr>
            <w:tcW w:w="4248" w:type="dxa"/>
            <w:noWrap/>
            <w:hideMark/>
          </w:tcPr>
          <w:p w:rsidR="005F6F1D" w:rsidRPr="005F6F1D" w:rsidRDefault="005F6F1D" w:rsidP="005F6F1D">
            <w:pPr>
              <w:rPr>
                <w:rFonts w:ascii="Arial" w:eastAsia="Calibri" w:hAnsi="Arial" w:cs="Arial"/>
              </w:rPr>
            </w:pPr>
            <w:r w:rsidRPr="005F6F1D">
              <w:rPr>
                <w:rFonts w:ascii="Arial" w:eastAsia="Calibri" w:hAnsi="Arial" w:cs="Arial"/>
              </w:rPr>
              <w:t>Transfers Out</w:t>
            </w:r>
          </w:p>
        </w:tc>
        <w:tc>
          <w:tcPr>
            <w:tcW w:w="1559" w:type="dxa"/>
            <w:noWrap/>
            <w:hideMark/>
          </w:tcPr>
          <w:p w:rsidR="005F6F1D" w:rsidRPr="005F6F1D" w:rsidRDefault="005F6F1D" w:rsidP="005F6F1D">
            <w:pPr>
              <w:rPr>
                <w:rFonts w:ascii="Arial" w:eastAsia="Calibri" w:hAnsi="Arial" w:cs="Arial"/>
              </w:rPr>
            </w:pPr>
            <w:r w:rsidRPr="005F6F1D">
              <w:rPr>
                <w:rFonts w:ascii="Arial" w:eastAsia="Calibri" w:hAnsi="Arial" w:cs="Arial"/>
              </w:rPr>
              <w:t>3 Yearly</w:t>
            </w:r>
          </w:p>
        </w:tc>
        <w:tc>
          <w:tcPr>
            <w:tcW w:w="1134" w:type="dxa"/>
            <w:noWrap/>
            <w:hideMark/>
          </w:tcPr>
          <w:p w:rsidR="005F6F1D" w:rsidRPr="005F6F1D" w:rsidRDefault="005F6F1D" w:rsidP="005F6F1D">
            <w:pPr>
              <w:rPr>
                <w:rFonts w:ascii="Arial" w:eastAsia="Calibri" w:hAnsi="Arial" w:cs="Arial"/>
              </w:rPr>
            </w:pPr>
            <w:r w:rsidRPr="005F6F1D">
              <w:rPr>
                <w:rFonts w:ascii="Arial" w:eastAsia="Calibri" w:hAnsi="Arial" w:cs="Arial"/>
              </w:rPr>
              <w:t>Nov 17</w:t>
            </w:r>
          </w:p>
        </w:tc>
        <w:tc>
          <w:tcPr>
            <w:tcW w:w="2185" w:type="dxa"/>
            <w:noWrap/>
            <w:hideMark/>
          </w:tcPr>
          <w:p w:rsidR="005F6F1D" w:rsidRPr="005F6F1D" w:rsidRDefault="005F6F1D" w:rsidP="005F6F1D">
            <w:pPr>
              <w:rPr>
                <w:rFonts w:ascii="Arial" w:eastAsia="Calibri" w:hAnsi="Arial" w:cs="Arial"/>
              </w:rPr>
            </w:pPr>
            <w:r w:rsidRPr="005F6F1D">
              <w:rPr>
                <w:rFonts w:ascii="Arial" w:eastAsia="Calibri" w:hAnsi="Arial" w:cs="Arial"/>
              </w:rPr>
              <w:t>0</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20</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sym w:font="Wingdings 2" w:char="F050"/>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xml:space="preserve">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4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r>
      <w:tr w:rsidR="005F6F1D" w:rsidRPr="005F6F1D" w:rsidTr="009A5F55">
        <w:trPr>
          <w:trHeight w:val="255"/>
        </w:trPr>
        <w:tc>
          <w:tcPr>
            <w:tcW w:w="4248" w:type="dxa"/>
            <w:noWrap/>
            <w:hideMark/>
          </w:tcPr>
          <w:p w:rsidR="005F6F1D" w:rsidRPr="005F6F1D" w:rsidRDefault="005F6F1D" w:rsidP="005F6F1D">
            <w:pPr>
              <w:rPr>
                <w:rFonts w:ascii="Arial" w:eastAsia="Calibri" w:hAnsi="Arial" w:cs="Arial"/>
              </w:rPr>
            </w:pPr>
            <w:r w:rsidRPr="005F6F1D">
              <w:rPr>
                <w:rFonts w:ascii="Arial" w:eastAsia="Calibri" w:hAnsi="Arial" w:cs="Arial"/>
              </w:rPr>
              <w:t>Transfers In</w:t>
            </w:r>
          </w:p>
        </w:tc>
        <w:tc>
          <w:tcPr>
            <w:tcW w:w="1559" w:type="dxa"/>
            <w:noWrap/>
            <w:hideMark/>
          </w:tcPr>
          <w:p w:rsidR="005F6F1D" w:rsidRPr="005F6F1D" w:rsidRDefault="005F6F1D" w:rsidP="005F6F1D">
            <w:pPr>
              <w:rPr>
                <w:rFonts w:ascii="Arial" w:eastAsia="Calibri" w:hAnsi="Arial" w:cs="Arial"/>
              </w:rPr>
            </w:pPr>
            <w:r w:rsidRPr="005F6F1D">
              <w:rPr>
                <w:rFonts w:ascii="Arial" w:eastAsia="Calibri" w:hAnsi="Arial" w:cs="Arial"/>
              </w:rPr>
              <w:t>3 Yearly</w:t>
            </w:r>
          </w:p>
        </w:tc>
        <w:tc>
          <w:tcPr>
            <w:tcW w:w="1134" w:type="dxa"/>
            <w:noWrap/>
            <w:hideMark/>
          </w:tcPr>
          <w:p w:rsidR="005F6F1D" w:rsidRPr="005F6F1D" w:rsidRDefault="005F6F1D" w:rsidP="005F6F1D">
            <w:pPr>
              <w:rPr>
                <w:rFonts w:ascii="Arial" w:eastAsia="Calibri" w:hAnsi="Arial" w:cs="Arial"/>
              </w:rPr>
            </w:pPr>
            <w:r w:rsidRPr="005F6F1D">
              <w:rPr>
                <w:rFonts w:ascii="Arial" w:eastAsia="Calibri" w:hAnsi="Arial" w:cs="Arial"/>
              </w:rPr>
              <w:t>Sep 16</w:t>
            </w:r>
          </w:p>
        </w:tc>
        <w:tc>
          <w:tcPr>
            <w:tcW w:w="2185" w:type="dxa"/>
            <w:noWrap/>
            <w:hideMark/>
          </w:tcPr>
          <w:p w:rsidR="005F6F1D" w:rsidRPr="005F6F1D" w:rsidRDefault="005F6F1D" w:rsidP="005F6F1D">
            <w:pPr>
              <w:rPr>
                <w:rFonts w:ascii="Arial" w:eastAsia="Calibri" w:hAnsi="Arial" w:cs="Arial"/>
              </w:rPr>
            </w:pPr>
            <w:r w:rsidRPr="005F6F1D">
              <w:rPr>
                <w:rFonts w:ascii="Arial" w:eastAsia="Calibri" w:hAnsi="Arial" w:cs="Arial"/>
              </w:rPr>
              <w:t>2</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20</w:t>
            </w:r>
          </w:p>
        </w:tc>
        <w:tc>
          <w:tcPr>
            <w:tcW w:w="767"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sym w:font="Wingdings 2" w:char="F050"/>
            </w:r>
          </w:p>
        </w:tc>
        <w:tc>
          <w:tcPr>
            <w:tcW w:w="792"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 </w:t>
            </w:r>
          </w:p>
        </w:tc>
        <w:tc>
          <w:tcPr>
            <w:tcW w:w="767"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sym w:font="Wingdings 2" w:char="F050"/>
            </w:r>
          </w:p>
        </w:tc>
        <w:tc>
          <w:tcPr>
            <w:tcW w:w="792"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 </w:t>
            </w:r>
          </w:p>
        </w:tc>
        <w:tc>
          <w:tcPr>
            <w:tcW w:w="767"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 </w:t>
            </w:r>
          </w:p>
        </w:tc>
        <w:tc>
          <w:tcPr>
            <w:tcW w:w="742"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 </w:t>
            </w:r>
          </w:p>
        </w:tc>
      </w:tr>
      <w:tr w:rsidR="005F6F1D" w:rsidRPr="005F6F1D" w:rsidTr="009A5F55">
        <w:trPr>
          <w:trHeight w:val="255"/>
        </w:trPr>
        <w:tc>
          <w:tcPr>
            <w:tcW w:w="4248" w:type="dxa"/>
            <w:noWrap/>
            <w:hideMark/>
          </w:tcPr>
          <w:p w:rsidR="005F6F1D" w:rsidRPr="005F6F1D" w:rsidRDefault="005F6F1D" w:rsidP="005F6F1D">
            <w:pPr>
              <w:rPr>
                <w:rFonts w:ascii="Arial" w:eastAsia="Calibri" w:hAnsi="Arial" w:cs="Arial"/>
              </w:rPr>
            </w:pPr>
            <w:r w:rsidRPr="005F6F1D">
              <w:rPr>
                <w:rFonts w:ascii="Arial" w:eastAsia="Calibri" w:hAnsi="Arial" w:cs="Arial"/>
              </w:rPr>
              <w:t>Reimbursement of Agency Payments</w:t>
            </w:r>
          </w:p>
        </w:tc>
        <w:tc>
          <w:tcPr>
            <w:tcW w:w="1559" w:type="dxa"/>
            <w:noWrap/>
            <w:hideMark/>
          </w:tcPr>
          <w:p w:rsidR="005F6F1D" w:rsidRPr="005F6F1D" w:rsidRDefault="005F6F1D" w:rsidP="005F6F1D">
            <w:pPr>
              <w:rPr>
                <w:rFonts w:ascii="Arial" w:eastAsia="Calibri" w:hAnsi="Arial" w:cs="Arial"/>
              </w:rPr>
            </w:pPr>
            <w:r w:rsidRPr="005F6F1D">
              <w:rPr>
                <w:rFonts w:ascii="Arial" w:eastAsia="Calibri" w:hAnsi="Arial" w:cs="Arial"/>
              </w:rPr>
              <w:t>5 Yearly</w:t>
            </w:r>
          </w:p>
        </w:tc>
        <w:tc>
          <w:tcPr>
            <w:tcW w:w="1134" w:type="dxa"/>
            <w:noWrap/>
            <w:hideMark/>
          </w:tcPr>
          <w:p w:rsidR="005F6F1D" w:rsidRPr="005F6F1D" w:rsidRDefault="005F6F1D" w:rsidP="005F6F1D">
            <w:pPr>
              <w:rPr>
                <w:rFonts w:ascii="Arial" w:eastAsia="Calibri" w:hAnsi="Arial" w:cs="Arial"/>
              </w:rPr>
            </w:pPr>
            <w:r w:rsidRPr="005F6F1D">
              <w:rPr>
                <w:rFonts w:ascii="Arial" w:eastAsia="Calibri" w:hAnsi="Arial" w:cs="Arial"/>
              </w:rPr>
              <w:t>Mar 18</w:t>
            </w:r>
          </w:p>
        </w:tc>
        <w:tc>
          <w:tcPr>
            <w:tcW w:w="2185" w:type="dxa"/>
            <w:noWrap/>
            <w:hideMark/>
          </w:tcPr>
          <w:p w:rsidR="005F6F1D" w:rsidRPr="005F6F1D" w:rsidRDefault="005F6F1D" w:rsidP="005F6F1D">
            <w:pPr>
              <w:rPr>
                <w:rFonts w:ascii="Arial" w:eastAsia="Calibri" w:hAnsi="Arial" w:cs="Arial"/>
              </w:rPr>
            </w:pPr>
            <w:r w:rsidRPr="005F6F1D">
              <w:rPr>
                <w:rFonts w:ascii="Arial" w:eastAsia="Calibri" w:hAnsi="Arial" w:cs="Arial"/>
              </w:rPr>
              <w:t>2</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15</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sym w:font="Wingdings 2" w:char="F050"/>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4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r>
      <w:tr w:rsidR="005F6F1D" w:rsidRPr="005F6F1D" w:rsidTr="009A5F55">
        <w:trPr>
          <w:trHeight w:val="255"/>
        </w:trPr>
        <w:tc>
          <w:tcPr>
            <w:tcW w:w="4248" w:type="dxa"/>
            <w:noWrap/>
            <w:hideMark/>
          </w:tcPr>
          <w:p w:rsidR="005F6F1D" w:rsidRPr="005F6F1D" w:rsidRDefault="005F6F1D" w:rsidP="005F6F1D">
            <w:pPr>
              <w:rPr>
                <w:rFonts w:ascii="Arial" w:eastAsia="Calibri" w:hAnsi="Arial" w:cs="Arial"/>
              </w:rPr>
            </w:pPr>
            <w:r w:rsidRPr="005F6F1D">
              <w:rPr>
                <w:rFonts w:ascii="Arial" w:eastAsia="Calibri" w:hAnsi="Arial" w:cs="Arial"/>
              </w:rPr>
              <w:t>Life Certificates</w:t>
            </w:r>
          </w:p>
        </w:tc>
        <w:tc>
          <w:tcPr>
            <w:tcW w:w="1559" w:type="dxa"/>
            <w:noWrap/>
            <w:hideMark/>
          </w:tcPr>
          <w:p w:rsidR="005F6F1D" w:rsidRPr="005F6F1D" w:rsidRDefault="005F6F1D" w:rsidP="005F6F1D">
            <w:pPr>
              <w:rPr>
                <w:rFonts w:ascii="Arial" w:eastAsia="Calibri" w:hAnsi="Arial" w:cs="Arial"/>
              </w:rPr>
            </w:pPr>
            <w:r w:rsidRPr="005F6F1D">
              <w:rPr>
                <w:rFonts w:ascii="Arial" w:eastAsia="Calibri" w:hAnsi="Arial" w:cs="Arial"/>
              </w:rPr>
              <w:t>5 Yearly</w:t>
            </w:r>
          </w:p>
        </w:tc>
        <w:tc>
          <w:tcPr>
            <w:tcW w:w="1134" w:type="dxa"/>
            <w:noWrap/>
            <w:hideMark/>
          </w:tcPr>
          <w:p w:rsidR="005F6F1D" w:rsidRPr="005F6F1D" w:rsidRDefault="005F6F1D" w:rsidP="005F6F1D">
            <w:pPr>
              <w:rPr>
                <w:rFonts w:ascii="Arial" w:eastAsia="Calibri" w:hAnsi="Arial" w:cs="Arial"/>
              </w:rPr>
            </w:pPr>
            <w:r w:rsidRPr="005F6F1D">
              <w:rPr>
                <w:rFonts w:ascii="Arial" w:eastAsia="Calibri" w:hAnsi="Arial" w:cs="Arial"/>
              </w:rPr>
              <w:t>Oct 15</w:t>
            </w:r>
          </w:p>
        </w:tc>
        <w:tc>
          <w:tcPr>
            <w:tcW w:w="2185" w:type="dxa"/>
            <w:noWrap/>
            <w:hideMark/>
          </w:tcPr>
          <w:p w:rsidR="005F6F1D" w:rsidRPr="005F6F1D" w:rsidRDefault="005F6F1D" w:rsidP="005F6F1D">
            <w:pPr>
              <w:rPr>
                <w:rFonts w:ascii="Arial" w:eastAsia="Calibri" w:hAnsi="Arial" w:cs="Arial"/>
              </w:rPr>
            </w:pPr>
            <w:r w:rsidRPr="005F6F1D">
              <w:rPr>
                <w:rFonts w:ascii="Arial" w:eastAsia="Calibri" w:hAnsi="Arial" w:cs="Arial"/>
              </w:rPr>
              <w:t>0</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15</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sym w:font="Wingdings 2" w:char="F050"/>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4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r>
      <w:tr w:rsidR="005F6F1D" w:rsidRPr="005F6F1D" w:rsidTr="009A5F55">
        <w:trPr>
          <w:trHeight w:val="255"/>
        </w:trPr>
        <w:tc>
          <w:tcPr>
            <w:tcW w:w="4248" w:type="dxa"/>
            <w:noWrap/>
            <w:hideMark/>
          </w:tcPr>
          <w:p w:rsidR="005F6F1D" w:rsidRPr="005F6F1D" w:rsidRDefault="005F6F1D" w:rsidP="005F6F1D">
            <w:pPr>
              <w:rPr>
                <w:rFonts w:ascii="Arial" w:eastAsia="Calibri" w:hAnsi="Arial" w:cs="Arial"/>
              </w:rPr>
            </w:pPr>
            <w:r w:rsidRPr="005F6F1D">
              <w:rPr>
                <w:rFonts w:ascii="Arial" w:eastAsia="Calibri" w:hAnsi="Arial" w:cs="Arial"/>
              </w:rPr>
              <w:t>AVC Arrangements</w:t>
            </w:r>
          </w:p>
        </w:tc>
        <w:tc>
          <w:tcPr>
            <w:tcW w:w="1559" w:type="dxa"/>
            <w:noWrap/>
            <w:hideMark/>
          </w:tcPr>
          <w:p w:rsidR="005F6F1D" w:rsidRPr="005F6F1D" w:rsidRDefault="005F6F1D" w:rsidP="005F6F1D">
            <w:pPr>
              <w:rPr>
                <w:rFonts w:ascii="Arial" w:eastAsia="Calibri" w:hAnsi="Arial" w:cs="Arial"/>
              </w:rPr>
            </w:pPr>
            <w:r w:rsidRPr="005F6F1D">
              <w:rPr>
                <w:rFonts w:ascii="Arial" w:eastAsia="Calibri" w:hAnsi="Arial" w:cs="Arial"/>
              </w:rPr>
              <w:t>5 Yearly</w:t>
            </w:r>
          </w:p>
        </w:tc>
        <w:tc>
          <w:tcPr>
            <w:tcW w:w="1134" w:type="dxa"/>
            <w:noWrap/>
            <w:hideMark/>
          </w:tcPr>
          <w:p w:rsidR="005F6F1D" w:rsidRPr="005F6F1D" w:rsidRDefault="005F6F1D" w:rsidP="005F6F1D">
            <w:pPr>
              <w:rPr>
                <w:rFonts w:ascii="Arial" w:eastAsia="Calibri" w:hAnsi="Arial" w:cs="Arial"/>
              </w:rPr>
            </w:pPr>
            <w:r w:rsidRPr="005F6F1D">
              <w:rPr>
                <w:rFonts w:ascii="Arial" w:eastAsia="Calibri" w:hAnsi="Arial" w:cs="Arial"/>
              </w:rPr>
              <w:t>Sep 17</w:t>
            </w:r>
          </w:p>
        </w:tc>
        <w:tc>
          <w:tcPr>
            <w:tcW w:w="2185" w:type="dxa"/>
            <w:noWrap/>
            <w:hideMark/>
          </w:tcPr>
          <w:p w:rsidR="005F6F1D" w:rsidRPr="005F6F1D" w:rsidRDefault="005F6F1D" w:rsidP="005F6F1D">
            <w:pPr>
              <w:rPr>
                <w:rFonts w:ascii="Arial" w:eastAsia="Calibri" w:hAnsi="Arial" w:cs="Arial"/>
              </w:rPr>
            </w:pPr>
            <w:r w:rsidRPr="005F6F1D">
              <w:rPr>
                <w:rFonts w:ascii="Arial" w:eastAsia="Calibri" w:hAnsi="Arial" w:cs="Arial"/>
              </w:rPr>
              <w:t>0</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15</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sym w:font="Wingdings 2" w:char="F050"/>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4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r>
      <w:tr w:rsidR="005F6F1D" w:rsidRPr="005F6F1D" w:rsidTr="009A5F55">
        <w:trPr>
          <w:trHeight w:val="255"/>
        </w:trPr>
        <w:tc>
          <w:tcPr>
            <w:tcW w:w="4248" w:type="dxa"/>
            <w:noWrap/>
            <w:hideMark/>
          </w:tcPr>
          <w:p w:rsidR="005F6F1D" w:rsidRPr="005F6F1D" w:rsidRDefault="005F6F1D" w:rsidP="005F6F1D">
            <w:pPr>
              <w:rPr>
                <w:rFonts w:ascii="Arial" w:eastAsia="Calibri" w:hAnsi="Arial" w:cs="Arial"/>
              </w:rPr>
            </w:pPr>
            <w:r w:rsidRPr="005F6F1D">
              <w:rPr>
                <w:rFonts w:ascii="Arial" w:eastAsia="Calibri" w:hAnsi="Arial" w:cs="Arial"/>
              </w:rPr>
              <w:t>Admission of New Bodies</w:t>
            </w:r>
          </w:p>
        </w:tc>
        <w:tc>
          <w:tcPr>
            <w:tcW w:w="1559" w:type="dxa"/>
            <w:noWrap/>
            <w:hideMark/>
          </w:tcPr>
          <w:p w:rsidR="005F6F1D" w:rsidRPr="005F6F1D" w:rsidRDefault="005F6F1D" w:rsidP="005F6F1D">
            <w:pPr>
              <w:rPr>
                <w:rFonts w:ascii="Arial" w:eastAsia="Calibri" w:hAnsi="Arial" w:cs="Arial"/>
              </w:rPr>
            </w:pPr>
            <w:r w:rsidRPr="005F6F1D">
              <w:rPr>
                <w:rFonts w:ascii="Arial" w:eastAsia="Calibri" w:hAnsi="Arial" w:cs="Arial"/>
              </w:rPr>
              <w:t>5 Yearly</w:t>
            </w:r>
          </w:p>
        </w:tc>
        <w:tc>
          <w:tcPr>
            <w:tcW w:w="1134" w:type="dxa"/>
            <w:noWrap/>
            <w:hideMark/>
          </w:tcPr>
          <w:p w:rsidR="005F6F1D" w:rsidRPr="005F6F1D" w:rsidRDefault="005F6F1D" w:rsidP="005F6F1D">
            <w:pPr>
              <w:rPr>
                <w:rFonts w:ascii="Arial" w:eastAsia="Calibri" w:hAnsi="Arial" w:cs="Arial"/>
              </w:rPr>
            </w:pPr>
            <w:r w:rsidRPr="005F6F1D">
              <w:rPr>
                <w:rFonts w:ascii="Arial" w:eastAsia="Calibri" w:hAnsi="Arial" w:cs="Arial"/>
              </w:rPr>
              <w:t>Jan 15</w:t>
            </w:r>
          </w:p>
        </w:tc>
        <w:tc>
          <w:tcPr>
            <w:tcW w:w="2185" w:type="dxa"/>
            <w:noWrap/>
            <w:hideMark/>
          </w:tcPr>
          <w:p w:rsidR="005F6F1D" w:rsidRPr="005F6F1D" w:rsidRDefault="005F6F1D" w:rsidP="005F6F1D">
            <w:pPr>
              <w:rPr>
                <w:rFonts w:ascii="Arial" w:eastAsia="Calibri" w:hAnsi="Arial" w:cs="Arial"/>
              </w:rPr>
            </w:pPr>
            <w:r w:rsidRPr="005F6F1D">
              <w:rPr>
                <w:rFonts w:ascii="Arial" w:eastAsia="Calibri" w:hAnsi="Arial" w:cs="Arial"/>
              </w:rPr>
              <w:t>0</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20</w:t>
            </w:r>
          </w:p>
        </w:tc>
        <w:tc>
          <w:tcPr>
            <w:tcW w:w="767"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sym w:font="Wingdings 2" w:char="F050"/>
            </w:r>
          </w:p>
        </w:tc>
        <w:tc>
          <w:tcPr>
            <w:tcW w:w="792"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 </w:t>
            </w:r>
          </w:p>
        </w:tc>
        <w:tc>
          <w:tcPr>
            <w:tcW w:w="767"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 </w:t>
            </w:r>
          </w:p>
        </w:tc>
        <w:tc>
          <w:tcPr>
            <w:tcW w:w="792"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 </w:t>
            </w:r>
          </w:p>
        </w:tc>
        <w:tc>
          <w:tcPr>
            <w:tcW w:w="767"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 </w:t>
            </w:r>
          </w:p>
        </w:tc>
        <w:tc>
          <w:tcPr>
            <w:tcW w:w="742"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 </w:t>
            </w:r>
          </w:p>
        </w:tc>
      </w:tr>
      <w:tr w:rsidR="005F6F1D" w:rsidRPr="005F6F1D" w:rsidTr="009A5F55">
        <w:trPr>
          <w:trHeight w:val="255"/>
        </w:trPr>
        <w:tc>
          <w:tcPr>
            <w:tcW w:w="4248" w:type="dxa"/>
            <w:noWrap/>
            <w:hideMark/>
          </w:tcPr>
          <w:p w:rsidR="005F6F1D" w:rsidRPr="005F6F1D" w:rsidRDefault="005F6F1D" w:rsidP="005F6F1D">
            <w:pPr>
              <w:rPr>
                <w:rFonts w:ascii="Arial" w:eastAsia="Calibri" w:hAnsi="Arial" w:cs="Arial"/>
              </w:rPr>
            </w:pPr>
            <w:r w:rsidRPr="005F6F1D">
              <w:rPr>
                <w:rFonts w:ascii="Arial" w:eastAsia="Calibri" w:hAnsi="Arial" w:cs="Arial"/>
              </w:rPr>
              <w:t>Pensioners Payroll</w:t>
            </w:r>
          </w:p>
        </w:tc>
        <w:tc>
          <w:tcPr>
            <w:tcW w:w="1559" w:type="dxa"/>
            <w:noWrap/>
            <w:hideMark/>
          </w:tcPr>
          <w:p w:rsidR="005F6F1D" w:rsidRPr="005F6F1D" w:rsidRDefault="005F6F1D" w:rsidP="005F6F1D">
            <w:pPr>
              <w:rPr>
                <w:rFonts w:ascii="Arial" w:eastAsia="Calibri" w:hAnsi="Arial" w:cs="Arial"/>
              </w:rPr>
            </w:pPr>
            <w:r w:rsidRPr="005F6F1D">
              <w:rPr>
                <w:rFonts w:ascii="Arial" w:eastAsia="Calibri" w:hAnsi="Arial" w:cs="Arial"/>
              </w:rPr>
              <w:t>2.5 years</w:t>
            </w:r>
          </w:p>
        </w:tc>
        <w:tc>
          <w:tcPr>
            <w:tcW w:w="1134" w:type="dxa"/>
            <w:noWrap/>
            <w:hideMark/>
          </w:tcPr>
          <w:p w:rsidR="005F6F1D" w:rsidRPr="005F6F1D" w:rsidRDefault="005F6F1D" w:rsidP="005F6F1D">
            <w:pPr>
              <w:rPr>
                <w:rFonts w:ascii="Arial" w:eastAsia="Calibri" w:hAnsi="Arial" w:cs="Arial"/>
              </w:rPr>
            </w:pPr>
            <w:r w:rsidRPr="005F6F1D">
              <w:rPr>
                <w:rFonts w:ascii="Arial" w:eastAsia="Calibri" w:hAnsi="Arial" w:cs="Arial"/>
              </w:rPr>
              <w:t>Mar 16</w:t>
            </w:r>
          </w:p>
        </w:tc>
        <w:tc>
          <w:tcPr>
            <w:tcW w:w="2185" w:type="dxa"/>
            <w:noWrap/>
            <w:hideMark/>
          </w:tcPr>
          <w:p w:rsidR="005F6F1D" w:rsidRPr="005F6F1D" w:rsidRDefault="005F6F1D" w:rsidP="005F6F1D">
            <w:pPr>
              <w:rPr>
                <w:rFonts w:ascii="Arial" w:eastAsia="Calibri" w:hAnsi="Arial" w:cs="Arial"/>
              </w:rPr>
            </w:pPr>
            <w:r w:rsidRPr="005F6F1D">
              <w:rPr>
                <w:rFonts w:ascii="Arial" w:eastAsia="Calibri" w:hAnsi="Arial" w:cs="Arial"/>
              </w:rPr>
              <w:t>3</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20</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sym w:font="Wingdings 2" w:char="F050"/>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sym w:font="Wingdings 2" w:char="F050"/>
            </w:r>
          </w:p>
        </w:tc>
        <w:tc>
          <w:tcPr>
            <w:tcW w:w="74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r>
      <w:tr w:rsidR="005F6F1D" w:rsidRPr="005F6F1D" w:rsidTr="009A5F55">
        <w:trPr>
          <w:trHeight w:val="255"/>
        </w:trPr>
        <w:tc>
          <w:tcPr>
            <w:tcW w:w="4248" w:type="dxa"/>
            <w:noWrap/>
            <w:hideMark/>
          </w:tcPr>
          <w:p w:rsidR="005F6F1D" w:rsidRPr="005F6F1D" w:rsidRDefault="005F6F1D" w:rsidP="005F6F1D">
            <w:pPr>
              <w:rPr>
                <w:rFonts w:ascii="Arial" w:eastAsia="Calibri" w:hAnsi="Arial" w:cs="Arial"/>
              </w:rPr>
            </w:pPr>
            <w:r w:rsidRPr="005F6F1D">
              <w:rPr>
                <w:rFonts w:ascii="Arial" w:eastAsia="Calibri" w:hAnsi="Arial" w:cs="Arial"/>
              </w:rPr>
              <w:t>Purchase of Additional Pension</w:t>
            </w:r>
          </w:p>
        </w:tc>
        <w:tc>
          <w:tcPr>
            <w:tcW w:w="1559" w:type="dxa"/>
            <w:noWrap/>
            <w:hideMark/>
          </w:tcPr>
          <w:p w:rsidR="005F6F1D" w:rsidRPr="005F6F1D" w:rsidRDefault="005F6F1D" w:rsidP="005F6F1D">
            <w:pPr>
              <w:rPr>
                <w:rFonts w:ascii="Arial" w:eastAsia="Calibri" w:hAnsi="Arial" w:cs="Arial"/>
              </w:rPr>
            </w:pPr>
            <w:r w:rsidRPr="005F6F1D">
              <w:rPr>
                <w:rFonts w:ascii="Arial" w:eastAsia="Calibri" w:hAnsi="Arial" w:cs="Arial"/>
              </w:rPr>
              <w:t>5 Yearly</w:t>
            </w:r>
          </w:p>
        </w:tc>
        <w:tc>
          <w:tcPr>
            <w:tcW w:w="1134" w:type="dxa"/>
            <w:noWrap/>
            <w:hideMark/>
          </w:tcPr>
          <w:p w:rsidR="005F6F1D" w:rsidRPr="005F6F1D" w:rsidRDefault="005F6F1D" w:rsidP="005F6F1D">
            <w:pPr>
              <w:rPr>
                <w:rFonts w:ascii="Arial" w:eastAsia="Calibri" w:hAnsi="Arial" w:cs="Arial"/>
              </w:rPr>
            </w:pPr>
            <w:r w:rsidRPr="005F6F1D">
              <w:rPr>
                <w:rFonts w:ascii="Arial" w:eastAsia="Calibri" w:hAnsi="Arial" w:cs="Arial"/>
              </w:rPr>
              <w:t>Mar 17</w:t>
            </w:r>
          </w:p>
        </w:tc>
        <w:tc>
          <w:tcPr>
            <w:tcW w:w="2185" w:type="dxa"/>
            <w:noWrap/>
            <w:hideMark/>
          </w:tcPr>
          <w:p w:rsidR="005F6F1D" w:rsidRPr="005F6F1D" w:rsidRDefault="005F6F1D" w:rsidP="005F6F1D">
            <w:pPr>
              <w:rPr>
                <w:rFonts w:ascii="Arial" w:eastAsia="Calibri" w:hAnsi="Arial" w:cs="Arial"/>
              </w:rPr>
            </w:pPr>
            <w:r w:rsidRPr="005F6F1D">
              <w:rPr>
                <w:rFonts w:ascii="Arial" w:eastAsia="Calibri" w:hAnsi="Arial" w:cs="Arial"/>
              </w:rPr>
              <w:t>1</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15</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sym w:font="Wingdings 2" w:char="F050"/>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4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r>
      <w:tr w:rsidR="005F6F1D" w:rsidRPr="005F6F1D" w:rsidTr="009A5F55">
        <w:trPr>
          <w:trHeight w:val="255"/>
        </w:trPr>
        <w:tc>
          <w:tcPr>
            <w:tcW w:w="4248" w:type="dxa"/>
            <w:noWrap/>
            <w:hideMark/>
          </w:tcPr>
          <w:p w:rsidR="005F6F1D" w:rsidRPr="005F6F1D" w:rsidRDefault="005F6F1D" w:rsidP="005F6F1D">
            <w:pPr>
              <w:rPr>
                <w:rFonts w:ascii="Arial" w:eastAsia="Calibri" w:hAnsi="Arial" w:cs="Arial"/>
              </w:rPr>
            </w:pPr>
            <w:r w:rsidRPr="005F6F1D">
              <w:rPr>
                <w:rFonts w:ascii="Arial" w:eastAsia="Calibri" w:hAnsi="Arial" w:cs="Arial"/>
              </w:rPr>
              <w:t>Annual Benefits Statements</w:t>
            </w:r>
          </w:p>
        </w:tc>
        <w:tc>
          <w:tcPr>
            <w:tcW w:w="1559" w:type="dxa"/>
            <w:noWrap/>
            <w:hideMark/>
          </w:tcPr>
          <w:p w:rsidR="005F6F1D" w:rsidRPr="005F6F1D" w:rsidRDefault="005F6F1D" w:rsidP="005F6F1D">
            <w:pPr>
              <w:rPr>
                <w:rFonts w:ascii="Arial" w:eastAsia="Calibri" w:hAnsi="Arial" w:cs="Arial"/>
              </w:rPr>
            </w:pPr>
            <w:r w:rsidRPr="005F6F1D">
              <w:rPr>
                <w:rFonts w:ascii="Arial" w:eastAsia="Calibri" w:hAnsi="Arial" w:cs="Arial"/>
              </w:rPr>
              <w:t>2.5 years</w:t>
            </w:r>
          </w:p>
        </w:tc>
        <w:tc>
          <w:tcPr>
            <w:tcW w:w="1134" w:type="dxa"/>
            <w:noWrap/>
            <w:hideMark/>
          </w:tcPr>
          <w:p w:rsidR="005F6F1D" w:rsidRPr="005F6F1D" w:rsidRDefault="005F6F1D" w:rsidP="005F6F1D">
            <w:pPr>
              <w:rPr>
                <w:rFonts w:ascii="Arial" w:eastAsia="Calibri" w:hAnsi="Arial" w:cs="Arial"/>
              </w:rPr>
            </w:pPr>
            <w:r w:rsidRPr="005F6F1D">
              <w:rPr>
                <w:rFonts w:ascii="Arial" w:eastAsia="Calibri" w:hAnsi="Arial" w:cs="Arial"/>
              </w:rPr>
              <w:t>Oct 16</w:t>
            </w:r>
          </w:p>
        </w:tc>
        <w:tc>
          <w:tcPr>
            <w:tcW w:w="2185" w:type="dxa"/>
            <w:noWrap/>
            <w:hideMark/>
          </w:tcPr>
          <w:p w:rsidR="005F6F1D" w:rsidRPr="005F6F1D" w:rsidRDefault="005F6F1D" w:rsidP="005F6F1D">
            <w:pPr>
              <w:rPr>
                <w:rFonts w:ascii="Arial" w:eastAsia="Calibri" w:hAnsi="Arial" w:cs="Arial"/>
              </w:rPr>
            </w:pPr>
            <w:r w:rsidRPr="005F6F1D">
              <w:rPr>
                <w:rFonts w:ascii="Arial" w:eastAsia="Calibri" w:hAnsi="Arial" w:cs="Arial"/>
              </w:rPr>
              <w:t>0</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20</w:t>
            </w:r>
          </w:p>
        </w:tc>
        <w:tc>
          <w:tcPr>
            <w:tcW w:w="767"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sym w:font="Wingdings 2" w:char="F050"/>
            </w:r>
          </w:p>
        </w:tc>
        <w:tc>
          <w:tcPr>
            <w:tcW w:w="792"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 </w:t>
            </w:r>
          </w:p>
        </w:tc>
        <w:tc>
          <w:tcPr>
            <w:tcW w:w="767"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 </w:t>
            </w:r>
          </w:p>
        </w:tc>
        <w:tc>
          <w:tcPr>
            <w:tcW w:w="792"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sym w:font="Wingdings 2" w:char="F050"/>
            </w:r>
          </w:p>
        </w:tc>
        <w:tc>
          <w:tcPr>
            <w:tcW w:w="767"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 </w:t>
            </w:r>
          </w:p>
        </w:tc>
        <w:tc>
          <w:tcPr>
            <w:tcW w:w="742"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 </w:t>
            </w:r>
          </w:p>
        </w:tc>
      </w:tr>
      <w:tr w:rsidR="005F6F1D" w:rsidRPr="005F6F1D" w:rsidTr="009A5F55">
        <w:trPr>
          <w:trHeight w:val="255"/>
        </w:trPr>
        <w:tc>
          <w:tcPr>
            <w:tcW w:w="4248"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1559"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1134"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2185"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4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r>
      <w:tr w:rsidR="005F6F1D" w:rsidRPr="005F6F1D" w:rsidTr="009A5F55">
        <w:trPr>
          <w:trHeight w:val="255"/>
        </w:trPr>
        <w:tc>
          <w:tcPr>
            <w:tcW w:w="4248" w:type="dxa"/>
            <w:noWrap/>
            <w:hideMark/>
          </w:tcPr>
          <w:p w:rsidR="005F6F1D" w:rsidRPr="005F6F1D" w:rsidRDefault="005F6F1D" w:rsidP="005F6F1D">
            <w:pPr>
              <w:rPr>
                <w:rFonts w:ascii="Arial" w:eastAsia="Calibri" w:hAnsi="Arial" w:cs="Arial"/>
              </w:rPr>
            </w:pPr>
            <w:r w:rsidRPr="005F6F1D">
              <w:rPr>
                <w:rFonts w:ascii="Arial" w:eastAsia="Calibri" w:hAnsi="Arial" w:cs="Arial"/>
              </w:rPr>
              <w:t>New Pensions and Lump Sums - Fire Service</w:t>
            </w:r>
          </w:p>
        </w:tc>
        <w:tc>
          <w:tcPr>
            <w:tcW w:w="1559" w:type="dxa"/>
            <w:noWrap/>
            <w:hideMark/>
          </w:tcPr>
          <w:p w:rsidR="005F6F1D" w:rsidRPr="005F6F1D" w:rsidRDefault="005F6F1D" w:rsidP="005F6F1D">
            <w:pPr>
              <w:rPr>
                <w:rFonts w:ascii="Arial" w:eastAsia="Calibri" w:hAnsi="Arial" w:cs="Arial"/>
              </w:rPr>
            </w:pPr>
            <w:r w:rsidRPr="005F6F1D">
              <w:rPr>
                <w:rFonts w:ascii="Arial" w:eastAsia="Calibri" w:hAnsi="Arial" w:cs="Arial"/>
              </w:rPr>
              <w:t>3 Yearly</w:t>
            </w:r>
          </w:p>
        </w:tc>
        <w:tc>
          <w:tcPr>
            <w:tcW w:w="1134" w:type="dxa"/>
            <w:noWrap/>
            <w:hideMark/>
          </w:tcPr>
          <w:p w:rsidR="005F6F1D" w:rsidRPr="005F6F1D" w:rsidRDefault="005F6F1D" w:rsidP="005F6F1D">
            <w:pPr>
              <w:rPr>
                <w:rFonts w:ascii="Arial" w:eastAsia="Calibri" w:hAnsi="Arial" w:cs="Arial"/>
              </w:rPr>
            </w:pPr>
            <w:r w:rsidRPr="005F6F1D">
              <w:rPr>
                <w:rFonts w:ascii="Arial" w:eastAsia="Calibri" w:hAnsi="Arial" w:cs="Arial"/>
              </w:rPr>
              <w:t>Jul 18</w:t>
            </w:r>
          </w:p>
        </w:tc>
        <w:tc>
          <w:tcPr>
            <w:tcW w:w="2185" w:type="dxa"/>
            <w:noWrap/>
            <w:hideMark/>
          </w:tcPr>
          <w:p w:rsidR="005F6F1D" w:rsidRPr="005F6F1D" w:rsidRDefault="005F6F1D" w:rsidP="005F6F1D">
            <w:pPr>
              <w:rPr>
                <w:rFonts w:ascii="Arial" w:eastAsia="Calibri" w:hAnsi="Arial" w:cs="Arial"/>
              </w:rPr>
            </w:pPr>
            <w:r w:rsidRPr="005F6F1D">
              <w:rPr>
                <w:rFonts w:ascii="Arial" w:eastAsia="Calibri" w:hAnsi="Arial" w:cs="Arial"/>
              </w:rPr>
              <w:t>1</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15</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sym w:font="Wingdings 2" w:char="F050"/>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sym w:font="Wingdings 2" w:char="F050"/>
            </w:r>
          </w:p>
        </w:tc>
        <w:tc>
          <w:tcPr>
            <w:tcW w:w="74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r>
      <w:tr w:rsidR="005F6F1D" w:rsidRPr="005F6F1D" w:rsidTr="009A5F55">
        <w:trPr>
          <w:trHeight w:val="255"/>
        </w:trPr>
        <w:tc>
          <w:tcPr>
            <w:tcW w:w="4248"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1559"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1134"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2185"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4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r>
      <w:tr w:rsidR="005F6F1D" w:rsidRPr="005F6F1D" w:rsidTr="009A5F55">
        <w:trPr>
          <w:trHeight w:val="300"/>
        </w:trPr>
        <w:tc>
          <w:tcPr>
            <w:tcW w:w="4248"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Audits Per Year</w:t>
            </w:r>
          </w:p>
        </w:tc>
        <w:tc>
          <w:tcPr>
            <w:tcW w:w="1559"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1134"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2185"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92" w:type="dxa"/>
            <w:noWrap/>
            <w:hideMark/>
          </w:tcPr>
          <w:p w:rsidR="005F6F1D" w:rsidRPr="005F6F1D" w:rsidRDefault="005F6F1D" w:rsidP="005F6F1D">
            <w:pPr>
              <w:rPr>
                <w:rFonts w:ascii="Arial" w:eastAsia="Calibri" w:hAnsi="Arial" w:cs="Arial"/>
              </w:rPr>
            </w:pPr>
            <w:r w:rsidRPr="005F6F1D">
              <w:rPr>
                <w:rFonts w:ascii="Arial" w:eastAsia="Calibri" w:hAnsi="Arial" w:cs="Arial"/>
              </w:rPr>
              <w:t> </w:t>
            </w:r>
          </w:p>
        </w:tc>
        <w:tc>
          <w:tcPr>
            <w:tcW w:w="767"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4</w:t>
            </w:r>
          </w:p>
        </w:tc>
        <w:tc>
          <w:tcPr>
            <w:tcW w:w="792"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5</w:t>
            </w:r>
          </w:p>
        </w:tc>
        <w:tc>
          <w:tcPr>
            <w:tcW w:w="767"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4</w:t>
            </w:r>
          </w:p>
        </w:tc>
        <w:tc>
          <w:tcPr>
            <w:tcW w:w="792"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4</w:t>
            </w:r>
          </w:p>
        </w:tc>
        <w:tc>
          <w:tcPr>
            <w:tcW w:w="767"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4</w:t>
            </w:r>
          </w:p>
        </w:tc>
        <w:tc>
          <w:tcPr>
            <w:tcW w:w="742" w:type="dxa"/>
            <w:noWrap/>
            <w:hideMark/>
          </w:tcPr>
          <w:p w:rsidR="005F6F1D" w:rsidRPr="005F6F1D" w:rsidRDefault="005F6F1D" w:rsidP="005F6F1D">
            <w:pPr>
              <w:rPr>
                <w:rFonts w:ascii="Arial" w:eastAsia="Calibri" w:hAnsi="Arial" w:cs="Arial"/>
                <w:b/>
                <w:bCs/>
              </w:rPr>
            </w:pPr>
            <w:r w:rsidRPr="005F6F1D">
              <w:rPr>
                <w:rFonts w:ascii="Arial" w:eastAsia="Calibri" w:hAnsi="Arial" w:cs="Arial"/>
                <w:b/>
                <w:bCs/>
              </w:rPr>
              <w:t>21</w:t>
            </w:r>
          </w:p>
        </w:tc>
      </w:tr>
    </w:tbl>
    <w:p w:rsidR="005F6F1D" w:rsidRPr="005F6F1D" w:rsidRDefault="005F6F1D" w:rsidP="005F6F1D">
      <w:pPr>
        <w:tabs>
          <w:tab w:val="left" w:pos="10095"/>
        </w:tabs>
        <w:rPr>
          <w:rFonts w:ascii="Arial" w:eastAsia="Calibri" w:hAnsi="Arial" w:cs="Arial"/>
          <w:sz w:val="56"/>
          <w:szCs w:val="56"/>
        </w:rPr>
        <w:sectPr w:rsidR="005F6F1D" w:rsidRPr="005F6F1D" w:rsidSect="009A5F55">
          <w:pgSz w:w="16838" w:h="11906" w:orient="landscape"/>
          <w:pgMar w:top="1134" w:right="1440" w:bottom="1440" w:left="1440" w:header="709" w:footer="709" w:gutter="0"/>
          <w:cols w:space="708"/>
          <w:docGrid w:linePitch="360"/>
        </w:sectPr>
      </w:pPr>
    </w:p>
    <w:p w:rsidR="005F6F1D" w:rsidRPr="005F6F1D" w:rsidRDefault="005F6F1D" w:rsidP="005F6F1D">
      <w:pPr>
        <w:spacing w:after="0"/>
        <w:ind w:left="567" w:hanging="567"/>
        <w:rPr>
          <w:rFonts w:ascii="Arial" w:eastAsia="Calibri" w:hAnsi="Arial" w:cs="Arial"/>
          <w:b/>
          <w:color w:val="0070C0"/>
          <w:sz w:val="28"/>
          <w:szCs w:val="28"/>
        </w:rPr>
      </w:pPr>
      <w:r w:rsidRPr="005F6F1D">
        <w:rPr>
          <w:rFonts w:ascii="Arial" w:eastAsia="Calibri" w:hAnsi="Arial" w:cs="Arial"/>
          <w:b/>
          <w:color w:val="0070C0"/>
          <w:sz w:val="28"/>
          <w:szCs w:val="28"/>
        </w:rPr>
        <w:lastRenderedPageBreak/>
        <w:t>1</w:t>
      </w:r>
      <w:r w:rsidR="00731643">
        <w:rPr>
          <w:rFonts w:ascii="Arial" w:eastAsia="Calibri" w:hAnsi="Arial" w:cs="Arial"/>
          <w:b/>
          <w:color w:val="0070C0"/>
          <w:sz w:val="28"/>
          <w:szCs w:val="28"/>
        </w:rPr>
        <w:t>0</w:t>
      </w:r>
      <w:r w:rsidRPr="005F6F1D">
        <w:rPr>
          <w:rFonts w:ascii="Arial" w:eastAsia="Calibri" w:hAnsi="Arial" w:cs="Arial"/>
          <w:b/>
          <w:color w:val="0070C0"/>
          <w:sz w:val="28"/>
          <w:szCs w:val="28"/>
        </w:rPr>
        <w:t>.</w:t>
      </w:r>
      <w:r w:rsidRPr="005F6F1D">
        <w:rPr>
          <w:rFonts w:ascii="Arial" w:eastAsia="Calibri" w:hAnsi="Arial" w:cs="Arial"/>
          <w:b/>
          <w:color w:val="374C80"/>
          <w:sz w:val="28"/>
          <w:szCs w:val="28"/>
        </w:rPr>
        <w:t xml:space="preserve"> </w:t>
      </w:r>
      <w:r w:rsidRPr="005F6F1D">
        <w:rPr>
          <w:rFonts w:ascii="Arial" w:eastAsia="Calibri" w:hAnsi="Arial" w:cs="Arial"/>
          <w:b/>
          <w:color w:val="0070C0"/>
          <w:sz w:val="28"/>
          <w:szCs w:val="28"/>
        </w:rPr>
        <w:t>Overriding Disclosure Time Limits</w:t>
      </w:r>
    </w:p>
    <w:p w:rsidR="005F6F1D" w:rsidRPr="005F6F1D" w:rsidRDefault="005F6F1D" w:rsidP="005F6F1D">
      <w:pPr>
        <w:rPr>
          <w:rFonts w:ascii="Arial" w:eastAsia="Calibri" w:hAnsi="Arial" w:cs="Arial"/>
          <w:b/>
          <w:sz w:val="24"/>
          <w:szCs w:val="24"/>
        </w:rPr>
      </w:pPr>
      <w:r w:rsidRPr="005F6F1D">
        <w:rPr>
          <w:rFonts w:ascii="Arial" w:eastAsia="Calibri" w:hAnsi="Arial" w:cs="Arial"/>
          <w:b/>
          <w:sz w:val="24"/>
          <w:szCs w:val="24"/>
        </w:rPr>
        <w:t xml:space="preserve"> </w:t>
      </w:r>
    </w:p>
    <w:tbl>
      <w:tblPr>
        <w:tblStyle w:val="TableGrid"/>
        <w:tblW w:w="9242" w:type="dxa"/>
        <w:tblInd w:w="108" w:type="dxa"/>
        <w:tblLook w:val="04A0" w:firstRow="1" w:lastRow="0" w:firstColumn="1" w:lastColumn="0" w:noHBand="0" w:noVBand="1"/>
      </w:tblPr>
      <w:tblGrid>
        <w:gridCol w:w="3544"/>
        <w:gridCol w:w="3402"/>
        <w:gridCol w:w="2296"/>
      </w:tblGrid>
      <w:tr w:rsidR="005F6F1D" w:rsidRPr="005F6F1D" w:rsidTr="009A5F55">
        <w:trPr>
          <w:trHeight w:val="759"/>
        </w:trPr>
        <w:tc>
          <w:tcPr>
            <w:tcW w:w="3544" w:type="dxa"/>
            <w:vAlign w:val="center"/>
          </w:tcPr>
          <w:p w:rsidR="005F6F1D" w:rsidRPr="005F6F1D" w:rsidRDefault="005F6F1D" w:rsidP="005F6F1D">
            <w:pPr>
              <w:rPr>
                <w:rFonts w:ascii="Arial" w:eastAsia="Calibri" w:hAnsi="Arial" w:cs="Arial"/>
                <w:b/>
              </w:rPr>
            </w:pPr>
            <w:r w:rsidRPr="005F6F1D">
              <w:rPr>
                <w:rFonts w:ascii="Arial" w:eastAsia="Calibri" w:hAnsi="Arial" w:cs="Arial"/>
                <w:b/>
              </w:rPr>
              <w:t>Disclosure Requirement</w:t>
            </w:r>
          </w:p>
        </w:tc>
        <w:tc>
          <w:tcPr>
            <w:tcW w:w="3402" w:type="dxa"/>
            <w:vAlign w:val="center"/>
          </w:tcPr>
          <w:p w:rsidR="005F6F1D" w:rsidRPr="005F6F1D" w:rsidRDefault="005F6F1D" w:rsidP="005F6F1D">
            <w:pPr>
              <w:rPr>
                <w:rFonts w:ascii="Arial" w:eastAsia="Calibri" w:hAnsi="Arial" w:cs="Arial"/>
                <w:b/>
              </w:rPr>
            </w:pPr>
            <w:r w:rsidRPr="005F6F1D">
              <w:rPr>
                <w:rFonts w:ascii="Arial" w:eastAsia="Calibri" w:hAnsi="Arial" w:cs="Arial"/>
                <w:b/>
              </w:rPr>
              <w:t>Time Limit</w:t>
            </w:r>
          </w:p>
        </w:tc>
        <w:tc>
          <w:tcPr>
            <w:tcW w:w="2296" w:type="dxa"/>
            <w:vAlign w:val="center"/>
          </w:tcPr>
          <w:p w:rsidR="005F6F1D" w:rsidRPr="005F6F1D" w:rsidRDefault="005F6F1D" w:rsidP="005F6F1D">
            <w:pPr>
              <w:rPr>
                <w:rFonts w:ascii="Arial" w:eastAsia="Calibri" w:hAnsi="Arial" w:cs="Arial"/>
                <w:b/>
              </w:rPr>
            </w:pPr>
            <w:r w:rsidRPr="005F6F1D">
              <w:rPr>
                <w:rFonts w:ascii="Arial" w:eastAsia="Calibri" w:hAnsi="Arial" w:cs="Arial"/>
                <w:b/>
              </w:rPr>
              <w:t>Number of breaches in month</w:t>
            </w:r>
          </w:p>
        </w:tc>
      </w:tr>
      <w:tr w:rsidR="005F6F1D" w:rsidRPr="005F6F1D" w:rsidTr="009A5F55">
        <w:trPr>
          <w:trHeight w:val="759"/>
        </w:trPr>
        <w:tc>
          <w:tcPr>
            <w:tcW w:w="3544" w:type="dxa"/>
            <w:vAlign w:val="center"/>
          </w:tcPr>
          <w:p w:rsidR="005F6F1D" w:rsidRPr="005F6F1D" w:rsidRDefault="005F6F1D" w:rsidP="005F6F1D">
            <w:pPr>
              <w:rPr>
                <w:rFonts w:ascii="Arial" w:eastAsia="Calibri" w:hAnsi="Arial" w:cs="Arial"/>
              </w:rPr>
            </w:pPr>
            <w:r w:rsidRPr="005F6F1D">
              <w:rPr>
                <w:rFonts w:ascii="Arial" w:eastAsia="Calibri" w:hAnsi="Arial" w:cs="Arial"/>
              </w:rPr>
              <w:t>Material alterations to basic scheme information</w:t>
            </w:r>
          </w:p>
        </w:tc>
        <w:tc>
          <w:tcPr>
            <w:tcW w:w="3402" w:type="dxa"/>
            <w:vAlign w:val="center"/>
          </w:tcPr>
          <w:p w:rsidR="005F6F1D" w:rsidRPr="005F6F1D" w:rsidRDefault="005F6F1D" w:rsidP="005F6F1D">
            <w:pPr>
              <w:rPr>
                <w:rFonts w:ascii="Arial" w:eastAsia="Calibri" w:hAnsi="Arial" w:cs="Arial"/>
              </w:rPr>
            </w:pPr>
            <w:r w:rsidRPr="005F6F1D">
              <w:rPr>
                <w:rFonts w:ascii="Arial" w:eastAsia="Calibri" w:hAnsi="Arial" w:cs="Arial"/>
              </w:rPr>
              <w:t>Within 3 months of the change taking effect</w:t>
            </w:r>
          </w:p>
        </w:tc>
        <w:tc>
          <w:tcPr>
            <w:tcW w:w="2296" w:type="dxa"/>
            <w:vAlign w:val="center"/>
          </w:tcPr>
          <w:p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rsidTr="009A5F55">
        <w:trPr>
          <w:trHeight w:val="759"/>
        </w:trPr>
        <w:tc>
          <w:tcPr>
            <w:tcW w:w="3544" w:type="dxa"/>
            <w:vAlign w:val="center"/>
          </w:tcPr>
          <w:p w:rsidR="005F6F1D" w:rsidRPr="005F6F1D" w:rsidRDefault="005F6F1D" w:rsidP="005F6F1D">
            <w:pPr>
              <w:rPr>
                <w:rFonts w:ascii="Arial" w:eastAsia="Calibri" w:hAnsi="Arial" w:cs="Arial"/>
              </w:rPr>
            </w:pPr>
            <w:r w:rsidRPr="005F6F1D">
              <w:rPr>
                <w:rFonts w:ascii="Arial" w:eastAsia="Calibri" w:hAnsi="Arial" w:cs="Arial"/>
              </w:rPr>
              <w:t>Transfer Credits (quote)</w:t>
            </w:r>
          </w:p>
        </w:tc>
        <w:tc>
          <w:tcPr>
            <w:tcW w:w="3402" w:type="dxa"/>
            <w:vAlign w:val="center"/>
          </w:tcPr>
          <w:p w:rsidR="005F6F1D" w:rsidRPr="005F6F1D" w:rsidRDefault="005F6F1D" w:rsidP="005F6F1D">
            <w:pPr>
              <w:rPr>
                <w:rFonts w:ascii="Arial" w:eastAsia="Calibri" w:hAnsi="Arial" w:cs="Arial"/>
              </w:rPr>
            </w:pPr>
            <w:r w:rsidRPr="005F6F1D">
              <w:rPr>
                <w:rFonts w:ascii="Arial" w:eastAsia="Calibri" w:hAnsi="Arial" w:cs="Arial"/>
              </w:rPr>
              <w:t>Within 2 months</w:t>
            </w:r>
          </w:p>
        </w:tc>
        <w:tc>
          <w:tcPr>
            <w:tcW w:w="2296" w:type="dxa"/>
            <w:vAlign w:val="center"/>
          </w:tcPr>
          <w:p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rsidTr="009A5F55">
        <w:trPr>
          <w:trHeight w:val="759"/>
        </w:trPr>
        <w:tc>
          <w:tcPr>
            <w:tcW w:w="3544" w:type="dxa"/>
            <w:vAlign w:val="center"/>
          </w:tcPr>
          <w:p w:rsidR="005F6F1D" w:rsidRPr="005F6F1D" w:rsidRDefault="005F6F1D" w:rsidP="005F6F1D">
            <w:pPr>
              <w:rPr>
                <w:rFonts w:ascii="Arial" w:eastAsia="Calibri" w:hAnsi="Arial" w:cs="Arial"/>
              </w:rPr>
            </w:pPr>
            <w:r w:rsidRPr="005F6F1D">
              <w:rPr>
                <w:rFonts w:ascii="Arial" w:eastAsia="Calibri" w:hAnsi="Arial" w:cs="Arial"/>
              </w:rPr>
              <w:t>Annual Benefit Statements</w:t>
            </w:r>
          </w:p>
        </w:tc>
        <w:tc>
          <w:tcPr>
            <w:tcW w:w="3402" w:type="dxa"/>
            <w:vAlign w:val="center"/>
          </w:tcPr>
          <w:p w:rsidR="005F6F1D" w:rsidRPr="005F6F1D" w:rsidRDefault="005F6F1D" w:rsidP="005F6F1D">
            <w:pPr>
              <w:rPr>
                <w:rFonts w:ascii="Arial" w:eastAsia="Calibri" w:hAnsi="Arial" w:cs="Arial"/>
              </w:rPr>
            </w:pPr>
            <w:r w:rsidRPr="005F6F1D">
              <w:rPr>
                <w:rFonts w:ascii="Arial" w:eastAsia="Calibri" w:hAnsi="Arial" w:cs="Arial"/>
              </w:rPr>
              <w:t>By 31 August each year</w:t>
            </w:r>
          </w:p>
        </w:tc>
        <w:tc>
          <w:tcPr>
            <w:tcW w:w="2296" w:type="dxa"/>
            <w:vAlign w:val="center"/>
          </w:tcPr>
          <w:p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rsidTr="009A5F55">
        <w:trPr>
          <w:trHeight w:val="759"/>
        </w:trPr>
        <w:tc>
          <w:tcPr>
            <w:tcW w:w="3544" w:type="dxa"/>
            <w:vAlign w:val="center"/>
          </w:tcPr>
          <w:p w:rsidR="005F6F1D" w:rsidRPr="005F6F1D" w:rsidRDefault="005F6F1D" w:rsidP="005F6F1D">
            <w:pPr>
              <w:rPr>
                <w:rFonts w:ascii="Arial" w:eastAsia="Calibri" w:hAnsi="Arial" w:cs="Arial"/>
              </w:rPr>
            </w:pPr>
            <w:r w:rsidRPr="005F6F1D">
              <w:rPr>
                <w:rFonts w:ascii="Arial" w:eastAsia="Calibri" w:hAnsi="Arial" w:cs="Arial"/>
              </w:rPr>
              <w:t>Annual Benefit Statement (upon request)</w:t>
            </w:r>
          </w:p>
        </w:tc>
        <w:tc>
          <w:tcPr>
            <w:tcW w:w="3402" w:type="dxa"/>
            <w:vAlign w:val="center"/>
          </w:tcPr>
          <w:p w:rsidR="005F6F1D" w:rsidRPr="005F6F1D" w:rsidRDefault="005F6F1D" w:rsidP="005F6F1D">
            <w:pPr>
              <w:rPr>
                <w:rFonts w:ascii="Arial" w:eastAsia="Calibri" w:hAnsi="Arial" w:cs="Arial"/>
              </w:rPr>
            </w:pPr>
            <w:r w:rsidRPr="005F6F1D">
              <w:rPr>
                <w:rFonts w:ascii="Arial" w:eastAsia="Calibri" w:hAnsi="Arial" w:cs="Arial"/>
              </w:rPr>
              <w:t>Within 2 months of request, if not already provided within previous 12 months</w:t>
            </w:r>
          </w:p>
        </w:tc>
        <w:tc>
          <w:tcPr>
            <w:tcW w:w="2296" w:type="dxa"/>
            <w:vAlign w:val="center"/>
          </w:tcPr>
          <w:p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rsidTr="009A5F55">
        <w:trPr>
          <w:trHeight w:val="759"/>
        </w:trPr>
        <w:tc>
          <w:tcPr>
            <w:tcW w:w="3544" w:type="dxa"/>
            <w:vAlign w:val="center"/>
          </w:tcPr>
          <w:p w:rsidR="005F6F1D" w:rsidRPr="005F6F1D" w:rsidRDefault="005F6F1D" w:rsidP="005F6F1D">
            <w:pPr>
              <w:rPr>
                <w:rFonts w:ascii="Arial" w:eastAsia="Calibri" w:hAnsi="Arial" w:cs="Arial"/>
              </w:rPr>
            </w:pPr>
            <w:r w:rsidRPr="005F6F1D">
              <w:rPr>
                <w:rFonts w:ascii="Arial" w:eastAsia="Calibri" w:hAnsi="Arial" w:cs="Arial"/>
              </w:rPr>
              <w:t>Deferred Benefit Statements</w:t>
            </w:r>
          </w:p>
        </w:tc>
        <w:tc>
          <w:tcPr>
            <w:tcW w:w="3402" w:type="dxa"/>
            <w:vAlign w:val="center"/>
          </w:tcPr>
          <w:p w:rsidR="005F6F1D" w:rsidRPr="005F6F1D" w:rsidRDefault="005F6F1D" w:rsidP="005F6F1D">
            <w:pPr>
              <w:rPr>
                <w:rFonts w:ascii="Arial" w:eastAsia="Calibri" w:hAnsi="Arial" w:cs="Arial"/>
              </w:rPr>
            </w:pPr>
            <w:r w:rsidRPr="005F6F1D">
              <w:rPr>
                <w:rFonts w:ascii="Arial" w:eastAsia="Calibri" w:hAnsi="Arial" w:cs="Arial"/>
              </w:rPr>
              <w:t>By 31 August each year</w:t>
            </w:r>
          </w:p>
        </w:tc>
        <w:tc>
          <w:tcPr>
            <w:tcW w:w="2296" w:type="dxa"/>
            <w:vAlign w:val="center"/>
          </w:tcPr>
          <w:p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rsidTr="009A5F55">
        <w:trPr>
          <w:trHeight w:val="759"/>
        </w:trPr>
        <w:tc>
          <w:tcPr>
            <w:tcW w:w="3544" w:type="dxa"/>
            <w:vAlign w:val="center"/>
          </w:tcPr>
          <w:p w:rsidR="005F6F1D" w:rsidRPr="005F6F1D" w:rsidRDefault="005F6F1D" w:rsidP="005F6F1D">
            <w:pPr>
              <w:rPr>
                <w:rFonts w:ascii="Arial" w:eastAsia="Calibri" w:hAnsi="Arial" w:cs="Arial"/>
              </w:rPr>
            </w:pPr>
            <w:r w:rsidRPr="005F6F1D">
              <w:rPr>
                <w:rFonts w:ascii="Arial" w:eastAsia="Calibri" w:hAnsi="Arial" w:cs="Arial"/>
              </w:rPr>
              <w:t>Deferred Benefit Statement (upon request)</w:t>
            </w:r>
          </w:p>
        </w:tc>
        <w:tc>
          <w:tcPr>
            <w:tcW w:w="3402" w:type="dxa"/>
            <w:vAlign w:val="center"/>
          </w:tcPr>
          <w:p w:rsidR="005F6F1D" w:rsidRPr="005F6F1D" w:rsidRDefault="005F6F1D" w:rsidP="005F6F1D">
            <w:pPr>
              <w:rPr>
                <w:rFonts w:ascii="Arial" w:eastAsia="Calibri" w:hAnsi="Arial" w:cs="Arial"/>
              </w:rPr>
            </w:pPr>
            <w:r w:rsidRPr="005F6F1D">
              <w:rPr>
                <w:rFonts w:ascii="Arial" w:eastAsia="Calibri" w:hAnsi="Arial" w:cs="Arial"/>
              </w:rPr>
              <w:t>Within 2 months of request, if not already provided within previous 12 months</w:t>
            </w:r>
          </w:p>
        </w:tc>
        <w:tc>
          <w:tcPr>
            <w:tcW w:w="2296" w:type="dxa"/>
            <w:vAlign w:val="center"/>
          </w:tcPr>
          <w:p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rsidTr="009A5F55">
        <w:trPr>
          <w:trHeight w:val="759"/>
        </w:trPr>
        <w:tc>
          <w:tcPr>
            <w:tcW w:w="3544" w:type="dxa"/>
            <w:vAlign w:val="center"/>
          </w:tcPr>
          <w:p w:rsidR="005F6F1D" w:rsidRPr="005F6F1D" w:rsidRDefault="005F6F1D" w:rsidP="005F6F1D">
            <w:pPr>
              <w:rPr>
                <w:rFonts w:ascii="Arial" w:eastAsia="Calibri" w:hAnsi="Arial" w:cs="Arial"/>
              </w:rPr>
            </w:pPr>
            <w:r w:rsidRPr="005F6F1D">
              <w:rPr>
                <w:rFonts w:ascii="Arial" w:eastAsia="Calibri" w:hAnsi="Arial" w:cs="Arial"/>
              </w:rPr>
              <w:t>Pension Savings Statements</w:t>
            </w:r>
          </w:p>
        </w:tc>
        <w:tc>
          <w:tcPr>
            <w:tcW w:w="3402" w:type="dxa"/>
            <w:vAlign w:val="center"/>
          </w:tcPr>
          <w:p w:rsidR="005F6F1D" w:rsidRPr="005F6F1D" w:rsidRDefault="005F6F1D" w:rsidP="005F6F1D">
            <w:pPr>
              <w:rPr>
                <w:rFonts w:ascii="Arial" w:eastAsia="Calibri" w:hAnsi="Arial" w:cs="Arial"/>
              </w:rPr>
            </w:pPr>
            <w:r w:rsidRPr="005F6F1D">
              <w:rPr>
                <w:rFonts w:ascii="Arial" w:eastAsia="Calibri" w:hAnsi="Arial" w:cs="Arial"/>
              </w:rPr>
              <w:t>By 6 October each year</w:t>
            </w:r>
          </w:p>
        </w:tc>
        <w:tc>
          <w:tcPr>
            <w:tcW w:w="2296" w:type="dxa"/>
            <w:vAlign w:val="center"/>
          </w:tcPr>
          <w:p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rsidTr="009A5F55">
        <w:trPr>
          <w:trHeight w:val="759"/>
        </w:trPr>
        <w:tc>
          <w:tcPr>
            <w:tcW w:w="3544" w:type="dxa"/>
            <w:vAlign w:val="center"/>
          </w:tcPr>
          <w:p w:rsidR="005F6F1D" w:rsidRPr="005F6F1D" w:rsidRDefault="005F6F1D" w:rsidP="005F6F1D">
            <w:pPr>
              <w:rPr>
                <w:rFonts w:ascii="Arial" w:eastAsia="Calibri" w:hAnsi="Arial" w:cs="Arial"/>
                <w:snapToGrid w:val="0"/>
              </w:rPr>
            </w:pPr>
            <w:r w:rsidRPr="005F6F1D">
              <w:rPr>
                <w:rFonts w:ascii="Arial" w:eastAsia="Calibri" w:hAnsi="Arial" w:cs="Arial"/>
                <w:snapToGrid w:val="0"/>
              </w:rPr>
              <w:t xml:space="preserve">Cash Equivalent Transfer Value  </w:t>
            </w:r>
          </w:p>
          <w:p w:rsidR="005F6F1D" w:rsidRPr="005F6F1D" w:rsidRDefault="005F6F1D" w:rsidP="005F6F1D">
            <w:pPr>
              <w:rPr>
                <w:rFonts w:ascii="Arial" w:eastAsia="Calibri" w:hAnsi="Arial" w:cs="Arial"/>
              </w:rPr>
            </w:pPr>
            <w:r w:rsidRPr="005F6F1D">
              <w:rPr>
                <w:rFonts w:ascii="Arial" w:eastAsia="Calibri" w:hAnsi="Arial" w:cs="Arial"/>
              </w:rPr>
              <w:t>Out</w:t>
            </w:r>
          </w:p>
        </w:tc>
        <w:tc>
          <w:tcPr>
            <w:tcW w:w="3402" w:type="dxa"/>
            <w:vAlign w:val="center"/>
          </w:tcPr>
          <w:p w:rsidR="005F6F1D" w:rsidRPr="005F6F1D" w:rsidRDefault="005F6F1D" w:rsidP="005F6F1D">
            <w:pPr>
              <w:rPr>
                <w:rFonts w:ascii="Arial" w:eastAsia="Calibri" w:hAnsi="Arial" w:cs="Arial"/>
              </w:rPr>
            </w:pPr>
            <w:r w:rsidRPr="005F6F1D">
              <w:rPr>
                <w:rFonts w:ascii="Arial" w:eastAsia="Calibri" w:hAnsi="Arial" w:cs="Arial"/>
              </w:rPr>
              <w:t>Within 3 months of request</w:t>
            </w:r>
          </w:p>
        </w:tc>
        <w:tc>
          <w:tcPr>
            <w:tcW w:w="2296" w:type="dxa"/>
            <w:vAlign w:val="center"/>
          </w:tcPr>
          <w:p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rsidTr="009A5F55">
        <w:trPr>
          <w:trHeight w:val="759"/>
        </w:trPr>
        <w:tc>
          <w:tcPr>
            <w:tcW w:w="3544" w:type="dxa"/>
            <w:vAlign w:val="center"/>
          </w:tcPr>
          <w:p w:rsidR="005F6F1D" w:rsidRPr="005F6F1D" w:rsidRDefault="005F6F1D" w:rsidP="005F6F1D">
            <w:pPr>
              <w:rPr>
                <w:rFonts w:ascii="Arial" w:eastAsia="Calibri" w:hAnsi="Arial" w:cs="Arial"/>
              </w:rPr>
            </w:pPr>
            <w:r w:rsidRPr="005F6F1D">
              <w:rPr>
                <w:rFonts w:ascii="Arial" w:eastAsia="Calibri" w:hAnsi="Arial" w:cs="Arial"/>
              </w:rPr>
              <w:t>Accessing Benefits before Normal Pension Age</w:t>
            </w:r>
          </w:p>
        </w:tc>
        <w:tc>
          <w:tcPr>
            <w:tcW w:w="3402" w:type="dxa"/>
            <w:vAlign w:val="center"/>
          </w:tcPr>
          <w:p w:rsidR="005F6F1D" w:rsidRPr="005F6F1D" w:rsidRDefault="005F6F1D" w:rsidP="005F6F1D">
            <w:pPr>
              <w:rPr>
                <w:rFonts w:ascii="Arial" w:eastAsia="Calibri" w:hAnsi="Arial" w:cs="Arial"/>
              </w:rPr>
            </w:pPr>
            <w:r w:rsidRPr="005F6F1D">
              <w:rPr>
                <w:rFonts w:ascii="Arial" w:eastAsia="Calibri" w:hAnsi="Arial" w:cs="Arial"/>
              </w:rPr>
              <w:t>2 month of benefits becoming payable</w:t>
            </w:r>
          </w:p>
        </w:tc>
        <w:tc>
          <w:tcPr>
            <w:tcW w:w="2296" w:type="dxa"/>
            <w:vAlign w:val="center"/>
          </w:tcPr>
          <w:p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rsidTr="009A5F55">
        <w:trPr>
          <w:trHeight w:val="759"/>
        </w:trPr>
        <w:tc>
          <w:tcPr>
            <w:tcW w:w="3544" w:type="dxa"/>
            <w:vAlign w:val="center"/>
          </w:tcPr>
          <w:p w:rsidR="005F6F1D" w:rsidRPr="005F6F1D" w:rsidRDefault="005F6F1D" w:rsidP="005F6F1D">
            <w:pPr>
              <w:rPr>
                <w:rFonts w:ascii="Arial" w:eastAsia="Calibri" w:hAnsi="Arial" w:cs="Arial"/>
              </w:rPr>
            </w:pPr>
            <w:r w:rsidRPr="005F6F1D">
              <w:rPr>
                <w:rFonts w:ascii="Arial" w:eastAsia="Calibri" w:hAnsi="Arial" w:cs="Arial"/>
              </w:rPr>
              <w:t>Accessing Benefits on or after Normal Pension Age</w:t>
            </w:r>
          </w:p>
        </w:tc>
        <w:tc>
          <w:tcPr>
            <w:tcW w:w="3402" w:type="dxa"/>
            <w:vAlign w:val="center"/>
          </w:tcPr>
          <w:p w:rsidR="005F6F1D" w:rsidRPr="005F6F1D" w:rsidRDefault="005F6F1D" w:rsidP="005F6F1D">
            <w:pPr>
              <w:rPr>
                <w:rFonts w:ascii="Arial" w:eastAsia="Calibri" w:hAnsi="Arial" w:cs="Arial"/>
              </w:rPr>
            </w:pPr>
            <w:r w:rsidRPr="005F6F1D">
              <w:rPr>
                <w:rFonts w:ascii="Arial" w:eastAsia="Calibri" w:hAnsi="Arial" w:cs="Arial"/>
              </w:rPr>
              <w:t>1 month of benefits becoming payable</w:t>
            </w:r>
          </w:p>
        </w:tc>
        <w:tc>
          <w:tcPr>
            <w:tcW w:w="2296" w:type="dxa"/>
            <w:vAlign w:val="center"/>
          </w:tcPr>
          <w:p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rsidTr="009A5F55">
        <w:trPr>
          <w:trHeight w:val="759"/>
        </w:trPr>
        <w:tc>
          <w:tcPr>
            <w:tcW w:w="3544" w:type="dxa"/>
            <w:vAlign w:val="center"/>
          </w:tcPr>
          <w:p w:rsidR="005F6F1D" w:rsidRPr="005F6F1D" w:rsidRDefault="005F6F1D" w:rsidP="005F6F1D">
            <w:pPr>
              <w:rPr>
                <w:rFonts w:ascii="Arial" w:eastAsia="Calibri" w:hAnsi="Arial" w:cs="Arial"/>
              </w:rPr>
            </w:pPr>
            <w:r w:rsidRPr="005F6F1D">
              <w:rPr>
                <w:rFonts w:ascii="Arial" w:eastAsia="Calibri" w:hAnsi="Arial" w:cs="Arial"/>
              </w:rPr>
              <w:t>Notification of Deferred Benefit entitlement</w:t>
            </w:r>
          </w:p>
        </w:tc>
        <w:tc>
          <w:tcPr>
            <w:tcW w:w="3402" w:type="dxa"/>
            <w:vAlign w:val="center"/>
          </w:tcPr>
          <w:p w:rsidR="005F6F1D" w:rsidRPr="005F6F1D" w:rsidRDefault="005F6F1D" w:rsidP="005F6F1D">
            <w:pPr>
              <w:rPr>
                <w:rFonts w:ascii="Arial" w:eastAsia="Calibri" w:hAnsi="Arial" w:cs="Arial"/>
              </w:rPr>
            </w:pPr>
            <w:r w:rsidRPr="005F6F1D">
              <w:rPr>
                <w:rFonts w:ascii="Arial" w:eastAsia="Calibri" w:hAnsi="Arial" w:cs="Arial"/>
              </w:rPr>
              <w:t>2 months of being notified of leaver</w:t>
            </w:r>
          </w:p>
        </w:tc>
        <w:tc>
          <w:tcPr>
            <w:tcW w:w="2296" w:type="dxa"/>
            <w:vAlign w:val="center"/>
          </w:tcPr>
          <w:p w:rsidR="005F6F1D" w:rsidRPr="005F6F1D" w:rsidRDefault="005F6F1D" w:rsidP="005F6F1D">
            <w:pPr>
              <w:jc w:val="center"/>
              <w:rPr>
                <w:rFonts w:ascii="Arial" w:eastAsia="Calibri" w:hAnsi="Arial" w:cs="Arial"/>
              </w:rPr>
            </w:pPr>
            <w:r w:rsidRPr="005F6F1D">
              <w:rPr>
                <w:rFonts w:ascii="Arial" w:eastAsia="Calibri" w:hAnsi="Arial" w:cs="Arial"/>
              </w:rPr>
              <w:t>0</w:t>
            </w:r>
          </w:p>
        </w:tc>
      </w:tr>
    </w:tbl>
    <w:p w:rsidR="005F6F1D" w:rsidRPr="005F6F1D" w:rsidRDefault="005F6F1D" w:rsidP="005F6F1D">
      <w:pPr>
        <w:spacing w:after="0"/>
        <w:rPr>
          <w:rFonts w:ascii="Arial" w:eastAsia="Calibri" w:hAnsi="Arial" w:cs="Arial"/>
          <w:color w:val="4A66AC"/>
          <w:sz w:val="56"/>
          <w:szCs w:val="56"/>
        </w:rPr>
      </w:pPr>
    </w:p>
    <w:p w:rsidR="005F6F1D" w:rsidRPr="005F6F1D" w:rsidRDefault="005F6F1D" w:rsidP="005F6F1D">
      <w:pPr>
        <w:spacing w:after="0"/>
        <w:rPr>
          <w:rFonts w:ascii="Arial" w:eastAsia="Calibri" w:hAnsi="Arial" w:cs="Arial"/>
          <w:color w:val="4A66AC"/>
          <w:sz w:val="56"/>
          <w:szCs w:val="56"/>
        </w:rPr>
      </w:pPr>
    </w:p>
    <w:p w:rsidR="005F6F1D" w:rsidRPr="005F6F1D" w:rsidRDefault="005F6F1D" w:rsidP="005F6F1D">
      <w:pPr>
        <w:spacing w:after="0"/>
        <w:rPr>
          <w:rFonts w:ascii="Arial" w:eastAsia="Calibri" w:hAnsi="Arial" w:cs="Arial"/>
          <w:color w:val="4A66AC"/>
          <w:sz w:val="56"/>
          <w:szCs w:val="56"/>
        </w:rPr>
      </w:pPr>
    </w:p>
    <w:p w:rsidR="005F6F1D" w:rsidRPr="005F6F1D" w:rsidRDefault="005F6F1D" w:rsidP="005F6F1D">
      <w:pPr>
        <w:spacing w:after="0"/>
        <w:rPr>
          <w:rFonts w:ascii="Arial" w:eastAsia="Calibri" w:hAnsi="Arial" w:cs="Arial"/>
          <w:color w:val="4A66AC"/>
          <w:sz w:val="56"/>
          <w:szCs w:val="56"/>
        </w:rPr>
      </w:pPr>
    </w:p>
    <w:p w:rsidR="005F6F1D" w:rsidRPr="005F6F1D" w:rsidRDefault="005F6F1D" w:rsidP="005F6F1D">
      <w:pPr>
        <w:spacing w:after="0"/>
        <w:rPr>
          <w:rFonts w:ascii="Arial" w:eastAsia="Calibri" w:hAnsi="Arial" w:cs="Arial"/>
          <w:color w:val="4A66AC"/>
          <w:sz w:val="56"/>
          <w:szCs w:val="56"/>
        </w:rPr>
      </w:pPr>
    </w:p>
    <w:p w:rsidR="005F6F1D" w:rsidRPr="005F6F1D" w:rsidRDefault="005F6F1D" w:rsidP="005F6F1D">
      <w:pPr>
        <w:rPr>
          <w:rFonts w:ascii="Arial" w:eastAsia="Calibri" w:hAnsi="Arial" w:cs="Arial"/>
          <w:b/>
          <w:color w:val="0070C0"/>
          <w:sz w:val="36"/>
          <w:szCs w:val="36"/>
        </w:rPr>
      </w:pPr>
    </w:p>
    <w:p w:rsidR="005F6F1D" w:rsidRPr="005F6F1D" w:rsidRDefault="005F6F1D" w:rsidP="005F6F1D">
      <w:pPr>
        <w:rPr>
          <w:rFonts w:ascii="Arial" w:eastAsia="Calibri" w:hAnsi="Arial" w:cs="Arial"/>
          <w:b/>
          <w:color w:val="0070C0"/>
          <w:sz w:val="28"/>
          <w:szCs w:val="28"/>
        </w:rPr>
      </w:pPr>
      <w:r w:rsidRPr="005F6F1D">
        <w:rPr>
          <w:rFonts w:ascii="Arial" w:eastAsia="Calibri" w:hAnsi="Arial" w:cs="Arial"/>
          <w:b/>
          <w:color w:val="0070C0"/>
          <w:sz w:val="36"/>
          <w:szCs w:val="36"/>
        </w:rPr>
        <w:lastRenderedPageBreak/>
        <w:t xml:space="preserve"> </w:t>
      </w:r>
      <w:r w:rsidRPr="005F6F1D">
        <w:rPr>
          <w:rFonts w:ascii="Arial" w:eastAsia="Calibri" w:hAnsi="Arial" w:cs="Arial"/>
          <w:b/>
          <w:color w:val="0070C0"/>
          <w:sz w:val="28"/>
          <w:szCs w:val="28"/>
        </w:rPr>
        <w:t xml:space="preserve"> Divorce Time limits</w:t>
      </w:r>
    </w:p>
    <w:tbl>
      <w:tblPr>
        <w:tblStyle w:val="TableGrid"/>
        <w:tblW w:w="9242" w:type="dxa"/>
        <w:tblInd w:w="108" w:type="dxa"/>
        <w:tblLook w:val="04A0" w:firstRow="1" w:lastRow="0" w:firstColumn="1" w:lastColumn="0" w:noHBand="0" w:noVBand="1"/>
      </w:tblPr>
      <w:tblGrid>
        <w:gridCol w:w="3544"/>
        <w:gridCol w:w="3686"/>
        <w:gridCol w:w="2012"/>
      </w:tblGrid>
      <w:tr w:rsidR="005F6F1D" w:rsidRPr="005F6F1D" w:rsidTr="009A5F55">
        <w:trPr>
          <w:trHeight w:val="858"/>
        </w:trPr>
        <w:tc>
          <w:tcPr>
            <w:tcW w:w="3544" w:type="dxa"/>
            <w:tcBorders>
              <w:top w:val="single" w:sz="4" w:space="0" w:color="auto"/>
              <w:left w:val="single" w:sz="4" w:space="0" w:color="auto"/>
              <w:bottom w:val="single" w:sz="4" w:space="0" w:color="auto"/>
              <w:right w:val="single" w:sz="4" w:space="0" w:color="auto"/>
            </w:tcBorders>
          </w:tcPr>
          <w:p w:rsidR="005F6F1D" w:rsidRPr="005F6F1D" w:rsidRDefault="005F6F1D" w:rsidP="005F6F1D">
            <w:pPr>
              <w:jc w:val="center"/>
              <w:rPr>
                <w:rFonts w:ascii="Arial" w:eastAsia="Calibri" w:hAnsi="Arial" w:cs="Arial"/>
                <w:b/>
              </w:rPr>
            </w:pPr>
          </w:p>
          <w:p w:rsidR="005F6F1D" w:rsidRPr="005F6F1D" w:rsidRDefault="005F6F1D" w:rsidP="005F6F1D">
            <w:pPr>
              <w:jc w:val="center"/>
              <w:rPr>
                <w:rFonts w:ascii="Arial" w:eastAsia="Calibri" w:hAnsi="Arial" w:cs="Arial"/>
              </w:rPr>
            </w:pPr>
            <w:r w:rsidRPr="005F6F1D">
              <w:rPr>
                <w:rFonts w:ascii="Arial" w:eastAsia="Calibri" w:hAnsi="Arial" w:cs="Arial"/>
                <w:b/>
              </w:rPr>
              <w:t>Type of request</w:t>
            </w:r>
          </w:p>
        </w:tc>
        <w:tc>
          <w:tcPr>
            <w:tcW w:w="3686" w:type="dxa"/>
            <w:tcBorders>
              <w:top w:val="single" w:sz="4" w:space="0" w:color="auto"/>
              <w:left w:val="single" w:sz="4" w:space="0" w:color="auto"/>
              <w:bottom w:val="single" w:sz="4" w:space="0" w:color="auto"/>
              <w:right w:val="single" w:sz="4" w:space="0" w:color="auto"/>
            </w:tcBorders>
          </w:tcPr>
          <w:p w:rsidR="005F6F1D" w:rsidRPr="005F6F1D" w:rsidRDefault="005F6F1D" w:rsidP="005F6F1D">
            <w:pPr>
              <w:jc w:val="center"/>
              <w:rPr>
                <w:rFonts w:ascii="Arial" w:eastAsia="Calibri" w:hAnsi="Arial" w:cs="Arial"/>
                <w:b/>
              </w:rPr>
            </w:pPr>
          </w:p>
          <w:p w:rsidR="005F6F1D" w:rsidRPr="005F6F1D" w:rsidRDefault="005F6F1D" w:rsidP="005F6F1D">
            <w:pPr>
              <w:jc w:val="center"/>
              <w:rPr>
                <w:rFonts w:ascii="Arial" w:eastAsia="Calibri" w:hAnsi="Arial" w:cs="Arial"/>
                <w:b/>
              </w:rPr>
            </w:pPr>
            <w:r w:rsidRPr="005F6F1D">
              <w:rPr>
                <w:rFonts w:ascii="Arial" w:eastAsia="Calibri" w:hAnsi="Arial" w:cs="Arial"/>
                <w:b/>
              </w:rPr>
              <w:t>Time limit</w:t>
            </w:r>
          </w:p>
        </w:tc>
        <w:tc>
          <w:tcPr>
            <w:tcW w:w="2012" w:type="dxa"/>
            <w:tcBorders>
              <w:top w:val="single" w:sz="4" w:space="0" w:color="auto"/>
              <w:left w:val="single" w:sz="4" w:space="0" w:color="auto"/>
              <w:bottom w:val="single" w:sz="4" w:space="0" w:color="auto"/>
              <w:right w:val="single" w:sz="4" w:space="0" w:color="auto"/>
            </w:tcBorders>
          </w:tcPr>
          <w:p w:rsidR="005F6F1D" w:rsidRPr="005F6F1D" w:rsidRDefault="005F6F1D" w:rsidP="005F6F1D">
            <w:pPr>
              <w:jc w:val="center"/>
              <w:rPr>
                <w:rFonts w:ascii="Arial" w:eastAsia="Calibri" w:hAnsi="Arial" w:cs="Arial"/>
                <w:b/>
              </w:rPr>
            </w:pPr>
            <w:r w:rsidRPr="005F6F1D">
              <w:rPr>
                <w:rFonts w:ascii="Arial" w:eastAsia="Calibri" w:hAnsi="Arial" w:cs="Arial"/>
                <w:b/>
              </w:rPr>
              <w:t>Number of breaches in month</w:t>
            </w:r>
          </w:p>
        </w:tc>
      </w:tr>
      <w:tr w:rsidR="005F6F1D" w:rsidRPr="005F6F1D" w:rsidTr="009A5F55">
        <w:trPr>
          <w:trHeight w:val="764"/>
        </w:trPr>
        <w:tc>
          <w:tcPr>
            <w:tcW w:w="3544" w:type="dxa"/>
            <w:tcBorders>
              <w:top w:val="single" w:sz="4" w:space="0" w:color="auto"/>
              <w:left w:val="single" w:sz="4" w:space="0" w:color="auto"/>
              <w:bottom w:val="single" w:sz="4" w:space="0" w:color="auto"/>
              <w:right w:val="single" w:sz="4" w:space="0" w:color="auto"/>
            </w:tcBorders>
            <w:hideMark/>
          </w:tcPr>
          <w:p w:rsidR="005F6F1D" w:rsidRPr="005F6F1D" w:rsidRDefault="005F6F1D" w:rsidP="005F6F1D">
            <w:pPr>
              <w:rPr>
                <w:rFonts w:ascii="Arial" w:eastAsia="Calibri" w:hAnsi="Arial" w:cs="Arial"/>
              </w:rPr>
            </w:pPr>
            <w:r w:rsidRPr="005F6F1D">
              <w:rPr>
                <w:rFonts w:ascii="Arial" w:eastAsia="Calibri" w:hAnsi="Arial" w:cs="Arial"/>
                <w:bCs/>
                <w:snapToGrid w:val="0"/>
              </w:rPr>
              <w:t>Request for divorce information only.</w:t>
            </w:r>
          </w:p>
        </w:tc>
        <w:tc>
          <w:tcPr>
            <w:tcW w:w="3686" w:type="dxa"/>
            <w:tcBorders>
              <w:top w:val="single" w:sz="4" w:space="0" w:color="auto"/>
              <w:left w:val="single" w:sz="4" w:space="0" w:color="auto"/>
              <w:bottom w:val="single" w:sz="4" w:space="0" w:color="auto"/>
              <w:right w:val="single" w:sz="4" w:space="0" w:color="auto"/>
            </w:tcBorders>
            <w:hideMark/>
          </w:tcPr>
          <w:p w:rsidR="005F6F1D" w:rsidRPr="005F6F1D" w:rsidRDefault="005F6F1D" w:rsidP="005F6F1D">
            <w:pPr>
              <w:rPr>
                <w:rFonts w:ascii="Arial" w:eastAsia="Calibri" w:hAnsi="Arial" w:cs="Arial"/>
              </w:rPr>
            </w:pPr>
            <w:r w:rsidRPr="005F6F1D">
              <w:rPr>
                <w:rFonts w:ascii="Arial" w:eastAsia="Calibri" w:hAnsi="Arial" w:cs="Arial"/>
                <w:snapToGrid w:val="0"/>
              </w:rPr>
              <w:t>3 months from receipt of the request.</w:t>
            </w:r>
          </w:p>
        </w:tc>
        <w:tc>
          <w:tcPr>
            <w:tcW w:w="2012" w:type="dxa"/>
            <w:tcBorders>
              <w:top w:val="single" w:sz="4" w:space="0" w:color="auto"/>
              <w:left w:val="single" w:sz="4" w:space="0" w:color="auto"/>
              <w:bottom w:val="single" w:sz="4" w:space="0" w:color="auto"/>
              <w:right w:val="single" w:sz="4" w:space="0" w:color="auto"/>
            </w:tcBorders>
          </w:tcPr>
          <w:p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rsidTr="009A5F55">
        <w:trPr>
          <w:trHeight w:val="1468"/>
        </w:trPr>
        <w:tc>
          <w:tcPr>
            <w:tcW w:w="3544" w:type="dxa"/>
            <w:tcBorders>
              <w:top w:val="single" w:sz="4" w:space="0" w:color="auto"/>
              <w:left w:val="single" w:sz="4" w:space="0" w:color="auto"/>
              <w:bottom w:val="single" w:sz="4" w:space="0" w:color="auto"/>
              <w:right w:val="single" w:sz="4" w:space="0" w:color="auto"/>
            </w:tcBorders>
            <w:hideMark/>
          </w:tcPr>
          <w:p w:rsidR="005F6F1D" w:rsidRPr="005F6F1D" w:rsidRDefault="005F6F1D" w:rsidP="005F6F1D">
            <w:pPr>
              <w:rPr>
                <w:rFonts w:ascii="Arial" w:eastAsia="Calibri" w:hAnsi="Arial" w:cs="Arial"/>
              </w:rPr>
            </w:pPr>
            <w:r w:rsidRPr="005F6F1D">
              <w:rPr>
                <w:rFonts w:ascii="Arial" w:eastAsia="Calibri" w:hAnsi="Arial" w:cs="Arial"/>
                <w:bCs/>
                <w:snapToGrid w:val="0"/>
              </w:rPr>
              <w:t xml:space="preserve">Request for divorce information where </w:t>
            </w:r>
            <w:r w:rsidRPr="005F6F1D">
              <w:rPr>
                <w:rFonts w:ascii="Arial" w:eastAsia="Calibri" w:hAnsi="Arial" w:cs="Arial"/>
                <w:snapToGrid w:val="0"/>
              </w:rPr>
              <w:t>you are notified that the information is required in connection with divorce proceedings that have already commenced.</w:t>
            </w:r>
          </w:p>
        </w:tc>
        <w:tc>
          <w:tcPr>
            <w:tcW w:w="3686" w:type="dxa"/>
            <w:tcBorders>
              <w:top w:val="single" w:sz="4" w:space="0" w:color="auto"/>
              <w:left w:val="single" w:sz="4" w:space="0" w:color="auto"/>
              <w:bottom w:val="single" w:sz="4" w:space="0" w:color="auto"/>
              <w:right w:val="single" w:sz="4" w:space="0" w:color="auto"/>
            </w:tcBorders>
            <w:hideMark/>
          </w:tcPr>
          <w:p w:rsidR="005F6F1D" w:rsidRPr="005F6F1D" w:rsidRDefault="005F6F1D" w:rsidP="005F6F1D">
            <w:pPr>
              <w:rPr>
                <w:rFonts w:ascii="Arial" w:eastAsia="Calibri" w:hAnsi="Arial" w:cs="Arial"/>
              </w:rPr>
            </w:pPr>
            <w:r w:rsidRPr="005F6F1D">
              <w:rPr>
                <w:rFonts w:ascii="Arial" w:eastAsia="Calibri" w:hAnsi="Arial" w:cs="Arial"/>
                <w:snapToGrid w:val="0"/>
              </w:rPr>
              <w:t>6 weeks from receipt of the request.</w:t>
            </w:r>
          </w:p>
        </w:tc>
        <w:tc>
          <w:tcPr>
            <w:tcW w:w="2012" w:type="dxa"/>
            <w:tcBorders>
              <w:top w:val="single" w:sz="4" w:space="0" w:color="auto"/>
              <w:left w:val="single" w:sz="4" w:space="0" w:color="auto"/>
              <w:bottom w:val="single" w:sz="4" w:space="0" w:color="auto"/>
              <w:right w:val="single" w:sz="4" w:space="0" w:color="auto"/>
            </w:tcBorders>
          </w:tcPr>
          <w:p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rsidTr="009A5F55">
        <w:trPr>
          <w:trHeight w:val="1334"/>
        </w:trPr>
        <w:tc>
          <w:tcPr>
            <w:tcW w:w="3544" w:type="dxa"/>
            <w:tcBorders>
              <w:top w:val="single" w:sz="4" w:space="0" w:color="auto"/>
              <w:left w:val="single" w:sz="4" w:space="0" w:color="auto"/>
              <w:bottom w:val="single" w:sz="4" w:space="0" w:color="auto"/>
              <w:right w:val="single" w:sz="4" w:space="0" w:color="auto"/>
            </w:tcBorders>
            <w:hideMark/>
          </w:tcPr>
          <w:p w:rsidR="005F6F1D" w:rsidRPr="005F6F1D" w:rsidRDefault="005F6F1D" w:rsidP="005F6F1D">
            <w:pPr>
              <w:rPr>
                <w:rFonts w:ascii="Arial" w:eastAsia="Calibri" w:hAnsi="Arial" w:cs="Arial"/>
              </w:rPr>
            </w:pPr>
            <w:r w:rsidRPr="005F6F1D">
              <w:rPr>
                <w:rFonts w:ascii="Arial" w:eastAsia="Calibri" w:hAnsi="Arial" w:cs="Arial"/>
                <w:bCs/>
                <w:snapToGrid w:val="0"/>
              </w:rPr>
              <w:t xml:space="preserve">Request for divorce information where </w:t>
            </w:r>
            <w:r w:rsidRPr="005F6F1D">
              <w:rPr>
                <w:rFonts w:ascii="Arial" w:eastAsia="Calibri" w:hAnsi="Arial" w:cs="Arial"/>
                <w:snapToGrid w:val="0"/>
              </w:rPr>
              <w:t>a Court Order imposes a deadline.</w:t>
            </w:r>
          </w:p>
        </w:tc>
        <w:tc>
          <w:tcPr>
            <w:tcW w:w="3686" w:type="dxa"/>
            <w:tcBorders>
              <w:top w:val="single" w:sz="4" w:space="0" w:color="auto"/>
              <w:left w:val="single" w:sz="4" w:space="0" w:color="auto"/>
              <w:bottom w:val="single" w:sz="4" w:space="0" w:color="auto"/>
              <w:right w:val="single" w:sz="4" w:space="0" w:color="auto"/>
            </w:tcBorders>
            <w:hideMark/>
          </w:tcPr>
          <w:p w:rsidR="005F6F1D" w:rsidRPr="005F6F1D" w:rsidRDefault="005F6F1D" w:rsidP="005F6F1D">
            <w:pPr>
              <w:rPr>
                <w:rFonts w:ascii="Arial" w:eastAsia="Calibri" w:hAnsi="Arial" w:cs="Arial"/>
              </w:rPr>
            </w:pPr>
            <w:r w:rsidRPr="005F6F1D">
              <w:rPr>
                <w:rFonts w:ascii="Arial" w:eastAsia="Calibri" w:hAnsi="Arial" w:cs="Arial"/>
                <w:snapToGrid w:val="0"/>
              </w:rPr>
              <w:t>Within the deadline specified by the Court.</w:t>
            </w:r>
          </w:p>
        </w:tc>
        <w:tc>
          <w:tcPr>
            <w:tcW w:w="2012" w:type="dxa"/>
            <w:tcBorders>
              <w:top w:val="single" w:sz="4" w:space="0" w:color="auto"/>
              <w:left w:val="single" w:sz="4" w:space="0" w:color="auto"/>
              <w:bottom w:val="single" w:sz="4" w:space="0" w:color="auto"/>
              <w:right w:val="single" w:sz="4" w:space="0" w:color="auto"/>
            </w:tcBorders>
          </w:tcPr>
          <w:p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rsidTr="009A5F55">
        <w:trPr>
          <w:trHeight w:val="1468"/>
        </w:trPr>
        <w:tc>
          <w:tcPr>
            <w:tcW w:w="3544" w:type="dxa"/>
            <w:tcBorders>
              <w:top w:val="single" w:sz="4" w:space="0" w:color="auto"/>
              <w:left w:val="single" w:sz="4" w:space="0" w:color="auto"/>
              <w:bottom w:val="single" w:sz="4" w:space="0" w:color="auto"/>
              <w:right w:val="single" w:sz="4" w:space="0" w:color="auto"/>
            </w:tcBorders>
            <w:hideMark/>
          </w:tcPr>
          <w:p w:rsidR="005F6F1D" w:rsidRPr="005F6F1D" w:rsidRDefault="005F6F1D" w:rsidP="005F6F1D">
            <w:pPr>
              <w:rPr>
                <w:rFonts w:ascii="Arial" w:eastAsia="Calibri" w:hAnsi="Arial" w:cs="Arial"/>
              </w:rPr>
            </w:pPr>
            <w:r w:rsidRPr="005F6F1D">
              <w:rPr>
                <w:rFonts w:ascii="Arial" w:eastAsia="Calibri" w:hAnsi="Arial" w:cs="Arial"/>
                <w:bCs/>
                <w:snapToGrid w:val="0"/>
              </w:rPr>
              <w:t xml:space="preserve">Request for divorce information where </w:t>
            </w:r>
            <w:r w:rsidRPr="005F6F1D">
              <w:rPr>
                <w:rFonts w:ascii="Arial" w:eastAsia="Calibri" w:hAnsi="Arial" w:cs="Arial"/>
                <w:snapToGrid w:val="0"/>
              </w:rPr>
              <w:t>you are notified that a Pension Sharing Order may be issued.</w:t>
            </w:r>
          </w:p>
        </w:tc>
        <w:tc>
          <w:tcPr>
            <w:tcW w:w="3686" w:type="dxa"/>
            <w:tcBorders>
              <w:top w:val="single" w:sz="4" w:space="0" w:color="auto"/>
              <w:left w:val="single" w:sz="4" w:space="0" w:color="auto"/>
              <w:bottom w:val="single" w:sz="4" w:space="0" w:color="auto"/>
              <w:right w:val="single" w:sz="4" w:space="0" w:color="auto"/>
            </w:tcBorders>
            <w:hideMark/>
          </w:tcPr>
          <w:p w:rsidR="005F6F1D" w:rsidRPr="005F6F1D" w:rsidRDefault="005F6F1D" w:rsidP="005F6F1D">
            <w:pPr>
              <w:rPr>
                <w:rFonts w:ascii="Arial" w:eastAsia="Calibri" w:hAnsi="Arial" w:cs="Arial"/>
              </w:rPr>
            </w:pPr>
            <w:r w:rsidRPr="005F6F1D">
              <w:rPr>
                <w:rFonts w:ascii="Arial" w:eastAsia="Calibri" w:hAnsi="Arial" w:cs="Arial"/>
                <w:snapToGrid w:val="0"/>
              </w:rPr>
              <w:t xml:space="preserve">Within 21 days of receiving notification that a Pension Sharing Order may be issued or a date outside 21 days as specified by the Court. </w:t>
            </w:r>
          </w:p>
        </w:tc>
        <w:tc>
          <w:tcPr>
            <w:tcW w:w="2012" w:type="dxa"/>
            <w:tcBorders>
              <w:top w:val="single" w:sz="4" w:space="0" w:color="auto"/>
              <w:left w:val="single" w:sz="4" w:space="0" w:color="auto"/>
              <w:bottom w:val="single" w:sz="4" w:space="0" w:color="auto"/>
              <w:right w:val="single" w:sz="4" w:space="0" w:color="auto"/>
            </w:tcBorders>
          </w:tcPr>
          <w:p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rsidTr="009A5F55">
        <w:trPr>
          <w:trHeight w:val="1206"/>
        </w:trPr>
        <w:tc>
          <w:tcPr>
            <w:tcW w:w="3544" w:type="dxa"/>
            <w:tcBorders>
              <w:top w:val="single" w:sz="4" w:space="0" w:color="auto"/>
              <w:left w:val="single" w:sz="4" w:space="0" w:color="auto"/>
              <w:bottom w:val="single" w:sz="4" w:space="0" w:color="auto"/>
              <w:right w:val="single" w:sz="4" w:space="0" w:color="auto"/>
            </w:tcBorders>
            <w:hideMark/>
          </w:tcPr>
          <w:p w:rsidR="005F6F1D" w:rsidRPr="005F6F1D" w:rsidRDefault="005F6F1D" w:rsidP="005F6F1D">
            <w:pPr>
              <w:rPr>
                <w:rFonts w:ascii="Arial" w:eastAsia="Calibri" w:hAnsi="Arial" w:cs="Arial"/>
                <w:snapToGrid w:val="0"/>
              </w:rPr>
            </w:pPr>
            <w:r w:rsidRPr="005F6F1D">
              <w:rPr>
                <w:rFonts w:ascii="Arial" w:eastAsia="Calibri" w:hAnsi="Arial" w:cs="Arial"/>
                <w:snapToGrid w:val="0"/>
              </w:rPr>
              <w:t xml:space="preserve">Where the request is for information which does not include a Cash Equivalent Transfer Value  </w:t>
            </w:r>
          </w:p>
          <w:p w:rsidR="005F6F1D" w:rsidRPr="005F6F1D" w:rsidRDefault="005F6F1D" w:rsidP="005F6F1D">
            <w:pPr>
              <w:rPr>
                <w:rFonts w:ascii="Arial" w:eastAsia="Calibri" w:hAnsi="Arial" w:cs="Arial"/>
                <w:snapToGrid w:val="0"/>
              </w:rPr>
            </w:pPr>
          </w:p>
          <w:p w:rsidR="005F6F1D" w:rsidRPr="005F6F1D" w:rsidRDefault="005F6F1D" w:rsidP="005F6F1D">
            <w:pPr>
              <w:rPr>
                <w:rFonts w:ascii="Arial" w:eastAsia="Calibri" w:hAnsi="Arial" w:cs="Arial"/>
                <w:bCs/>
                <w:snapToGrid w:val="0"/>
              </w:rPr>
            </w:pPr>
          </w:p>
        </w:tc>
        <w:tc>
          <w:tcPr>
            <w:tcW w:w="3686" w:type="dxa"/>
            <w:tcBorders>
              <w:top w:val="single" w:sz="4" w:space="0" w:color="auto"/>
              <w:left w:val="single" w:sz="4" w:space="0" w:color="auto"/>
              <w:bottom w:val="single" w:sz="4" w:space="0" w:color="auto"/>
              <w:right w:val="single" w:sz="4" w:space="0" w:color="auto"/>
            </w:tcBorders>
            <w:hideMark/>
          </w:tcPr>
          <w:p w:rsidR="005F6F1D" w:rsidRPr="005F6F1D" w:rsidRDefault="005F6F1D" w:rsidP="005F6F1D">
            <w:pPr>
              <w:rPr>
                <w:rFonts w:ascii="Arial" w:eastAsia="Calibri" w:hAnsi="Arial" w:cs="Arial"/>
                <w:snapToGrid w:val="0"/>
              </w:rPr>
            </w:pPr>
            <w:r w:rsidRPr="005F6F1D">
              <w:rPr>
                <w:rFonts w:ascii="Arial" w:eastAsia="Calibri" w:hAnsi="Arial" w:cs="Arial"/>
                <w:snapToGrid w:val="0"/>
              </w:rPr>
              <w:t>1 month from receipt of the request.</w:t>
            </w:r>
          </w:p>
        </w:tc>
        <w:tc>
          <w:tcPr>
            <w:tcW w:w="2012" w:type="dxa"/>
            <w:tcBorders>
              <w:top w:val="single" w:sz="4" w:space="0" w:color="auto"/>
              <w:left w:val="single" w:sz="4" w:space="0" w:color="auto"/>
              <w:bottom w:val="single" w:sz="4" w:space="0" w:color="auto"/>
              <w:right w:val="single" w:sz="4" w:space="0" w:color="auto"/>
            </w:tcBorders>
          </w:tcPr>
          <w:p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rsidTr="009A5F55">
        <w:trPr>
          <w:trHeight w:val="1468"/>
        </w:trPr>
        <w:tc>
          <w:tcPr>
            <w:tcW w:w="3544" w:type="dxa"/>
            <w:tcBorders>
              <w:top w:val="single" w:sz="4" w:space="0" w:color="auto"/>
              <w:left w:val="single" w:sz="4" w:space="0" w:color="auto"/>
              <w:bottom w:val="single" w:sz="4" w:space="0" w:color="auto"/>
              <w:right w:val="single" w:sz="4" w:space="0" w:color="auto"/>
            </w:tcBorders>
            <w:hideMark/>
          </w:tcPr>
          <w:p w:rsidR="005F6F1D" w:rsidRPr="005F6F1D" w:rsidRDefault="005F6F1D" w:rsidP="005F6F1D">
            <w:pPr>
              <w:rPr>
                <w:rFonts w:ascii="Arial" w:eastAsia="Calibri" w:hAnsi="Arial" w:cs="Arial"/>
                <w:bCs/>
                <w:snapToGrid w:val="0"/>
              </w:rPr>
            </w:pPr>
            <w:r w:rsidRPr="005F6F1D">
              <w:rPr>
                <w:rFonts w:ascii="Arial" w:eastAsia="Calibri" w:hAnsi="Arial" w:cs="Arial"/>
                <w:bCs/>
                <w:snapToGrid w:val="0"/>
              </w:rPr>
              <w:t xml:space="preserve">Pension Sharing Order received but some </w:t>
            </w:r>
            <w:r w:rsidRPr="005F6F1D">
              <w:rPr>
                <w:rFonts w:ascii="Arial" w:eastAsia="Calibri" w:hAnsi="Arial" w:cs="Arial"/>
                <w:snapToGrid w:val="0"/>
              </w:rPr>
              <w:t>information* and/or charges are still outstanding.</w:t>
            </w:r>
          </w:p>
        </w:tc>
        <w:tc>
          <w:tcPr>
            <w:tcW w:w="3686" w:type="dxa"/>
            <w:tcBorders>
              <w:top w:val="single" w:sz="4" w:space="0" w:color="auto"/>
              <w:left w:val="single" w:sz="4" w:space="0" w:color="auto"/>
              <w:bottom w:val="single" w:sz="4" w:space="0" w:color="auto"/>
              <w:right w:val="single" w:sz="4" w:space="0" w:color="auto"/>
            </w:tcBorders>
            <w:hideMark/>
          </w:tcPr>
          <w:p w:rsidR="005F6F1D" w:rsidRPr="005F6F1D" w:rsidRDefault="005F6F1D" w:rsidP="005F6F1D">
            <w:pPr>
              <w:rPr>
                <w:rFonts w:ascii="Arial" w:eastAsia="Calibri" w:hAnsi="Arial" w:cs="Arial"/>
                <w:snapToGrid w:val="0"/>
              </w:rPr>
            </w:pPr>
            <w:r w:rsidRPr="005F6F1D">
              <w:rPr>
                <w:rFonts w:ascii="Arial" w:eastAsia="Calibri" w:hAnsi="Arial" w:cs="Arial"/>
                <w:snapToGrid w:val="0"/>
              </w:rPr>
              <w:t>A letter to both parties needs to be sent out within 21 days of receiving the Order to explain the Order cannot be implemented and request the missing information and/or charges.</w:t>
            </w:r>
          </w:p>
        </w:tc>
        <w:tc>
          <w:tcPr>
            <w:tcW w:w="2012" w:type="dxa"/>
            <w:tcBorders>
              <w:top w:val="single" w:sz="4" w:space="0" w:color="auto"/>
              <w:left w:val="single" w:sz="4" w:space="0" w:color="auto"/>
              <w:bottom w:val="single" w:sz="4" w:space="0" w:color="auto"/>
              <w:right w:val="single" w:sz="4" w:space="0" w:color="auto"/>
            </w:tcBorders>
          </w:tcPr>
          <w:p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rsidTr="009A5F55">
        <w:trPr>
          <w:trHeight w:val="1305"/>
        </w:trPr>
        <w:tc>
          <w:tcPr>
            <w:tcW w:w="3544" w:type="dxa"/>
            <w:tcBorders>
              <w:top w:val="single" w:sz="4" w:space="0" w:color="auto"/>
              <w:left w:val="single" w:sz="4" w:space="0" w:color="auto"/>
              <w:bottom w:val="single" w:sz="4" w:space="0" w:color="auto"/>
              <w:right w:val="single" w:sz="4" w:space="0" w:color="auto"/>
            </w:tcBorders>
          </w:tcPr>
          <w:p w:rsidR="005F6F1D" w:rsidRPr="005F6F1D" w:rsidRDefault="005F6F1D" w:rsidP="005F6F1D">
            <w:pPr>
              <w:rPr>
                <w:rFonts w:ascii="Arial" w:eastAsia="Calibri" w:hAnsi="Arial" w:cs="Arial"/>
                <w:bCs/>
                <w:snapToGrid w:val="0"/>
              </w:rPr>
            </w:pPr>
            <w:r w:rsidRPr="005F6F1D">
              <w:rPr>
                <w:rFonts w:ascii="Arial" w:eastAsia="Calibri" w:hAnsi="Arial" w:cs="Arial"/>
                <w:bCs/>
                <w:snapToGrid w:val="0"/>
              </w:rPr>
              <w:t>Pension Sharing Order received including all relevant information* and charges.</w:t>
            </w:r>
          </w:p>
          <w:p w:rsidR="005F6F1D" w:rsidRPr="005F6F1D" w:rsidRDefault="005F6F1D" w:rsidP="005F6F1D">
            <w:pPr>
              <w:rPr>
                <w:rFonts w:ascii="Arial" w:eastAsia="Calibri" w:hAnsi="Arial" w:cs="Arial"/>
                <w:bCs/>
                <w:snapToGrid w:val="0"/>
              </w:rPr>
            </w:pPr>
          </w:p>
          <w:p w:rsidR="005F6F1D" w:rsidRPr="005F6F1D" w:rsidRDefault="005F6F1D" w:rsidP="005F6F1D">
            <w:pPr>
              <w:rPr>
                <w:rFonts w:ascii="Arial" w:eastAsia="Calibri" w:hAnsi="Arial" w:cs="Arial"/>
                <w:bCs/>
                <w:i/>
                <w:snapToGrid w:val="0"/>
              </w:rPr>
            </w:pPr>
          </w:p>
        </w:tc>
        <w:tc>
          <w:tcPr>
            <w:tcW w:w="3686" w:type="dxa"/>
            <w:tcBorders>
              <w:top w:val="single" w:sz="4" w:space="0" w:color="auto"/>
              <w:left w:val="single" w:sz="4" w:space="0" w:color="auto"/>
              <w:bottom w:val="single" w:sz="4" w:space="0" w:color="auto"/>
              <w:right w:val="single" w:sz="4" w:space="0" w:color="auto"/>
            </w:tcBorders>
            <w:hideMark/>
          </w:tcPr>
          <w:p w:rsidR="005F6F1D" w:rsidRPr="005F6F1D" w:rsidRDefault="005F6F1D" w:rsidP="005F6F1D">
            <w:pPr>
              <w:rPr>
                <w:rFonts w:ascii="Arial" w:eastAsia="Calibri" w:hAnsi="Arial" w:cs="Arial"/>
                <w:snapToGrid w:val="0"/>
              </w:rPr>
            </w:pPr>
            <w:r w:rsidRPr="005F6F1D">
              <w:rPr>
                <w:rFonts w:ascii="Arial" w:eastAsia="Calibri" w:hAnsi="Arial" w:cs="Arial"/>
                <w:snapToGrid w:val="0"/>
              </w:rPr>
              <w:t>A letter** must be sent to both parties within 21 days of the start of the implementation period notifying them of the deadline.</w:t>
            </w:r>
          </w:p>
        </w:tc>
        <w:tc>
          <w:tcPr>
            <w:tcW w:w="2012" w:type="dxa"/>
            <w:tcBorders>
              <w:top w:val="single" w:sz="4" w:space="0" w:color="auto"/>
              <w:left w:val="single" w:sz="4" w:space="0" w:color="auto"/>
              <w:bottom w:val="single" w:sz="4" w:space="0" w:color="auto"/>
              <w:right w:val="single" w:sz="4" w:space="0" w:color="auto"/>
            </w:tcBorders>
          </w:tcPr>
          <w:p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rsidTr="009A5F55">
        <w:trPr>
          <w:trHeight w:val="1468"/>
        </w:trPr>
        <w:tc>
          <w:tcPr>
            <w:tcW w:w="3544" w:type="dxa"/>
            <w:tcBorders>
              <w:top w:val="single" w:sz="4" w:space="0" w:color="auto"/>
              <w:left w:val="single" w:sz="4" w:space="0" w:color="auto"/>
              <w:bottom w:val="single" w:sz="4" w:space="0" w:color="auto"/>
              <w:right w:val="single" w:sz="4" w:space="0" w:color="auto"/>
            </w:tcBorders>
            <w:hideMark/>
          </w:tcPr>
          <w:p w:rsidR="005F6F1D" w:rsidRPr="005F6F1D" w:rsidRDefault="005F6F1D" w:rsidP="005F6F1D">
            <w:pPr>
              <w:rPr>
                <w:rFonts w:ascii="Arial" w:eastAsia="Calibri" w:hAnsi="Arial" w:cs="Arial"/>
                <w:bCs/>
                <w:snapToGrid w:val="0"/>
              </w:rPr>
            </w:pPr>
            <w:r w:rsidRPr="005F6F1D">
              <w:rPr>
                <w:rFonts w:ascii="Arial" w:eastAsia="Calibri" w:hAnsi="Arial" w:cs="Arial"/>
                <w:bCs/>
                <w:snapToGrid w:val="0"/>
              </w:rPr>
              <w:t>Pension Sharing Order Received including all relevant information and charges.</w:t>
            </w:r>
          </w:p>
        </w:tc>
        <w:tc>
          <w:tcPr>
            <w:tcW w:w="3686" w:type="dxa"/>
            <w:tcBorders>
              <w:top w:val="single" w:sz="4" w:space="0" w:color="auto"/>
              <w:left w:val="single" w:sz="4" w:space="0" w:color="auto"/>
              <w:bottom w:val="single" w:sz="4" w:space="0" w:color="auto"/>
              <w:right w:val="single" w:sz="4" w:space="0" w:color="auto"/>
            </w:tcBorders>
            <w:hideMark/>
          </w:tcPr>
          <w:p w:rsidR="005F6F1D" w:rsidRPr="005F6F1D" w:rsidRDefault="005F6F1D" w:rsidP="005F6F1D">
            <w:pPr>
              <w:rPr>
                <w:rFonts w:ascii="Arial" w:eastAsia="Calibri" w:hAnsi="Arial" w:cs="Arial"/>
                <w:snapToGrid w:val="0"/>
              </w:rPr>
            </w:pPr>
            <w:r w:rsidRPr="005F6F1D">
              <w:rPr>
                <w:rFonts w:ascii="Arial" w:eastAsia="Calibri" w:hAnsi="Arial" w:cs="Arial"/>
                <w:snapToGrid w:val="0"/>
              </w:rPr>
              <w:t>4 months to implement the Order of the date of receipt of the final information which allows calculation</w:t>
            </w:r>
          </w:p>
        </w:tc>
        <w:tc>
          <w:tcPr>
            <w:tcW w:w="2012" w:type="dxa"/>
            <w:tcBorders>
              <w:top w:val="single" w:sz="4" w:space="0" w:color="auto"/>
              <w:left w:val="single" w:sz="4" w:space="0" w:color="auto"/>
              <w:bottom w:val="single" w:sz="4" w:space="0" w:color="auto"/>
              <w:right w:val="single" w:sz="4" w:space="0" w:color="auto"/>
            </w:tcBorders>
          </w:tcPr>
          <w:p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rsidTr="009A5F55">
        <w:trPr>
          <w:trHeight w:val="1293"/>
        </w:trPr>
        <w:tc>
          <w:tcPr>
            <w:tcW w:w="3544" w:type="dxa"/>
            <w:tcBorders>
              <w:top w:val="single" w:sz="4" w:space="0" w:color="auto"/>
              <w:left w:val="single" w:sz="4" w:space="0" w:color="auto"/>
              <w:bottom w:val="single" w:sz="4" w:space="0" w:color="auto"/>
              <w:right w:val="single" w:sz="4" w:space="0" w:color="auto"/>
            </w:tcBorders>
          </w:tcPr>
          <w:p w:rsidR="005F6F1D" w:rsidRPr="005F6F1D" w:rsidRDefault="005F6F1D" w:rsidP="005F6F1D">
            <w:pPr>
              <w:rPr>
                <w:rFonts w:ascii="Arial" w:eastAsia="Calibri" w:hAnsi="Arial" w:cs="Arial"/>
                <w:bCs/>
                <w:snapToGrid w:val="0"/>
              </w:rPr>
            </w:pPr>
            <w:r w:rsidRPr="005F6F1D">
              <w:rPr>
                <w:rFonts w:ascii="Arial" w:eastAsia="Calibri" w:hAnsi="Arial" w:cs="Arial"/>
                <w:bCs/>
                <w:snapToGrid w:val="0"/>
              </w:rPr>
              <w:t>PSO has been implemented.</w:t>
            </w:r>
          </w:p>
          <w:p w:rsidR="005F6F1D" w:rsidRPr="005F6F1D" w:rsidRDefault="005F6F1D" w:rsidP="005F6F1D">
            <w:pPr>
              <w:jc w:val="center"/>
              <w:rPr>
                <w:rFonts w:ascii="Arial" w:eastAsia="Calibri" w:hAnsi="Arial" w:cs="Arial"/>
              </w:rPr>
            </w:pPr>
          </w:p>
        </w:tc>
        <w:tc>
          <w:tcPr>
            <w:tcW w:w="3686" w:type="dxa"/>
            <w:tcBorders>
              <w:top w:val="single" w:sz="4" w:space="0" w:color="auto"/>
              <w:left w:val="single" w:sz="4" w:space="0" w:color="auto"/>
              <w:bottom w:val="single" w:sz="4" w:space="0" w:color="auto"/>
              <w:right w:val="single" w:sz="4" w:space="0" w:color="auto"/>
            </w:tcBorders>
          </w:tcPr>
          <w:p w:rsidR="005F6F1D" w:rsidRPr="005F6F1D" w:rsidRDefault="005F6F1D" w:rsidP="005F6F1D">
            <w:pPr>
              <w:spacing w:before="160"/>
              <w:rPr>
                <w:rFonts w:ascii="Arial" w:eastAsia="Calibri" w:hAnsi="Arial" w:cs="Arial"/>
                <w:snapToGrid w:val="0"/>
              </w:rPr>
            </w:pPr>
            <w:r w:rsidRPr="005F6F1D">
              <w:rPr>
                <w:rFonts w:ascii="Arial" w:eastAsia="Calibri" w:hAnsi="Arial" w:cs="Arial"/>
                <w:snapToGrid w:val="0"/>
              </w:rPr>
              <w:t>A letter* must be sent to both parties within 21 days of implementing the PSO to notify both parties their entitlement.</w:t>
            </w:r>
          </w:p>
        </w:tc>
        <w:tc>
          <w:tcPr>
            <w:tcW w:w="2012" w:type="dxa"/>
            <w:tcBorders>
              <w:top w:val="single" w:sz="4" w:space="0" w:color="auto"/>
              <w:left w:val="single" w:sz="4" w:space="0" w:color="auto"/>
              <w:bottom w:val="single" w:sz="4" w:space="0" w:color="auto"/>
              <w:right w:val="single" w:sz="4" w:space="0" w:color="auto"/>
            </w:tcBorders>
          </w:tcPr>
          <w:p w:rsidR="005F6F1D" w:rsidRPr="005F6F1D" w:rsidRDefault="005F6F1D" w:rsidP="005F6F1D">
            <w:pPr>
              <w:spacing w:before="160"/>
              <w:jc w:val="center"/>
              <w:rPr>
                <w:rFonts w:ascii="Arial" w:eastAsia="Calibri" w:hAnsi="Arial" w:cs="Arial"/>
                <w:snapToGrid w:val="0"/>
              </w:rPr>
            </w:pPr>
            <w:r w:rsidRPr="005F6F1D">
              <w:rPr>
                <w:rFonts w:ascii="Arial" w:eastAsia="Calibri" w:hAnsi="Arial" w:cs="Arial"/>
                <w:snapToGrid w:val="0"/>
              </w:rPr>
              <w:t>0</w:t>
            </w:r>
          </w:p>
        </w:tc>
      </w:tr>
    </w:tbl>
    <w:p w:rsidR="005F6F1D" w:rsidRPr="005F6F1D" w:rsidRDefault="005F6F1D" w:rsidP="005F6F1D">
      <w:pPr>
        <w:spacing w:after="0"/>
        <w:rPr>
          <w:rFonts w:ascii="Arial" w:eastAsia="Calibri" w:hAnsi="Arial" w:cs="Arial"/>
          <w:b/>
          <w:color w:val="0070C0"/>
          <w:sz w:val="28"/>
          <w:szCs w:val="28"/>
        </w:rPr>
      </w:pPr>
      <w:r w:rsidRPr="005F6F1D">
        <w:rPr>
          <w:rFonts w:ascii="Arial" w:eastAsia="Calibri" w:hAnsi="Arial" w:cs="Arial"/>
          <w:b/>
          <w:color w:val="0070C0"/>
          <w:sz w:val="28"/>
          <w:szCs w:val="28"/>
        </w:rPr>
        <w:lastRenderedPageBreak/>
        <w:t>1</w:t>
      </w:r>
      <w:r w:rsidR="00731643">
        <w:rPr>
          <w:rFonts w:ascii="Arial" w:eastAsia="Calibri" w:hAnsi="Arial" w:cs="Arial"/>
          <w:b/>
          <w:color w:val="0070C0"/>
          <w:sz w:val="28"/>
          <w:szCs w:val="28"/>
        </w:rPr>
        <w:t>1</w:t>
      </w:r>
      <w:r w:rsidRPr="005F6F1D">
        <w:rPr>
          <w:rFonts w:ascii="Arial" w:eastAsia="Calibri" w:hAnsi="Arial" w:cs="Arial"/>
          <w:b/>
          <w:color w:val="0070C0"/>
          <w:sz w:val="28"/>
          <w:szCs w:val="28"/>
        </w:rPr>
        <w:t>. Calendar of Events</w:t>
      </w:r>
    </w:p>
    <w:p w:rsidR="005F6F1D" w:rsidRPr="005F6F1D" w:rsidRDefault="005F6F1D" w:rsidP="005F6F1D">
      <w:pPr>
        <w:spacing w:after="0"/>
        <w:rPr>
          <w:rFonts w:ascii="Arial" w:eastAsia="Calibri" w:hAnsi="Arial" w:cs="Arial"/>
          <w:color w:val="4A66AC"/>
          <w:sz w:val="56"/>
          <w:szCs w:val="56"/>
        </w:rPr>
      </w:pPr>
    </w:p>
    <w:tbl>
      <w:tblPr>
        <w:tblStyle w:val="TableGrid11"/>
        <w:tblW w:w="0" w:type="auto"/>
        <w:tblLook w:val="04A0" w:firstRow="1" w:lastRow="0" w:firstColumn="1" w:lastColumn="0" w:noHBand="0" w:noVBand="1"/>
      </w:tblPr>
      <w:tblGrid>
        <w:gridCol w:w="2356"/>
        <w:gridCol w:w="2095"/>
        <w:gridCol w:w="2296"/>
        <w:gridCol w:w="2269"/>
      </w:tblGrid>
      <w:tr w:rsidR="005F6F1D" w:rsidRPr="005F6F1D" w:rsidTr="009A5F55">
        <w:tc>
          <w:tcPr>
            <w:tcW w:w="3487" w:type="dxa"/>
            <w:shd w:val="clear" w:color="auto" w:fill="FBFED4"/>
          </w:tcPr>
          <w:p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January</w:t>
            </w:r>
          </w:p>
        </w:tc>
        <w:tc>
          <w:tcPr>
            <w:tcW w:w="3487" w:type="dxa"/>
            <w:shd w:val="clear" w:color="auto" w:fill="FBFED4"/>
          </w:tcPr>
          <w:p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February</w:t>
            </w:r>
          </w:p>
        </w:tc>
        <w:tc>
          <w:tcPr>
            <w:tcW w:w="3487" w:type="dxa"/>
            <w:shd w:val="clear" w:color="auto" w:fill="FBFED4"/>
          </w:tcPr>
          <w:p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March</w:t>
            </w:r>
          </w:p>
        </w:tc>
        <w:tc>
          <w:tcPr>
            <w:tcW w:w="3487" w:type="dxa"/>
            <w:shd w:val="clear" w:color="auto" w:fill="FBFED4"/>
          </w:tcPr>
          <w:p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April</w:t>
            </w:r>
          </w:p>
        </w:tc>
      </w:tr>
      <w:tr w:rsidR="005F6F1D" w:rsidRPr="005F6F1D" w:rsidTr="009A5F55">
        <w:trPr>
          <w:trHeight w:val="1756"/>
        </w:trPr>
        <w:tc>
          <w:tcPr>
            <w:tcW w:w="3487" w:type="dxa"/>
            <w:tcBorders>
              <w:bottom w:val="single" w:sz="4" w:space="0" w:color="auto"/>
            </w:tcBorders>
          </w:tcPr>
          <w:p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HMRC Event Reporting</w:t>
            </w:r>
          </w:p>
          <w:p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Payment of Unauthorised Lump Sum and Scheme Sanction Charge to HMRC</w:t>
            </w:r>
          </w:p>
        </w:tc>
        <w:tc>
          <w:tcPr>
            <w:tcW w:w="3487" w:type="dxa"/>
            <w:tcBorders>
              <w:bottom w:val="single" w:sz="4" w:space="0" w:color="auto"/>
            </w:tcBorders>
          </w:tcPr>
          <w:p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Review of DWP benefits for Injury cases</w:t>
            </w:r>
          </w:p>
          <w:p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GAD Data Collection Spreadsheet</w:t>
            </w:r>
          </w:p>
        </w:tc>
        <w:tc>
          <w:tcPr>
            <w:tcW w:w="3487" w:type="dxa"/>
            <w:tcBorders>
              <w:bottom w:val="single" w:sz="4" w:space="0" w:color="auto"/>
            </w:tcBorders>
          </w:tcPr>
          <w:p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tc>
        <w:tc>
          <w:tcPr>
            <w:tcW w:w="3487" w:type="dxa"/>
            <w:tcBorders>
              <w:bottom w:val="single" w:sz="4" w:space="0" w:color="auto"/>
            </w:tcBorders>
          </w:tcPr>
          <w:p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 xml:space="preserve">Apply Pensions Increase </w:t>
            </w:r>
          </w:p>
          <w:p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Apply Care Revaluation</w:t>
            </w:r>
          </w:p>
          <w:p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P60’s</w:t>
            </w:r>
          </w:p>
          <w:p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Pensioner Newsletter</w:t>
            </w:r>
          </w:p>
          <w:p w:rsidR="005F6F1D" w:rsidRPr="005F6F1D" w:rsidRDefault="005F6F1D" w:rsidP="005F6F1D">
            <w:pPr>
              <w:rPr>
                <w:rFonts w:ascii="Calibri" w:eastAsia="Calibri" w:hAnsi="Calibri" w:cs="Times New Roman"/>
                <w:sz w:val="24"/>
                <w:szCs w:val="24"/>
              </w:rPr>
            </w:pPr>
          </w:p>
        </w:tc>
      </w:tr>
      <w:tr w:rsidR="005F6F1D" w:rsidRPr="005F6F1D" w:rsidTr="009A5F55">
        <w:tc>
          <w:tcPr>
            <w:tcW w:w="3487" w:type="dxa"/>
            <w:shd w:val="clear" w:color="auto" w:fill="F8FAD8"/>
          </w:tcPr>
          <w:p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May</w:t>
            </w:r>
          </w:p>
        </w:tc>
        <w:tc>
          <w:tcPr>
            <w:tcW w:w="3487" w:type="dxa"/>
            <w:shd w:val="clear" w:color="auto" w:fill="F8FAD8"/>
          </w:tcPr>
          <w:p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June</w:t>
            </w:r>
          </w:p>
        </w:tc>
        <w:tc>
          <w:tcPr>
            <w:tcW w:w="3487" w:type="dxa"/>
            <w:shd w:val="clear" w:color="auto" w:fill="F8FAD8"/>
          </w:tcPr>
          <w:p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July</w:t>
            </w:r>
          </w:p>
        </w:tc>
        <w:tc>
          <w:tcPr>
            <w:tcW w:w="3487" w:type="dxa"/>
            <w:shd w:val="clear" w:color="auto" w:fill="F8FAD8"/>
          </w:tcPr>
          <w:p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August</w:t>
            </w:r>
          </w:p>
        </w:tc>
      </w:tr>
      <w:tr w:rsidR="005F6F1D" w:rsidRPr="005F6F1D" w:rsidTr="009A5F55">
        <w:trPr>
          <w:trHeight w:val="1699"/>
        </w:trPr>
        <w:tc>
          <w:tcPr>
            <w:tcW w:w="3487" w:type="dxa"/>
            <w:tcBorders>
              <w:bottom w:val="single" w:sz="4" w:space="0" w:color="auto"/>
            </w:tcBorders>
          </w:tcPr>
          <w:p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rsidR="005F6F1D" w:rsidRPr="005F6F1D" w:rsidRDefault="005F6F1D" w:rsidP="005F6F1D">
            <w:pPr>
              <w:rPr>
                <w:rFonts w:ascii="Calibri" w:eastAsia="Calibri" w:hAnsi="Calibri" w:cs="Times New Roman"/>
                <w:sz w:val="24"/>
                <w:szCs w:val="24"/>
              </w:rPr>
            </w:pPr>
          </w:p>
        </w:tc>
        <w:tc>
          <w:tcPr>
            <w:tcW w:w="3487" w:type="dxa"/>
            <w:tcBorders>
              <w:bottom w:val="single" w:sz="4" w:space="0" w:color="auto"/>
            </w:tcBorders>
          </w:tcPr>
          <w:p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Active Newsletter</w:t>
            </w:r>
          </w:p>
          <w:p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Deferred Annual Benefits Statements</w:t>
            </w:r>
          </w:p>
          <w:p w:rsidR="005F6F1D" w:rsidRPr="005F6F1D" w:rsidRDefault="005F6F1D" w:rsidP="005F6F1D">
            <w:pPr>
              <w:rPr>
                <w:rFonts w:ascii="Calibri" w:eastAsia="Calibri" w:hAnsi="Calibri" w:cs="Times New Roman"/>
                <w:sz w:val="24"/>
                <w:szCs w:val="24"/>
              </w:rPr>
            </w:pPr>
          </w:p>
        </w:tc>
        <w:tc>
          <w:tcPr>
            <w:tcW w:w="3487" w:type="dxa"/>
            <w:tcBorders>
              <w:bottom w:val="single" w:sz="4" w:space="0" w:color="auto"/>
            </w:tcBorders>
          </w:tcPr>
          <w:p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Deferred Annual Benefits Statements</w:t>
            </w:r>
          </w:p>
          <w:p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active Annual Benefits Statements</w:t>
            </w:r>
          </w:p>
          <w:p w:rsidR="005F6F1D" w:rsidRPr="005F6F1D" w:rsidRDefault="005F6F1D" w:rsidP="005F6F1D">
            <w:pPr>
              <w:rPr>
                <w:rFonts w:ascii="Calibri" w:eastAsia="Calibri" w:hAnsi="Calibri" w:cs="Times New Roman"/>
                <w:sz w:val="24"/>
                <w:szCs w:val="24"/>
              </w:rPr>
            </w:pPr>
          </w:p>
        </w:tc>
        <w:tc>
          <w:tcPr>
            <w:tcW w:w="3487" w:type="dxa"/>
            <w:tcBorders>
              <w:bottom w:val="single" w:sz="4" w:space="0" w:color="auto"/>
            </w:tcBorders>
          </w:tcPr>
          <w:p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active Annual Benefits Statements</w:t>
            </w:r>
          </w:p>
          <w:p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tc>
      </w:tr>
      <w:tr w:rsidR="005F6F1D" w:rsidRPr="005F6F1D" w:rsidTr="009A5F55">
        <w:tc>
          <w:tcPr>
            <w:tcW w:w="3487" w:type="dxa"/>
            <w:shd w:val="clear" w:color="auto" w:fill="FBFED4"/>
          </w:tcPr>
          <w:p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September</w:t>
            </w:r>
          </w:p>
        </w:tc>
        <w:tc>
          <w:tcPr>
            <w:tcW w:w="3487" w:type="dxa"/>
            <w:shd w:val="clear" w:color="auto" w:fill="FBFED4"/>
          </w:tcPr>
          <w:p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October</w:t>
            </w:r>
          </w:p>
        </w:tc>
        <w:tc>
          <w:tcPr>
            <w:tcW w:w="3487" w:type="dxa"/>
            <w:shd w:val="clear" w:color="auto" w:fill="FBFED4"/>
          </w:tcPr>
          <w:p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November</w:t>
            </w:r>
          </w:p>
        </w:tc>
        <w:tc>
          <w:tcPr>
            <w:tcW w:w="3487" w:type="dxa"/>
            <w:shd w:val="clear" w:color="auto" w:fill="FBFED4"/>
          </w:tcPr>
          <w:p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December</w:t>
            </w:r>
          </w:p>
        </w:tc>
      </w:tr>
      <w:tr w:rsidR="005F6F1D" w:rsidRPr="005F6F1D" w:rsidTr="009A5F55">
        <w:trPr>
          <w:trHeight w:val="1842"/>
        </w:trPr>
        <w:tc>
          <w:tcPr>
            <w:tcW w:w="3487" w:type="dxa"/>
          </w:tcPr>
          <w:p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Pension Estimates Assumption Exercise</w:t>
            </w:r>
          </w:p>
          <w:p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Pension Savings Statement</w:t>
            </w:r>
          </w:p>
        </w:tc>
        <w:tc>
          <w:tcPr>
            <w:tcW w:w="3487" w:type="dxa"/>
          </w:tcPr>
          <w:p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Participate in NFI</w:t>
            </w:r>
          </w:p>
          <w:p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tPR Scheme Returns</w:t>
            </w:r>
          </w:p>
        </w:tc>
        <w:tc>
          <w:tcPr>
            <w:tcW w:w="3487" w:type="dxa"/>
          </w:tcPr>
          <w:p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tPR Annual Survey</w:t>
            </w:r>
          </w:p>
          <w:p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tc>
        <w:tc>
          <w:tcPr>
            <w:tcW w:w="3487" w:type="dxa"/>
          </w:tcPr>
          <w:p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 xml:space="preserve">IAS19 Data capture exercise for Actuaries </w:t>
            </w:r>
          </w:p>
          <w:p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tc>
      </w:tr>
    </w:tbl>
    <w:p w:rsidR="005F6F1D" w:rsidRPr="005F6F1D" w:rsidRDefault="005F6F1D" w:rsidP="005F6F1D">
      <w:pPr>
        <w:spacing w:after="0"/>
        <w:jc w:val="center"/>
        <w:rPr>
          <w:rFonts w:ascii="Arial" w:eastAsia="Calibri" w:hAnsi="Arial" w:cs="Arial"/>
          <w:color w:val="4A66AC"/>
          <w:sz w:val="56"/>
          <w:szCs w:val="56"/>
        </w:rPr>
      </w:pPr>
      <w:r w:rsidRPr="005F6F1D">
        <w:rPr>
          <w:rFonts w:ascii="Arial" w:eastAsia="Calibri" w:hAnsi="Arial" w:cs="Arial"/>
          <w:color w:val="4A66AC"/>
          <w:sz w:val="56"/>
          <w:szCs w:val="56"/>
        </w:rPr>
        <w:tab/>
      </w:r>
      <w:r w:rsidRPr="005F6F1D">
        <w:rPr>
          <w:rFonts w:ascii="Arial" w:eastAsia="Calibri" w:hAnsi="Arial" w:cs="Arial"/>
          <w:color w:val="4A66AC"/>
          <w:sz w:val="56"/>
          <w:szCs w:val="56"/>
        </w:rPr>
        <w:tab/>
      </w:r>
      <w:r w:rsidRPr="005F6F1D">
        <w:rPr>
          <w:rFonts w:ascii="Arial" w:eastAsia="Calibri" w:hAnsi="Arial" w:cs="Arial"/>
          <w:color w:val="4A66AC"/>
          <w:sz w:val="56"/>
          <w:szCs w:val="56"/>
        </w:rPr>
        <w:tab/>
      </w:r>
    </w:p>
    <w:p w:rsidR="005F6F1D" w:rsidRDefault="005F6F1D" w:rsidP="006A52FA">
      <w:pPr>
        <w:jc w:val="both"/>
        <w:rPr>
          <w:rFonts w:ascii="Arial" w:eastAsia="Calibri" w:hAnsi="Arial" w:cs="Arial"/>
          <w:sz w:val="56"/>
          <w:szCs w:val="56"/>
        </w:rPr>
      </w:pPr>
    </w:p>
    <w:p w:rsidR="006A52FA" w:rsidRDefault="006A52FA" w:rsidP="006A52FA">
      <w:pPr>
        <w:jc w:val="both"/>
        <w:rPr>
          <w:rFonts w:ascii="Arial" w:eastAsia="Calibri" w:hAnsi="Arial" w:cs="Arial"/>
          <w:sz w:val="56"/>
          <w:szCs w:val="56"/>
        </w:rPr>
      </w:pPr>
    </w:p>
    <w:p w:rsidR="006A52FA" w:rsidRDefault="006A52FA" w:rsidP="006A52FA">
      <w:pPr>
        <w:jc w:val="both"/>
        <w:rPr>
          <w:rFonts w:ascii="Arial" w:eastAsia="Calibri" w:hAnsi="Arial" w:cs="Arial"/>
          <w:sz w:val="56"/>
          <w:szCs w:val="56"/>
        </w:rPr>
      </w:pPr>
    </w:p>
    <w:p w:rsidR="006A52FA" w:rsidRDefault="006A52FA" w:rsidP="006A52FA">
      <w:pPr>
        <w:jc w:val="both"/>
        <w:rPr>
          <w:rFonts w:ascii="Arial" w:eastAsia="Calibri" w:hAnsi="Arial" w:cs="Arial"/>
          <w:sz w:val="56"/>
          <w:szCs w:val="56"/>
        </w:rPr>
      </w:pPr>
    </w:p>
    <w:p w:rsidR="006A52FA" w:rsidRDefault="006A52FA" w:rsidP="006A52FA">
      <w:pPr>
        <w:jc w:val="both"/>
        <w:rPr>
          <w:rFonts w:ascii="Arial" w:eastAsia="Calibri" w:hAnsi="Arial" w:cs="Arial"/>
          <w:sz w:val="56"/>
          <w:szCs w:val="56"/>
        </w:rPr>
      </w:pPr>
    </w:p>
    <w:p w:rsidR="00D000EF" w:rsidRPr="00D000EF" w:rsidRDefault="00D000EF" w:rsidP="00D000EF">
      <w:pPr>
        <w:tabs>
          <w:tab w:val="right" w:leader="dot" w:pos="6804"/>
        </w:tabs>
        <w:spacing w:after="240"/>
        <w:ind w:left="851" w:hanging="851"/>
        <w:rPr>
          <w:rFonts w:ascii="Arial" w:eastAsia="Calibri" w:hAnsi="Arial" w:cs="Arial"/>
          <w:b/>
          <w:color w:val="0070C0"/>
          <w:sz w:val="28"/>
          <w:szCs w:val="28"/>
        </w:rPr>
      </w:pPr>
      <w:r w:rsidRPr="00D000EF">
        <w:rPr>
          <w:rFonts w:ascii="Arial" w:eastAsia="Calibri" w:hAnsi="Arial" w:cs="Arial"/>
          <w:b/>
          <w:color w:val="0070C0"/>
          <w:sz w:val="28"/>
          <w:szCs w:val="28"/>
        </w:rPr>
        <w:lastRenderedPageBreak/>
        <w:t>12. Regulations/Fire Scheme Update</w:t>
      </w:r>
    </w:p>
    <w:p w:rsidR="00D000EF" w:rsidRPr="00D000EF" w:rsidRDefault="00D000EF" w:rsidP="00D000EF">
      <w:pPr>
        <w:spacing w:after="0" w:line="240" w:lineRule="auto"/>
        <w:rPr>
          <w:rFonts w:ascii="Calibri" w:eastAsia="Calibri" w:hAnsi="Calibri" w:cs="Times New Roman"/>
        </w:rPr>
      </w:pPr>
      <w:r w:rsidRPr="00D000EF">
        <w:rPr>
          <w:rFonts w:ascii="Arial" w:eastAsia="Calibri" w:hAnsi="Arial" w:cs="Arial"/>
        </w:rPr>
        <w:t>Please take a few minutes to read the Firefighters’ Pension (England) Scheme Advisory Board Bulletin (Link to Bulletin below) and take any action required.</w:t>
      </w:r>
      <w:r w:rsidRPr="00D000EF">
        <w:rPr>
          <w:rFonts w:ascii="Arial" w:eastAsia="Calibri" w:hAnsi="Arial" w:cs="Arial"/>
          <w:b/>
        </w:rPr>
        <w:t xml:space="preserve"> </w:t>
      </w:r>
      <w:hyperlink r:id="rId40" w:history="1">
        <w:r w:rsidRPr="00D000EF">
          <w:rPr>
            <w:rFonts w:ascii="Calibri" w:eastAsia="Calibri" w:hAnsi="Calibri" w:cs="Times New Roman"/>
            <w:color w:val="0000FF"/>
            <w:u w:val="single"/>
          </w:rPr>
          <w:t>FPS Bulletin 65 - January 2023 (fpsregs.org)</w:t>
        </w:r>
      </w:hyperlink>
    </w:p>
    <w:p w:rsidR="00D000EF" w:rsidRPr="00D000EF" w:rsidRDefault="00D000EF" w:rsidP="00D000EF">
      <w:pPr>
        <w:spacing w:after="0" w:line="240" w:lineRule="auto"/>
        <w:rPr>
          <w:rFonts w:ascii="Arial" w:eastAsia="Calibri" w:hAnsi="Arial" w:cs="Arial"/>
          <w:b/>
          <w:color w:val="0070C0"/>
          <w:sz w:val="24"/>
          <w:szCs w:val="24"/>
        </w:rPr>
      </w:pPr>
    </w:p>
    <w:p w:rsidR="00D000EF" w:rsidRPr="00D000EF" w:rsidRDefault="00D000EF" w:rsidP="00D000EF">
      <w:pPr>
        <w:rPr>
          <w:rFonts w:ascii="Arial" w:eastAsia="Calibri" w:hAnsi="Arial" w:cs="Arial"/>
          <w:b/>
          <w:color w:val="0070C0"/>
          <w:sz w:val="24"/>
          <w:szCs w:val="24"/>
        </w:rPr>
      </w:pPr>
      <w:r w:rsidRPr="00D000EF">
        <w:rPr>
          <w:rFonts w:ascii="Arial" w:eastAsia="Calibri" w:hAnsi="Arial" w:cs="Arial"/>
          <w:b/>
          <w:color w:val="0070C0"/>
          <w:sz w:val="24"/>
          <w:szCs w:val="24"/>
        </w:rPr>
        <w:t>FPS</w:t>
      </w:r>
    </w:p>
    <w:p w:rsidR="00D000EF" w:rsidRPr="00D000EF" w:rsidRDefault="00D000EF" w:rsidP="00D000EF">
      <w:pPr>
        <w:rPr>
          <w:rFonts w:ascii="Arial" w:eastAsia="Calibri" w:hAnsi="Arial" w:cs="Arial"/>
          <w:b/>
        </w:rPr>
      </w:pPr>
      <w:r w:rsidRPr="00D000EF">
        <w:rPr>
          <w:rFonts w:ascii="Arial" w:eastAsia="Calibri" w:hAnsi="Arial" w:cs="Arial"/>
          <w:b/>
        </w:rPr>
        <w:t>Ill-health reassessment factsheet updated</w:t>
      </w:r>
    </w:p>
    <w:p w:rsidR="00D000EF" w:rsidRPr="00D000EF" w:rsidRDefault="00D000EF" w:rsidP="00D000EF">
      <w:pPr>
        <w:rPr>
          <w:rFonts w:ascii="Arial" w:eastAsia="Calibri" w:hAnsi="Arial" w:cs="Arial"/>
        </w:rPr>
      </w:pPr>
      <w:r w:rsidRPr="00D000EF">
        <w:rPr>
          <w:rFonts w:ascii="Arial" w:eastAsia="Calibri" w:hAnsi="Arial" w:cs="Arial"/>
        </w:rPr>
        <w:t xml:space="preserve"> In </w:t>
      </w:r>
      <w:hyperlink r:id="rId41" w:history="1">
        <w:r w:rsidRPr="00D000EF">
          <w:rPr>
            <w:rFonts w:ascii="Arial" w:eastAsia="Calibri" w:hAnsi="Arial" w:cs="Arial"/>
            <w:color w:val="0563C1"/>
            <w:u w:val="single"/>
          </w:rPr>
          <w:t>FPS Bulletin 63 – November 2022</w:t>
        </w:r>
      </w:hyperlink>
      <w:r w:rsidRPr="00D000EF">
        <w:rPr>
          <w:rFonts w:ascii="Arial" w:eastAsia="Calibri" w:hAnsi="Arial" w:cs="Arial"/>
        </w:rPr>
        <w:t xml:space="preserve">, we published an </w:t>
      </w:r>
      <w:hyperlink r:id="rId42" w:history="1">
        <w:r w:rsidRPr="00D000EF">
          <w:rPr>
            <w:rFonts w:ascii="Arial" w:eastAsia="Calibri" w:hAnsi="Arial" w:cs="Arial"/>
            <w:color w:val="0563C1"/>
            <w:u w:val="single"/>
          </w:rPr>
          <w:t xml:space="preserve">ill-health reassessment factsheet </w:t>
        </w:r>
      </w:hyperlink>
      <w:r w:rsidRPr="00D000EF">
        <w:rPr>
          <w:rFonts w:ascii="Arial" w:eastAsia="Calibri" w:hAnsi="Arial" w:cs="Arial"/>
        </w:rPr>
        <w:t xml:space="preserve"> to help FRAs determine which individuals require a reassessment of their ill-health determination as a result of remedy implementation. This has recently been updated to include FPS 2006 special members. We sought clarity from the Home Office to confirm that special members should be treated in line with FPS 1992 members due to them being assessed against a normal pension age of 55. </w:t>
      </w:r>
    </w:p>
    <w:p w:rsidR="00D000EF" w:rsidRPr="00D000EF" w:rsidRDefault="00D000EF" w:rsidP="00D000EF">
      <w:pPr>
        <w:rPr>
          <w:rFonts w:ascii="Arial" w:eastAsia="Calibri" w:hAnsi="Arial" w:cs="Arial"/>
          <w:b/>
        </w:rPr>
      </w:pPr>
      <w:r w:rsidRPr="00D000EF">
        <w:rPr>
          <w:rFonts w:ascii="Arial" w:eastAsia="Calibri" w:hAnsi="Arial" w:cs="Arial"/>
          <w:b/>
        </w:rPr>
        <w:t>Template member consent letters available</w:t>
      </w:r>
    </w:p>
    <w:p w:rsidR="00D000EF" w:rsidRPr="00D000EF" w:rsidRDefault="00D000EF" w:rsidP="00D000EF">
      <w:pPr>
        <w:rPr>
          <w:rFonts w:ascii="Arial" w:eastAsia="Calibri" w:hAnsi="Arial" w:cs="Arial"/>
        </w:rPr>
      </w:pPr>
      <w:r w:rsidRPr="00D000EF">
        <w:rPr>
          <w:rFonts w:ascii="Arial" w:eastAsia="Calibri" w:hAnsi="Arial" w:cs="Arial"/>
        </w:rPr>
        <w:t xml:space="preserve">Letters for scenarios one and two, seven, and nine as referred to in the </w:t>
      </w:r>
      <w:hyperlink r:id="rId43" w:history="1">
        <w:r w:rsidRPr="00D000EF">
          <w:rPr>
            <w:rFonts w:ascii="Arial" w:eastAsia="Calibri" w:hAnsi="Arial" w:cs="Arial"/>
            <w:color w:val="0563C1"/>
            <w:u w:val="single"/>
          </w:rPr>
          <w:t xml:space="preserve">ill-health reassessment factsheet </w:t>
        </w:r>
      </w:hyperlink>
      <w:r w:rsidRPr="00D000EF">
        <w:rPr>
          <w:rFonts w:ascii="Arial" w:eastAsia="Calibri" w:hAnsi="Arial" w:cs="Arial"/>
        </w:rPr>
        <w:t xml:space="preserve"> have now been added to the Retrospective remedy webpage. </w:t>
      </w:r>
    </w:p>
    <w:p w:rsidR="00D000EF" w:rsidRPr="00D000EF" w:rsidRDefault="00D000EF" w:rsidP="00D000EF">
      <w:pPr>
        <w:rPr>
          <w:rFonts w:ascii="Arial" w:eastAsia="Calibri" w:hAnsi="Arial" w:cs="Arial"/>
          <w:b/>
          <w:color w:val="FF0000"/>
          <w:sz w:val="24"/>
          <w:szCs w:val="24"/>
        </w:rPr>
      </w:pPr>
      <w:r w:rsidRPr="00D000EF">
        <w:rPr>
          <w:rFonts w:ascii="Arial" w:eastAsia="Calibri" w:hAnsi="Arial" w:cs="Arial"/>
          <w:b/>
          <w:color w:val="FF0000"/>
        </w:rPr>
        <w:t>ACTION for FRAs:</w:t>
      </w:r>
      <w:r w:rsidRPr="00D000EF">
        <w:rPr>
          <w:rFonts w:ascii="Arial" w:eastAsia="Calibri" w:hAnsi="Arial" w:cs="Arial"/>
          <w:color w:val="FF0000"/>
        </w:rPr>
        <w:t xml:space="preserve"> Identify affected members of the pension scheme who may need to be sent for an ill-health reassessment and arrange for the appropriate member consent letter to be sent to them.</w:t>
      </w:r>
    </w:p>
    <w:p w:rsidR="00D000EF" w:rsidRPr="00D000EF" w:rsidRDefault="00D000EF" w:rsidP="00D000EF">
      <w:pPr>
        <w:rPr>
          <w:rFonts w:ascii="Arial" w:eastAsia="Calibri" w:hAnsi="Arial" w:cs="Arial"/>
          <w:b/>
        </w:rPr>
      </w:pPr>
      <w:r w:rsidRPr="00D000EF">
        <w:rPr>
          <w:rFonts w:ascii="Arial" w:eastAsia="Calibri" w:hAnsi="Arial" w:cs="Arial"/>
          <w:b/>
        </w:rPr>
        <w:t xml:space="preserve">Potential Industrial Action </w:t>
      </w:r>
    </w:p>
    <w:p w:rsidR="00D000EF" w:rsidRPr="00D000EF" w:rsidRDefault="00D000EF" w:rsidP="00D000EF">
      <w:pPr>
        <w:rPr>
          <w:rFonts w:ascii="Arial" w:eastAsia="Calibri" w:hAnsi="Arial" w:cs="Arial"/>
        </w:rPr>
      </w:pPr>
      <w:r w:rsidRPr="00D000EF">
        <w:rPr>
          <w:rFonts w:ascii="Arial" w:eastAsia="Calibri" w:hAnsi="Arial" w:cs="Arial"/>
        </w:rPr>
        <w:t xml:space="preserve">In </w:t>
      </w:r>
      <w:hyperlink r:id="rId44" w:history="1">
        <w:r w:rsidRPr="00D000EF">
          <w:rPr>
            <w:rFonts w:ascii="Arial" w:eastAsia="Calibri" w:hAnsi="Arial" w:cs="Arial"/>
            <w:color w:val="0563C1"/>
            <w:u w:val="single"/>
          </w:rPr>
          <w:t>FPS Bulletin 61 - September 20221-September-2022.pdf</w:t>
        </w:r>
      </w:hyperlink>
      <w:r w:rsidRPr="00D000EF">
        <w:rPr>
          <w:rFonts w:ascii="Arial" w:eastAsia="Calibri" w:hAnsi="Arial" w:cs="Arial"/>
        </w:rPr>
        <w:t xml:space="preserve">, we provided information about how strike action affects a member’s pension benefits, how the amount that the member needs to repay is calculated, and the importance of continuing to record service breaks. </w:t>
      </w:r>
    </w:p>
    <w:p w:rsidR="00D000EF" w:rsidRPr="00D000EF" w:rsidRDefault="00D000EF" w:rsidP="00D000EF">
      <w:pPr>
        <w:rPr>
          <w:rFonts w:ascii="Arial" w:eastAsia="Calibri" w:hAnsi="Arial" w:cs="Arial"/>
          <w:b/>
          <w:color w:val="0070C0"/>
        </w:rPr>
      </w:pPr>
      <w:r w:rsidRPr="00D000EF">
        <w:rPr>
          <w:rFonts w:ascii="Arial" w:eastAsia="Calibri" w:hAnsi="Arial" w:cs="Arial"/>
        </w:rPr>
        <w:t>Please refer to the information given in that bulletin to help resolve any queries that you have regarding industrial action. The LGA is planning to provide sample communications for FRAs if industrial action goes ahead, and members wish to repay the missing period of service.</w:t>
      </w:r>
    </w:p>
    <w:p w:rsidR="00D000EF" w:rsidRPr="00D000EF" w:rsidRDefault="00D000EF" w:rsidP="00D000EF">
      <w:pPr>
        <w:rPr>
          <w:rFonts w:ascii="Arial" w:eastAsia="Calibri" w:hAnsi="Arial" w:cs="Arial"/>
          <w:b/>
          <w:color w:val="0070C0"/>
        </w:rPr>
      </w:pPr>
      <w:r w:rsidRPr="00D000EF">
        <w:rPr>
          <w:rFonts w:ascii="Arial" w:eastAsia="Calibri" w:hAnsi="Arial" w:cs="Arial"/>
          <w:b/>
          <w:color w:val="0070C0"/>
        </w:rPr>
        <w:t>SAB updates</w:t>
      </w:r>
    </w:p>
    <w:p w:rsidR="00D000EF" w:rsidRPr="00D000EF" w:rsidRDefault="00D000EF" w:rsidP="00D000EF">
      <w:pPr>
        <w:rPr>
          <w:rFonts w:ascii="Arial" w:eastAsia="Calibri" w:hAnsi="Arial" w:cs="Arial"/>
          <w:b/>
        </w:rPr>
      </w:pPr>
      <w:r w:rsidRPr="00D000EF">
        <w:rPr>
          <w:rFonts w:ascii="Arial" w:eastAsia="Calibri" w:hAnsi="Arial" w:cs="Arial"/>
          <w:b/>
        </w:rPr>
        <w:t>Barnett Waddingham Case Study on FPS Remedy 2015 – Your Questions Answered Member Communications</w:t>
      </w:r>
    </w:p>
    <w:p w:rsidR="00D000EF" w:rsidRPr="00D000EF" w:rsidRDefault="00D000EF" w:rsidP="00D000EF">
      <w:pPr>
        <w:rPr>
          <w:rFonts w:ascii="Arial" w:eastAsia="Calibri" w:hAnsi="Arial" w:cs="Arial"/>
        </w:rPr>
      </w:pPr>
      <w:r w:rsidRPr="00D000EF">
        <w:rPr>
          <w:rFonts w:ascii="Arial" w:eastAsia="Calibri" w:hAnsi="Arial" w:cs="Arial"/>
        </w:rPr>
        <w:t xml:space="preserve"> In </w:t>
      </w:r>
      <w:hyperlink r:id="rId45" w:history="1">
        <w:r w:rsidRPr="00D000EF">
          <w:rPr>
            <w:rFonts w:ascii="Arial" w:eastAsia="Calibri" w:hAnsi="Arial" w:cs="Arial"/>
            <w:color w:val="0563C1"/>
            <w:u w:val="single"/>
          </w:rPr>
          <w:t>FPS bulletin 54 - February 2022</w:t>
        </w:r>
      </w:hyperlink>
      <w:r w:rsidRPr="00D000EF">
        <w:rPr>
          <w:rFonts w:ascii="Arial" w:eastAsia="Calibri" w:hAnsi="Arial" w:cs="Arial"/>
        </w:rPr>
        <w:t xml:space="preserve">, we advised that following the Scheme Advisory Board (SAB) meeting of </w:t>
      </w:r>
      <w:hyperlink r:id="rId46" w:history="1">
        <w:r w:rsidRPr="00D000EF">
          <w:rPr>
            <w:rFonts w:ascii="Arial" w:eastAsia="Calibri" w:hAnsi="Arial" w:cs="Arial"/>
            <w:color w:val="0563C1"/>
            <w:u w:val="single"/>
          </w:rPr>
          <w:t xml:space="preserve">30 September 2021 </w:t>
        </w:r>
      </w:hyperlink>
      <w:r w:rsidRPr="00D000EF">
        <w:rPr>
          <w:rFonts w:ascii="Arial" w:eastAsia="Calibri" w:hAnsi="Arial" w:cs="Arial"/>
        </w:rPr>
        <w:t xml:space="preserve"> an action was taken to commission a suite of illustrative member scenarios to provide members with a better understanding of the implications of the McCloud/ Sargeant remedy on their benefits. This included a selection of members’ personas across the schemes, with benefits illustrated at a range of key retirement milestones. </w:t>
      </w:r>
    </w:p>
    <w:p w:rsidR="00D000EF" w:rsidRPr="00D000EF" w:rsidRDefault="00D000EF" w:rsidP="00D000EF">
      <w:pPr>
        <w:rPr>
          <w:rFonts w:ascii="Arial" w:eastAsia="Calibri" w:hAnsi="Arial" w:cs="Arial"/>
        </w:rPr>
      </w:pPr>
      <w:r w:rsidRPr="00D000EF">
        <w:rPr>
          <w:rFonts w:ascii="Arial" w:eastAsia="Calibri" w:hAnsi="Arial" w:cs="Arial"/>
        </w:rPr>
        <w:t xml:space="preserve">Barnett Waddingham was appointed to deliver this work following a successful procurement exercise and as part of the project, warm-up communications were produced to answer some key concerns or recurring questions that members have about the changes which took place on 1 April 2022 and beyond. </w:t>
      </w:r>
    </w:p>
    <w:p w:rsidR="00D000EF" w:rsidRPr="00D000EF" w:rsidRDefault="00D000EF" w:rsidP="00D000EF">
      <w:pPr>
        <w:rPr>
          <w:rFonts w:ascii="Arial" w:eastAsia="Calibri" w:hAnsi="Arial" w:cs="Arial"/>
        </w:rPr>
      </w:pPr>
      <w:r w:rsidRPr="00D000EF">
        <w:rPr>
          <w:rFonts w:ascii="Arial" w:eastAsia="Calibri" w:hAnsi="Arial" w:cs="Arial"/>
        </w:rPr>
        <w:t xml:space="preserve">The </w:t>
      </w:r>
      <w:hyperlink r:id="rId47" w:history="1">
        <w:r w:rsidRPr="00D000EF">
          <w:rPr>
            <w:rFonts w:ascii="Arial" w:eastAsia="Calibri" w:hAnsi="Arial" w:cs="Arial"/>
            <w:color w:val="0563C1"/>
            <w:u w:val="single"/>
          </w:rPr>
          <w:t xml:space="preserve">FPS 2015 Remedy ‘fact checker’ </w:t>
        </w:r>
      </w:hyperlink>
      <w:r w:rsidRPr="00D000EF">
        <w:rPr>
          <w:rFonts w:ascii="Arial" w:eastAsia="Calibri" w:hAnsi="Arial" w:cs="Arial"/>
        </w:rPr>
        <w:t xml:space="preserve"> was developed by Barnett Waddingham, in collaboration with the SAB the Board secretariat, and the Scheme Management &amp; Administration committee. </w:t>
      </w:r>
    </w:p>
    <w:p w:rsidR="00D000EF" w:rsidRPr="00D000EF" w:rsidRDefault="00D000EF" w:rsidP="00D000EF">
      <w:pPr>
        <w:rPr>
          <w:rFonts w:ascii="Arial" w:eastAsia="Calibri" w:hAnsi="Arial" w:cs="Arial"/>
          <w:b/>
          <w:color w:val="0070C0"/>
        </w:rPr>
      </w:pPr>
      <w:r w:rsidRPr="00D000EF">
        <w:rPr>
          <w:rFonts w:ascii="Arial" w:eastAsia="Calibri" w:hAnsi="Arial" w:cs="Arial"/>
        </w:rPr>
        <w:lastRenderedPageBreak/>
        <w:t xml:space="preserve">The document text was added as a new page to the </w:t>
      </w:r>
      <w:hyperlink r:id="rId48" w:history="1">
        <w:r w:rsidRPr="00D000EF">
          <w:rPr>
            <w:rFonts w:ascii="Arial" w:eastAsia="Calibri" w:hAnsi="Arial" w:cs="Arial"/>
            <w:color w:val="0563C1"/>
            <w:u w:val="single"/>
          </w:rPr>
          <w:t>FPS Member 2015 Remedy section</w:t>
        </w:r>
      </w:hyperlink>
      <w:r w:rsidRPr="00D000EF">
        <w:rPr>
          <w:rFonts w:ascii="Arial" w:eastAsia="Calibri" w:hAnsi="Arial" w:cs="Arial"/>
        </w:rPr>
        <w:t xml:space="preserve">, with the PDF available as a download. Barnett Waddingham has since produced a case study about working with the scheme to provide this information for members on the remedy changes and this can be read at </w:t>
      </w:r>
      <w:hyperlink r:id="rId49" w:history="1">
        <w:r w:rsidRPr="00D000EF">
          <w:rPr>
            <w:rFonts w:ascii="Arial" w:eastAsia="Calibri" w:hAnsi="Arial" w:cs="Arial"/>
            <w:color w:val="0563C1"/>
            <w:u w:val="single"/>
          </w:rPr>
          <w:t>Appendix 1</w:t>
        </w:r>
      </w:hyperlink>
      <w:r w:rsidRPr="00D000EF">
        <w:rPr>
          <w:rFonts w:ascii="Arial" w:eastAsia="Calibri" w:hAnsi="Arial" w:cs="Arial"/>
        </w:rPr>
        <w:t>.</w:t>
      </w:r>
    </w:p>
    <w:p w:rsidR="00D000EF" w:rsidRPr="00D000EF" w:rsidRDefault="00D000EF" w:rsidP="00D000EF">
      <w:pPr>
        <w:rPr>
          <w:rFonts w:ascii="Arial" w:eastAsia="Calibri" w:hAnsi="Arial" w:cs="Arial"/>
          <w:b/>
          <w:color w:val="0070C0"/>
        </w:rPr>
      </w:pPr>
      <w:r w:rsidRPr="00D000EF">
        <w:rPr>
          <w:rFonts w:ascii="Arial" w:eastAsia="Calibri" w:hAnsi="Arial" w:cs="Arial"/>
          <w:b/>
          <w:color w:val="0070C0"/>
        </w:rPr>
        <w:t xml:space="preserve">New webpage created – Retrospective remedy </w:t>
      </w:r>
    </w:p>
    <w:p w:rsidR="00D000EF" w:rsidRPr="00D000EF" w:rsidRDefault="00D000EF" w:rsidP="00D000EF">
      <w:pPr>
        <w:rPr>
          <w:rFonts w:ascii="Arial" w:eastAsia="Calibri" w:hAnsi="Arial" w:cs="Arial"/>
        </w:rPr>
      </w:pPr>
      <w:r w:rsidRPr="00D000EF">
        <w:rPr>
          <w:rFonts w:ascii="Arial" w:eastAsia="Calibri" w:hAnsi="Arial" w:cs="Arial"/>
        </w:rPr>
        <w:t xml:space="preserve">We are pleased to advise that a </w:t>
      </w:r>
      <w:hyperlink r:id="rId50" w:history="1">
        <w:r w:rsidRPr="00D000EF">
          <w:rPr>
            <w:rFonts w:ascii="Arial" w:eastAsia="Calibri" w:hAnsi="Arial" w:cs="Arial"/>
            <w:color w:val="0563C1"/>
            <w:u w:val="single"/>
          </w:rPr>
          <w:t xml:space="preserve">new webpage for retrospective remedy </w:t>
        </w:r>
      </w:hyperlink>
      <w:r w:rsidRPr="00D000EF">
        <w:rPr>
          <w:rFonts w:ascii="Arial" w:eastAsia="Calibri" w:hAnsi="Arial" w:cs="Arial"/>
        </w:rPr>
        <w:t xml:space="preserve"> has been created on the FPS Regulations and Guidance website. This page contains useful information and documents about the retrospective remedy which comes into force on 1 October 2023. </w:t>
      </w:r>
    </w:p>
    <w:p w:rsidR="00D000EF" w:rsidRPr="00D000EF" w:rsidRDefault="00D000EF" w:rsidP="00D000EF">
      <w:pPr>
        <w:rPr>
          <w:rFonts w:ascii="Arial" w:eastAsia="Calibri" w:hAnsi="Arial" w:cs="Arial"/>
        </w:rPr>
      </w:pPr>
      <w:r w:rsidRPr="00D000EF">
        <w:rPr>
          <w:rFonts w:ascii="Arial" w:eastAsia="Calibri" w:hAnsi="Arial" w:cs="Arial"/>
        </w:rPr>
        <w:t>Current documents available include the age discrimination remedy eligibility factsheet, the originally out of scope-now in scope member letter, the originally out of scope-still out of scope member letter, and the age discrimination remedy ill health re-assessment factsheet.</w:t>
      </w:r>
    </w:p>
    <w:p w:rsidR="00D000EF" w:rsidRPr="00D000EF" w:rsidRDefault="00D000EF" w:rsidP="00D000EF">
      <w:pPr>
        <w:rPr>
          <w:rFonts w:ascii="Arial" w:eastAsia="Calibri" w:hAnsi="Arial" w:cs="Arial"/>
          <w:b/>
          <w:color w:val="0070C0"/>
        </w:rPr>
      </w:pPr>
      <w:r w:rsidRPr="00D000EF">
        <w:rPr>
          <w:rFonts w:ascii="Arial" w:eastAsia="Calibri" w:hAnsi="Arial" w:cs="Arial"/>
          <w:b/>
          <w:color w:val="0070C0"/>
        </w:rPr>
        <w:t xml:space="preserve">Consolidated Regulation 65 </w:t>
      </w:r>
    </w:p>
    <w:p w:rsidR="00D000EF" w:rsidRPr="00D000EF" w:rsidRDefault="00D000EF" w:rsidP="00D000EF">
      <w:pPr>
        <w:rPr>
          <w:rFonts w:ascii="Arial" w:eastAsia="Calibri" w:hAnsi="Arial" w:cs="Arial"/>
        </w:rPr>
      </w:pPr>
      <w:r w:rsidRPr="00D000EF">
        <w:rPr>
          <w:rFonts w:ascii="Arial" w:eastAsia="Calibri" w:hAnsi="Arial" w:cs="Arial"/>
        </w:rPr>
        <w:t xml:space="preserve">As advised in </w:t>
      </w:r>
      <w:hyperlink r:id="rId51" w:history="1">
        <w:r w:rsidRPr="00D000EF">
          <w:rPr>
            <w:rFonts w:ascii="Arial" w:eastAsia="Calibri" w:hAnsi="Arial" w:cs="Arial"/>
            <w:color w:val="0563C1"/>
            <w:u w:val="single"/>
          </w:rPr>
          <w:t>FPS Bulletin 57 - May 2022</w:t>
        </w:r>
      </w:hyperlink>
      <w:r w:rsidRPr="00D000EF">
        <w:rPr>
          <w:rFonts w:ascii="Arial" w:eastAsia="Calibri" w:hAnsi="Arial" w:cs="Arial"/>
        </w:rPr>
        <w:t xml:space="preserve">, changes have been made to the reformed scheme rules. </w:t>
      </w:r>
      <w:hyperlink r:id="rId52" w:history="1">
        <w:r w:rsidRPr="00D000EF">
          <w:rPr>
            <w:rFonts w:ascii="Arial" w:eastAsia="Calibri" w:hAnsi="Arial" w:cs="Arial"/>
            <w:color w:val="0563C1"/>
            <w:u w:val="single"/>
          </w:rPr>
          <w:t xml:space="preserve">Regulations 65(2A) and (2B) </w:t>
        </w:r>
      </w:hyperlink>
      <w:r w:rsidRPr="00D000EF">
        <w:rPr>
          <w:rFonts w:ascii="Arial" w:eastAsia="Calibri" w:hAnsi="Arial" w:cs="Arial"/>
        </w:rPr>
        <w:t xml:space="preserve"> have been inserted into the FPS 2015 regulations with effect from 1 April 2022 to ensure that a protected member who applied for IHR before 31 March 2022, where the application is determined in their favour after that date, is treated no less favourably than if the application had been determined on that date. </w:t>
      </w:r>
    </w:p>
    <w:p w:rsidR="00D000EF" w:rsidRPr="00D000EF" w:rsidRDefault="00D000EF" w:rsidP="00D000EF">
      <w:pPr>
        <w:rPr>
          <w:rFonts w:ascii="Arial" w:eastAsia="Calibri" w:hAnsi="Arial" w:cs="Arial"/>
        </w:rPr>
      </w:pPr>
      <w:r w:rsidRPr="00D000EF">
        <w:rPr>
          <w:rFonts w:ascii="Arial" w:eastAsia="Calibri" w:hAnsi="Arial" w:cs="Arial"/>
        </w:rPr>
        <w:t xml:space="preserve">This means that for members where the ill-health assessment process began on or before 31 March 2022, the member is assessed for ill-health retirement against an NPA of 55. This will mean that there should be no cases where an affected member would have qualified for ill-health retirement under the legacy 1992 scheme but does not qualify under the reformed scheme. </w:t>
      </w:r>
    </w:p>
    <w:p w:rsidR="00D000EF" w:rsidRPr="00D000EF" w:rsidRDefault="00D000EF" w:rsidP="00D000EF">
      <w:pPr>
        <w:rPr>
          <w:rFonts w:ascii="Arial" w:eastAsia="Calibri" w:hAnsi="Arial" w:cs="Arial"/>
        </w:rPr>
      </w:pPr>
      <w:r w:rsidRPr="00D000EF">
        <w:rPr>
          <w:rFonts w:ascii="Arial" w:eastAsia="Calibri" w:hAnsi="Arial" w:cs="Arial"/>
        </w:rPr>
        <w:t xml:space="preserve">The members benefit entitlement should be calculated in the same manner as set out in the FPS 2015 regulations. </w:t>
      </w:r>
    </w:p>
    <w:p w:rsidR="00D000EF" w:rsidRPr="00D000EF" w:rsidRDefault="00D000EF" w:rsidP="00D000EF">
      <w:pPr>
        <w:rPr>
          <w:rFonts w:ascii="Arial" w:eastAsia="Calibri" w:hAnsi="Arial" w:cs="Arial"/>
        </w:rPr>
      </w:pPr>
      <w:r w:rsidRPr="00D000EF">
        <w:rPr>
          <w:rFonts w:ascii="Arial" w:eastAsia="Calibri" w:hAnsi="Arial" w:cs="Arial"/>
        </w:rPr>
        <w:t xml:space="preserve">The amendment to regulation 65 has been added to the </w:t>
      </w:r>
      <w:hyperlink r:id="rId53" w:history="1">
        <w:r w:rsidRPr="00D000EF">
          <w:rPr>
            <w:rFonts w:ascii="Arial" w:eastAsia="Calibri" w:hAnsi="Arial" w:cs="Arial"/>
            <w:color w:val="0563C1"/>
            <w:u w:val="single"/>
          </w:rPr>
          <w:t>consolidated regulations page</w:t>
        </w:r>
      </w:hyperlink>
      <w:r w:rsidRPr="00D000EF">
        <w:rPr>
          <w:rFonts w:ascii="Arial" w:eastAsia="Calibri" w:hAnsi="Arial" w:cs="Arial"/>
        </w:rPr>
        <w:t xml:space="preserve"> of the FPS Regulations and Guidance website.</w:t>
      </w:r>
    </w:p>
    <w:p w:rsidR="00D000EF" w:rsidRPr="00D000EF" w:rsidRDefault="00D000EF" w:rsidP="00D000EF">
      <w:pPr>
        <w:rPr>
          <w:rFonts w:ascii="Calibri" w:eastAsia="Calibri" w:hAnsi="Calibri" w:cs="Times New Roman"/>
        </w:rPr>
      </w:pPr>
      <w:r w:rsidRPr="00D000EF">
        <w:rPr>
          <w:rFonts w:ascii="Arial" w:eastAsia="Calibri" w:hAnsi="Arial" w:cs="Arial"/>
          <w:b/>
          <w:color w:val="0070C0"/>
          <w:sz w:val="24"/>
          <w:szCs w:val="24"/>
        </w:rPr>
        <w:t>Other News and Up</w:t>
      </w:r>
      <w:r w:rsidRPr="00D000EF">
        <w:rPr>
          <w:rFonts w:ascii="Calibri" w:eastAsia="Calibri" w:hAnsi="Calibri" w:cs="Times New Roman"/>
        </w:rPr>
        <w:t xml:space="preserve"> </w:t>
      </w:r>
      <w:r w:rsidRPr="00D000EF">
        <w:rPr>
          <w:rFonts w:ascii="Arial" w:eastAsia="Calibri" w:hAnsi="Arial" w:cs="Arial"/>
          <w:b/>
          <w:color w:val="0070C0"/>
          <w:sz w:val="24"/>
          <w:szCs w:val="24"/>
        </w:rPr>
        <w:t>dates</w:t>
      </w:r>
    </w:p>
    <w:p w:rsidR="00D000EF" w:rsidRPr="00D000EF" w:rsidRDefault="00D000EF" w:rsidP="00D000EF">
      <w:pPr>
        <w:rPr>
          <w:rFonts w:ascii="Arial" w:eastAsia="Calibri" w:hAnsi="Arial" w:cs="Arial"/>
          <w:b/>
        </w:rPr>
      </w:pPr>
      <w:r w:rsidRPr="00D000EF">
        <w:rPr>
          <w:rFonts w:ascii="Arial" w:eastAsia="Calibri" w:hAnsi="Arial" w:cs="Arial"/>
          <w:b/>
        </w:rPr>
        <w:t xml:space="preserve">PDP publishes consumer protection video </w:t>
      </w:r>
    </w:p>
    <w:p w:rsidR="00D000EF" w:rsidRPr="00D000EF" w:rsidRDefault="00D000EF" w:rsidP="00D000EF">
      <w:pPr>
        <w:rPr>
          <w:rFonts w:ascii="Arial" w:eastAsia="Calibri" w:hAnsi="Arial" w:cs="Arial"/>
        </w:rPr>
      </w:pPr>
      <w:r w:rsidRPr="00D000EF">
        <w:rPr>
          <w:rFonts w:ascii="Arial" w:eastAsia="Calibri" w:hAnsi="Arial" w:cs="Arial"/>
        </w:rPr>
        <w:t xml:space="preserve">The Pensions Dashboards Programme (PDP) has recently published an </w:t>
      </w:r>
      <w:hyperlink r:id="rId54" w:history="1">
        <w:r w:rsidRPr="00D000EF">
          <w:rPr>
            <w:rFonts w:ascii="Arial" w:eastAsia="Calibri" w:hAnsi="Arial" w:cs="Arial"/>
            <w:color w:val="0563C1"/>
            <w:u w:val="single"/>
          </w:rPr>
          <w:t>explainer video on consumer protection</w:t>
        </w:r>
      </w:hyperlink>
      <w:r w:rsidRPr="00D000EF">
        <w:rPr>
          <w:rFonts w:ascii="Arial" w:eastAsia="Calibri" w:hAnsi="Arial" w:cs="Arial"/>
        </w:rPr>
        <w:t xml:space="preserve"> explainer video on consumer protection. </w:t>
      </w:r>
    </w:p>
    <w:p w:rsidR="00D000EF" w:rsidRPr="00D000EF" w:rsidRDefault="00D000EF" w:rsidP="00D000EF">
      <w:pPr>
        <w:rPr>
          <w:rFonts w:ascii="Arial" w:eastAsia="Calibri" w:hAnsi="Arial" w:cs="Arial"/>
        </w:rPr>
      </w:pPr>
      <w:r w:rsidRPr="00D000EF">
        <w:rPr>
          <w:rFonts w:ascii="Arial" w:eastAsia="Calibri" w:hAnsi="Arial" w:cs="Arial"/>
        </w:rPr>
        <w:t xml:space="preserve">The video explains what protections will be in place to ensure dashboards are safe and secure. </w:t>
      </w:r>
    </w:p>
    <w:p w:rsidR="00D000EF" w:rsidRPr="00D000EF" w:rsidRDefault="00D000EF" w:rsidP="00D000EF">
      <w:pPr>
        <w:rPr>
          <w:rFonts w:ascii="Arial" w:eastAsia="Calibri" w:hAnsi="Arial" w:cs="Arial"/>
        </w:rPr>
      </w:pPr>
      <w:r w:rsidRPr="00D000EF">
        <w:rPr>
          <w:rFonts w:ascii="Arial" w:eastAsia="Calibri" w:hAnsi="Arial" w:cs="Arial"/>
        </w:rPr>
        <w:t xml:space="preserve">Please see </w:t>
      </w:r>
      <w:hyperlink r:id="rId55" w:history="1">
        <w:r w:rsidRPr="00D000EF">
          <w:rPr>
            <w:rFonts w:ascii="Arial" w:eastAsia="Calibri" w:hAnsi="Arial" w:cs="Arial"/>
            <w:color w:val="0563C1"/>
            <w:u w:val="single"/>
          </w:rPr>
          <w:t xml:space="preserve">the consumer protection page of PDP’s website </w:t>
        </w:r>
      </w:hyperlink>
      <w:r w:rsidRPr="00D000EF">
        <w:rPr>
          <w:rFonts w:ascii="Arial" w:eastAsia="Calibri" w:hAnsi="Arial" w:cs="Arial"/>
        </w:rPr>
        <w:t xml:space="preserve"> for more information on this topic.</w:t>
      </w:r>
    </w:p>
    <w:p w:rsidR="00D000EF" w:rsidRPr="00D000EF" w:rsidRDefault="00D000EF" w:rsidP="00D000EF">
      <w:pPr>
        <w:rPr>
          <w:rFonts w:ascii="Arial" w:eastAsia="Calibri" w:hAnsi="Arial" w:cs="Arial"/>
          <w:b/>
        </w:rPr>
      </w:pPr>
      <w:r w:rsidRPr="00D000EF">
        <w:rPr>
          <w:rFonts w:ascii="Arial" w:eastAsia="Calibri" w:hAnsi="Arial" w:cs="Arial"/>
          <w:b/>
        </w:rPr>
        <w:t>Public sector unions granted judicial review over McCloud cost remedy</w:t>
      </w:r>
    </w:p>
    <w:p w:rsidR="00D000EF" w:rsidRPr="00D000EF" w:rsidRDefault="00D000EF" w:rsidP="00D000EF">
      <w:pPr>
        <w:rPr>
          <w:rFonts w:ascii="Arial" w:eastAsia="Calibri" w:hAnsi="Arial" w:cs="Arial"/>
        </w:rPr>
      </w:pPr>
      <w:r w:rsidRPr="00D000EF">
        <w:rPr>
          <w:rFonts w:ascii="Arial" w:eastAsia="Calibri" w:hAnsi="Arial" w:cs="Arial"/>
        </w:rPr>
        <w:t xml:space="preserve">In </w:t>
      </w:r>
      <w:hyperlink r:id="rId56" w:history="1">
        <w:r w:rsidRPr="00D000EF">
          <w:rPr>
            <w:rFonts w:ascii="Arial" w:eastAsia="Calibri" w:hAnsi="Arial" w:cs="Arial"/>
            <w:color w:val="0563C1"/>
            <w:u w:val="single"/>
          </w:rPr>
          <w:t xml:space="preserve">FPS bulletin 62 – October 2022 </w:t>
        </w:r>
      </w:hyperlink>
      <w:r w:rsidRPr="00D000EF">
        <w:rPr>
          <w:rFonts w:ascii="Arial" w:eastAsia="Calibri" w:hAnsi="Arial" w:cs="Arial"/>
        </w:rPr>
        <w:t>we confirmed that public sector unions had been granted a judicial review in relation to the McCloud/ Sargeant remedy costs in the cost control mechanism. We can now confirm that the dates for the hearing are from 30 January to 3 February 2023.</w:t>
      </w:r>
    </w:p>
    <w:p w:rsidR="00D000EF" w:rsidRDefault="00D000EF" w:rsidP="00D000EF">
      <w:pPr>
        <w:rPr>
          <w:rFonts w:ascii="Arial" w:eastAsia="Calibri" w:hAnsi="Arial" w:cs="Arial"/>
          <w:b/>
          <w:color w:val="0070C0"/>
          <w:sz w:val="24"/>
          <w:szCs w:val="24"/>
        </w:rPr>
      </w:pPr>
    </w:p>
    <w:p w:rsidR="00D000EF" w:rsidRPr="00D000EF" w:rsidRDefault="00D000EF" w:rsidP="00D000EF">
      <w:pPr>
        <w:rPr>
          <w:rFonts w:ascii="Arial" w:eastAsia="Calibri" w:hAnsi="Arial" w:cs="Arial"/>
          <w:b/>
          <w:color w:val="0070C0"/>
          <w:sz w:val="24"/>
          <w:szCs w:val="24"/>
        </w:rPr>
      </w:pPr>
      <w:r w:rsidRPr="00D000EF">
        <w:rPr>
          <w:rFonts w:ascii="Arial" w:eastAsia="Calibri" w:hAnsi="Arial" w:cs="Arial"/>
          <w:b/>
          <w:color w:val="0070C0"/>
          <w:sz w:val="24"/>
          <w:szCs w:val="24"/>
        </w:rPr>
        <w:lastRenderedPageBreak/>
        <w:t xml:space="preserve">Useful links </w:t>
      </w:r>
    </w:p>
    <w:p w:rsidR="00D000EF" w:rsidRPr="00D000EF" w:rsidRDefault="00D000EF" w:rsidP="00D000EF">
      <w:pPr>
        <w:rPr>
          <w:rFonts w:ascii="Arial" w:eastAsia="Calibri" w:hAnsi="Arial" w:cs="Arial"/>
          <w:sz w:val="24"/>
          <w:szCs w:val="24"/>
        </w:rPr>
      </w:pPr>
      <w:r w:rsidRPr="00D000EF">
        <w:rPr>
          <w:rFonts w:ascii="Arial" w:eastAsia="Calibri" w:hAnsi="Arial" w:cs="Arial"/>
          <w:sz w:val="24"/>
          <w:szCs w:val="24"/>
        </w:rPr>
        <w:t xml:space="preserve">• </w:t>
      </w:r>
      <w:hyperlink r:id="rId57" w:history="1">
        <w:r w:rsidRPr="00D000EF">
          <w:rPr>
            <w:rFonts w:ascii="Arial" w:eastAsia="Calibri" w:hAnsi="Arial" w:cs="Arial"/>
            <w:color w:val="0563C1"/>
            <w:sz w:val="24"/>
            <w:szCs w:val="24"/>
            <w:u w:val="single"/>
          </w:rPr>
          <w:t xml:space="preserve">The Firefighters’ Pensions (England) Scheme Advisory Board </w:t>
        </w:r>
      </w:hyperlink>
      <w:r w:rsidRPr="00D000EF">
        <w:rPr>
          <w:rFonts w:ascii="Arial" w:eastAsia="Calibri" w:hAnsi="Arial" w:cs="Arial"/>
          <w:sz w:val="24"/>
          <w:szCs w:val="24"/>
        </w:rPr>
        <w:t xml:space="preserve">  </w:t>
      </w:r>
    </w:p>
    <w:p w:rsidR="00D000EF" w:rsidRPr="00D000EF" w:rsidRDefault="00D000EF" w:rsidP="00D000EF">
      <w:pPr>
        <w:rPr>
          <w:rFonts w:ascii="Arial" w:eastAsia="Calibri" w:hAnsi="Arial" w:cs="Arial"/>
          <w:sz w:val="24"/>
          <w:szCs w:val="24"/>
        </w:rPr>
      </w:pPr>
      <w:r w:rsidRPr="00D000EF">
        <w:rPr>
          <w:rFonts w:ascii="Arial" w:eastAsia="Calibri" w:hAnsi="Arial" w:cs="Arial"/>
          <w:sz w:val="24"/>
          <w:szCs w:val="24"/>
        </w:rPr>
        <w:t xml:space="preserve">• </w:t>
      </w:r>
      <w:hyperlink r:id="rId58" w:history="1">
        <w:r w:rsidRPr="00D000EF">
          <w:rPr>
            <w:rFonts w:ascii="Arial" w:eastAsia="Calibri" w:hAnsi="Arial" w:cs="Arial"/>
            <w:color w:val="0563C1"/>
            <w:sz w:val="24"/>
            <w:szCs w:val="24"/>
            <w:u w:val="single"/>
          </w:rPr>
          <w:t xml:space="preserve">FPS Regulations and Guidance </w:t>
        </w:r>
      </w:hyperlink>
      <w:r w:rsidRPr="00D000EF">
        <w:rPr>
          <w:rFonts w:ascii="Arial" w:eastAsia="Calibri" w:hAnsi="Arial" w:cs="Arial"/>
          <w:sz w:val="24"/>
          <w:szCs w:val="24"/>
        </w:rPr>
        <w:t xml:space="preserve">  </w:t>
      </w:r>
    </w:p>
    <w:p w:rsidR="00D000EF" w:rsidRPr="00D000EF" w:rsidRDefault="00D000EF" w:rsidP="00D000EF">
      <w:pPr>
        <w:rPr>
          <w:rFonts w:ascii="Arial" w:eastAsia="Calibri" w:hAnsi="Arial" w:cs="Arial"/>
          <w:sz w:val="24"/>
          <w:szCs w:val="24"/>
        </w:rPr>
      </w:pPr>
      <w:r w:rsidRPr="00D000EF">
        <w:rPr>
          <w:rFonts w:ascii="Arial" w:eastAsia="Calibri" w:hAnsi="Arial" w:cs="Arial"/>
          <w:sz w:val="24"/>
          <w:szCs w:val="24"/>
        </w:rPr>
        <w:t xml:space="preserve">• </w:t>
      </w:r>
      <w:hyperlink r:id="rId59" w:history="1">
        <w:r w:rsidRPr="00D000EF">
          <w:rPr>
            <w:rFonts w:ascii="Arial" w:eastAsia="Calibri" w:hAnsi="Arial" w:cs="Arial"/>
            <w:color w:val="0563C1"/>
            <w:sz w:val="24"/>
            <w:szCs w:val="24"/>
            <w:u w:val="single"/>
          </w:rPr>
          <w:t xml:space="preserve">FPS Member </w:t>
        </w:r>
      </w:hyperlink>
      <w:r w:rsidRPr="00D000EF">
        <w:rPr>
          <w:rFonts w:ascii="Arial" w:eastAsia="Calibri" w:hAnsi="Arial" w:cs="Arial"/>
          <w:sz w:val="24"/>
          <w:szCs w:val="24"/>
        </w:rPr>
        <w:t xml:space="preserve"> </w:t>
      </w:r>
    </w:p>
    <w:p w:rsidR="00D000EF" w:rsidRPr="00D000EF" w:rsidRDefault="00D000EF" w:rsidP="00D000EF">
      <w:pPr>
        <w:rPr>
          <w:rFonts w:ascii="Arial" w:eastAsia="Calibri" w:hAnsi="Arial" w:cs="Arial"/>
          <w:sz w:val="24"/>
          <w:szCs w:val="24"/>
        </w:rPr>
      </w:pPr>
      <w:r w:rsidRPr="00D000EF">
        <w:rPr>
          <w:rFonts w:ascii="Arial" w:eastAsia="Calibri" w:hAnsi="Arial" w:cs="Arial"/>
          <w:sz w:val="24"/>
          <w:szCs w:val="24"/>
        </w:rPr>
        <w:t xml:space="preserve">• </w:t>
      </w:r>
      <w:hyperlink r:id="rId60" w:history="1">
        <w:r w:rsidRPr="00D000EF">
          <w:rPr>
            <w:rFonts w:ascii="Arial" w:eastAsia="Calibri" w:hAnsi="Arial" w:cs="Arial"/>
            <w:color w:val="0563C1"/>
            <w:sz w:val="24"/>
            <w:szCs w:val="24"/>
            <w:u w:val="single"/>
          </w:rPr>
          <w:t xml:space="preserve">Khub Firefighters Pensions Discussion Forum </w:t>
        </w:r>
      </w:hyperlink>
      <w:r w:rsidRPr="00D000EF">
        <w:rPr>
          <w:rFonts w:ascii="Arial" w:eastAsia="Calibri" w:hAnsi="Arial" w:cs="Arial"/>
          <w:sz w:val="24"/>
          <w:szCs w:val="24"/>
        </w:rPr>
        <w:t xml:space="preserve"> </w:t>
      </w:r>
    </w:p>
    <w:p w:rsidR="00D000EF" w:rsidRPr="00D000EF" w:rsidRDefault="00D000EF" w:rsidP="00D000EF">
      <w:pPr>
        <w:rPr>
          <w:rFonts w:ascii="Arial" w:eastAsia="Calibri" w:hAnsi="Arial" w:cs="Arial"/>
          <w:sz w:val="24"/>
          <w:szCs w:val="24"/>
        </w:rPr>
      </w:pPr>
      <w:r w:rsidRPr="00D000EF">
        <w:rPr>
          <w:rFonts w:ascii="Arial" w:eastAsia="Calibri" w:hAnsi="Arial" w:cs="Arial"/>
          <w:sz w:val="24"/>
          <w:szCs w:val="24"/>
        </w:rPr>
        <w:t xml:space="preserve">• </w:t>
      </w:r>
      <w:hyperlink r:id="rId61" w:history="1">
        <w:r w:rsidRPr="00D000EF">
          <w:rPr>
            <w:rFonts w:ascii="Arial" w:eastAsia="Calibri" w:hAnsi="Arial" w:cs="Arial"/>
            <w:color w:val="0563C1"/>
            <w:sz w:val="24"/>
            <w:szCs w:val="24"/>
            <w:u w:val="single"/>
          </w:rPr>
          <w:t xml:space="preserve">FPS1992 guidance and commentary </w:t>
        </w:r>
      </w:hyperlink>
      <w:r w:rsidRPr="00D000EF">
        <w:rPr>
          <w:rFonts w:ascii="Arial" w:eastAsia="Calibri" w:hAnsi="Arial" w:cs="Arial"/>
          <w:sz w:val="24"/>
          <w:szCs w:val="24"/>
        </w:rPr>
        <w:t xml:space="preserve"> </w:t>
      </w:r>
    </w:p>
    <w:p w:rsidR="00D000EF" w:rsidRPr="00D000EF" w:rsidRDefault="00D000EF" w:rsidP="00D000EF">
      <w:pPr>
        <w:rPr>
          <w:rFonts w:ascii="Arial" w:eastAsia="Calibri" w:hAnsi="Arial" w:cs="Arial"/>
          <w:sz w:val="24"/>
          <w:szCs w:val="24"/>
        </w:rPr>
      </w:pPr>
      <w:r w:rsidRPr="00D000EF">
        <w:rPr>
          <w:rFonts w:ascii="Arial" w:eastAsia="Calibri" w:hAnsi="Arial" w:cs="Arial"/>
          <w:sz w:val="24"/>
          <w:szCs w:val="24"/>
        </w:rPr>
        <w:t xml:space="preserve">• </w:t>
      </w:r>
      <w:hyperlink r:id="rId62" w:history="1">
        <w:r w:rsidRPr="00D000EF">
          <w:rPr>
            <w:rFonts w:ascii="Arial" w:eastAsia="Calibri" w:hAnsi="Arial" w:cs="Arial"/>
            <w:color w:val="0563C1"/>
            <w:sz w:val="24"/>
            <w:szCs w:val="24"/>
            <w:u w:val="single"/>
          </w:rPr>
          <w:t xml:space="preserve">The Pensions Regulator Public Service Schemes </w:t>
        </w:r>
      </w:hyperlink>
      <w:r w:rsidRPr="00D000EF">
        <w:rPr>
          <w:rFonts w:ascii="Arial" w:eastAsia="Calibri" w:hAnsi="Arial" w:cs="Arial"/>
          <w:sz w:val="24"/>
          <w:szCs w:val="24"/>
        </w:rPr>
        <w:t xml:space="preserve"> </w:t>
      </w:r>
    </w:p>
    <w:p w:rsidR="00D000EF" w:rsidRPr="00D000EF" w:rsidRDefault="00D000EF" w:rsidP="00D000EF">
      <w:pPr>
        <w:rPr>
          <w:rFonts w:ascii="Arial" w:eastAsia="Calibri" w:hAnsi="Arial" w:cs="Arial"/>
          <w:sz w:val="24"/>
          <w:szCs w:val="24"/>
        </w:rPr>
      </w:pPr>
      <w:r w:rsidRPr="00D000EF">
        <w:rPr>
          <w:rFonts w:ascii="Arial" w:eastAsia="Calibri" w:hAnsi="Arial" w:cs="Arial"/>
          <w:sz w:val="24"/>
          <w:szCs w:val="24"/>
        </w:rPr>
        <w:t xml:space="preserve">• </w:t>
      </w:r>
      <w:hyperlink r:id="rId63" w:history="1">
        <w:r w:rsidRPr="00D000EF">
          <w:rPr>
            <w:rFonts w:ascii="Arial" w:eastAsia="Calibri" w:hAnsi="Arial" w:cs="Arial"/>
            <w:color w:val="0563C1"/>
            <w:sz w:val="24"/>
            <w:szCs w:val="24"/>
            <w:u w:val="single"/>
          </w:rPr>
          <w:t xml:space="preserve">The Pensions Ombudsman </w:t>
        </w:r>
      </w:hyperlink>
      <w:r w:rsidRPr="00D000EF">
        <w:rPr>
          <w:rFonts w:ascii="Arial" w:eastAsia="Calibri" w:hAnsi="Arial" w:cs="Arial"/>
          <w:sz w:val="24"/>
          <w:szCs w:val="24"/>
        </w:rPr>
        <w:t xml:space="preserve"> </w:t>
      </w:r>
    </w:p>
    <w:p w:rsidR="00D000EF" w:rsidRPr="00D000EF" w:rsidRDefault="00D000EF" w:rsidP="00D000EF">
      <w:pPr>
        <w:rPr>
          <w:rFonts w:ascii="Arial" w:eastAsia="Calibri" w:hAnsi="Arial" w:cs="Arial"/>
          <w:sz w:val="24"/>
          <w:szCs w:val="24"/>
        </w:rPr>
      </w:pPr>
      <w:r w:rsidRPr="00D000EF">
        <w:rPr>
          <w:rFonts w:ascii="Arial" w:eastAsia="Calibri" w:hAnsi="Arial" w:cs="Arial"/>
          <w:sz w:val="24"/>
          <w:szCs w:val="24"/>
        </w:rPr>
        <w:t xml:space="preserve">• </w:t>
      </w:r>
      <w:hyperlink r:id="rId64" w:history="1">
        <w:r w:rsidRPr="00D000EF">
          <w:rPr>
            <w:rFonts w:ascii="Arial" w:eastAsia="Calibri" w:hAnsi="Arial" w:cs="Arial"/>
            <w:color w:val="0563C1"/>
            <w:sz w:val="24"/>
            <w:szCs w:val="24"/>
            <w:u w:val="single"/>
          </w:rPr>
          <w:t xml:space="preserve">HMRC Pensions Tax Manual </w:t>
        </w:r>
      </w:hyperlink>
      <w:r w:rsidRPr="00D000EF">
        <w:rPr>
          <w:rFonts w:ascii="Arial" w:eastAsia="Calibri" w:hAnsi="Arial" w:cs="Arial"/>
          <w:sz w:val="24"/>
          <w:szCs w:val="24"/>
        </w:rPr>
        <w:t xml:space="preserve"> </w:t>
      </w:r>
    </w:p>
    <w:p w:rsidR="00D000EF" w:rsidRPr="00D000EF" w:rsidRDefault="00D000EF" w:rsidP="00D000EF">
      <w:pPr>
        <w:rPr>
          <w:rFonts w:ascii="Arial" w:eastAsia="Calibri" w:hAnsi="Arial" w:cs="Arial"/>
          <w:sz w:val="24"/>
          <w:szCs w:val="24"/>
        </w:rPr>
      </w:pPr>
      <w:r w:rsidRPr="00D000EF">
        <w:rPr>
          <w:rFonts w:ascii="Arial" w:eastAsia="Calibri" w:hAnsi="Arial" w:cs="Arial"/>
          <w:sz w:val="24"/>
          <w:szCs w:val="24"/>
        </w:rPr>
        <w:t xml:space="preserve">• </w:t>
      </w:r>
      <w:hyperlink r:id="rId65" w:history="1">
        <w:r w:rsidRPr="00D000EF">
          <w:rPr>
            <w:rFonts w:ascii="Arial" w:eastAsia="Calibri" w:hAnsi="Arial" w:cs="Arial"/>
            <w:color w:val="0563C1"/>
            <w:sz w:val="24"/>
            <w:szCs w:val="24"/>
            <w:u w:val="single"/>
          </w:rPr>
          <w:t xml:space="preserve">LGA pensions website </w:t>
        </w:r>
      </w:hyperlink>
      <w:r w:rsidRPr="00D000EF">
        <w:rPr>
          <w:rFonts w:ascii="Arial" w:eastAsia="Calibri" w:hAnsi="Arial" w:cs="Arial"/>
          <w:sz w:val="24"/>
          <w:szCs w:val="24"/>
        </w:rPr>
        <w:t xml:space="preserve"> </w:t>
      </w:r>
    </w:p>
    <w:p w:rsidR="00D000EF" w:rsidRPr="00D000EF" w:rsidRDefault="00D000EF" w:rsidP="00D000EF">
      <w:pPr>
        <w:rPr>
          <w:rFonts w:ascii="Arial" w:eastAsia="Calibri" w:hAnsi="Arial" w:cs="Arial"/>
          <w:sz w:val="24"/>
          <w:szCs w:val="24"/>
        </w:rPr>
      </w:pPr>
      <w:r w:rsidRPr="00D000EF">
        <w:rPr>
          <w:rFonts w:ascii="Arial" w:eastAsia="Calibri" w:hAnsi="Arial" w:cs="Arial"/>
          <w:sz w:val="24"/>
          <w:szCs w:val="24"/>
        </w:rPr>
        <w:t xml:space="preserve">• </w:t>
      </w:r>
      <w:hyperlink r:id="rId66" w:history="1">
        <w:r w:rsidRPr="00D000EF">
          <w:rPr>
            <w:rFonts w:ascii="Arial" w:eastAsia="Calibri" w:hAnsi="Arial" w:cs="Arial"/>
            <w:color w:val="0563C1"/>
            <w:sz w:val="24"/>
            <w:szCs w:val="24"/>
            <w:u w:val="single"/>
          </w:rPr>
          <w:t xml:space="preserve">LGPS Regulations and Guidance </w:t>
        </w:r>
      </w:hyperlink>
      <w:r w:rsidRPr="00D000EF">
        <w:rPr>
          <w:rFonts w:ascii="Arial" w:eastAsia="Calibri" w:hAnsi="Arial" w:cs="Arial"/>
          <w:sz w:val="24"/>
          <w:szCs w:val="24"/>
        </w:rPr>
        <w:t xml:space="preserve"> </w:t>
      </w:r>
    </w:p>
    <w:p w:rsidR="00D000EF" w:rsidRPr="00D000EF" w:rsidRDefault="00D000EF" w:rsidP="00D000EF">
      <w:pPr>
        <w:rPr>
          <w:rFonts w:ascii="Arial" w:eastAsia="Calibri" w:hAnsi="Arial" w:cs="Arial"/>
          <w:b/>
          <w:color w:val="0070C0"/>
          <w:sz w:val="24"/>
          <w:szCs w:val="24"/>
        </w:rPr>
      </w:pPr>
      <w:r w:rsidRPr="00D000EF">
        <w:rPr>
          <w:rFonts w:ascii="Arial" w:eastAsia="Calibri" w:hAnsi="Arial" w:cs="Arial"/>
          <w:sz w:val="24"/>
          <w:szCs w:val="24"/>
        </w:rPr>
        <w:t xml:space="preserve">• </w:t>
      </w:r>
      <w:hyperlink r:id="rId67" w:history="1">
        <w:r w:rsidRPr="00D000EF">
          <w:rPr>
            <w:rFonts w:ascii="Arial" w:eastAsia="Calibri" w:hAnsi="Arial" w:cs="Arial"/>
            <w:color w:val="0563C1"/>
            <w:sz w:val="24"/>
            <w:szCs w:val="24"/>
            <w:u w:val="single"/>
          </w:rPr>
          <w:t xml:space="preserve">LGPC Bulletins </w:t>
        </w:r>
      </w:hyperlink>
      <w:r w:rsidRPr="00D000EF">
        <w:rPr>
          <w:rFonts w:ascii="Arial" w:eastAsia="Calibri" w:hAnsi="Arial" w:cs="Arial"/>
          <w:sz w:val="24"/>
          <w:szCs w:val="24"/>
        </w:rPr>
        <w:t xml:space="preserve"> </w:t>
      </w:r>
    </w:p>
    <w:p w:rsidR="00D000EF" w:rsidRPr="00D000EF" w:rsidRDefault="00D000EF" w:rsidP="00D000EF">
      <w:pPr>
        <w:ind w:left="284" w:hanging="851"/>
        <w:rPr>
          <w:rFonts w:ascii="Arial" w:eastAsia="Calibri" w:hAnsi="Arial" w:cs="Arial"/>
          <w:b/>
          <w:color w:val="2E74B5"/>
          <w:sz w:val="28"/>
          <w:szCs w:val="28"/>
        </w:rPr>
      </w:pPr>
      <w:r w:rsidRPr="00D000EF">
        <w:rPr>
          <w:rFonts w:ascii="Arial" w:eastAsia="Calibri" w:hAnsi="Arial" w:cs="Arial"/>
          <w:b/>
          <w:color w:val="2E74B5"/>
          <w:sz w:val="28"/>
          <w:szCs w:val="28"/>
        </w:rPr>
        <w:t xml:space="preserve">      </w:t>
      </w:r>
    </w:p>
    <w:p w:rsidR="00D000EF" w:rsidRPr="00D000EF" w:rsidRDefault="00D000EF" w:rsidP="00D000EF">
      <w:pPr>
        <w:rPr>
          <w:rFonts w:ascii="Calibri" w:eastAsia="Calibri" w:hAnsi="Calibri" w:cs="Times New Roman"/>
        </w:rPr>
      </w:pPr>
    </w:p>
    <w:p w:rsidR="00D000EF" w:rsidRPr="00D000EF" w:rsidRDefault="00D000EF" w:rsidP="00D000EF">
      <w:pPr>
        <w:rPr>
          <w:rFonts w:ascii="Calibri" w:eastAsia="Calibri" w:hAnsi="Calibri" w:cs="Times New Roman"/>
        </w:rPr>
      </w:pPr>
    </w:p>
    <w:p w:rsidR="00543B77" w:rsidRPr="00543B77" w:rsidRDefault="00543B77" w:rsidP="00D000EF">
      <w:pPr>
        <w:tabs>
          <w:tab w:val="right" w:leader="dot" w:pos="6804"/>
        </w:tabs>
        <w:spacing w:after="240"/>
        <w:ind w:left="851" w:hanging="851"/>
        <w:rPr>
          <w:rFonts w:ascii="Arial" w:hAnsi="Arial" w:cs="Arial"/>
          <w:color w:val="5B9BD5" w:themeColor="accent1"/>
          <w:sz w:val="56"/>
          <w:szCs w:val="56"/>
        </w:rPr>
      </w:pPr>
    </w:p>
    <w:sectPr w:rsidR="00543B77" w:rsidRPr="00543B77" w:rsidSect="005F6F1D">
      <w:footerReference w:type="default" r:id="rId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24D4" w:rsidRDefault="002C24D4" w:rsidP="00890EA6">
      <w:pPr>
        <w:spacing w:after="0" w:line="240" w:lineRule="auto"/>
      </w:pPr>
      <w:r>
        <w:separator/>
      </w:r>
    </w:p>
  </w:endnote>
  <w:endnote w:type="continuationSeparator" w:id="0">
    <w:p w:rsidR="002C24D4" w:rsidRDefault="002C24D4" w:rsidP="00890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8531166"/>
      <w:docPartObj>
        <w:docPartGallery w:val="Page Numbers (Bottom of Page)"/>
        <w:docPartUnique/>
      </w:docPartObj>
    </w:sdtPr>
    <w:sdtEndPr>
      <w:rPr>
        <w:noProof/>
      </w:rPr>
    </w:sdtEndPr>
    <w:sdtContent>
      <w:p w:rsidR="002C24D4" w:rsidRDefault="002C24D4">
        <w:pPr>
          <w:pStyle w:val="Footer"/>
          <w:jc w:val="center"/>
        </w:pPr>
        <w:r>
          <w:fldChar w:fldCharType="begin"/>
        </w:r>
        <w:r>
          <w:instrText xml:space="preserve"> PAGE   \* MERGEFORMAT </w:instrText>
        </w:r>
        <w:r>
          <w:fldChar w:fldCharType="separate"/>
        </w:r>
        <w:r w:rsidR="00F167D7">
          <w:rPr>
            <w:noProof/>
          </w:rPr>
          <w:t>14</w:t>
        </w:r>
        <w:r>
          <w:rPr>
            <w:noProof/>
          </w:rPr>
          <w:fldChar w:fldCharType="end"/>
        </w:r>
      </w:p>
    </w:sdtContent>
  </w:sdt>
  <w:p w:rsidR="002C24D4" w:rsidRDefault="002C24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4D4" w:rsidRDefault="002C24D4">
    <w:pPr>
      <w:pStyle w:val="Footer"/>
      <w:jc w:val="right"/>
    </w:pPr>
  </w:p>
  <w:p w:rsidR="002C24D4" w:rsidRDefault="002C2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24D4" w:rsidRDefault="002C24D4" w:rsidP="00890EA6">
      <w:pPr>
        <w:spacing w:after="0" w:line="240" w:lineRule="auto"/>
      </w:pPr>
      <w:r>
        <w:separator/>
      </w:r>
    </w:p>
  </w:footnote>
  <w:footnote w:type="continuationSeparator" w:id="0">
    <w:p w:rsidR="002C24D4" w:rsidRDefault="002C24D4" w:rsidP="00890E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26784"/>
    <w:multiLevelType w:val="hybridMultilevel"/>
    <w:tmpl w:val="260C1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491379"/>
    <w:multiLevelType w:val="hybridMultilevel"/>
    <w:tmpl w:val="6EF63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837662"/>
    <w:multiLevelType w:val="hybridMultilevel"/>
    <w:tmpl w:val="B9D4A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CF581F"/>
    <w:multiLevelType w:val="hybridMultilevel"/>
    <w:tmpl w:val="C666E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E44EC8"/>
    <w:multiLevelType w:val="hybridMultilevel"/>
    <w:tmpl w:val="83DE7CE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E40107"/>
    <w:multiLevelType w:val="hybridMultilevel"/>
    <w:tmpl w:val="4FCA6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5D462E"/>
    <w:multiLevelType w:val="hybridMultilevel"/>
    <w:tmpl w:val="079E8C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DD065F3"/>
    <w:multiLevelType w:val="hybridMultilevel"/>
    <w:tmpl w:val="D848C2D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6"/>
  </w:num>
  <w:num w:numId="2">
    <w:abstractNumId w:val="1"/>
  </w:num>
  <w:num w:numId="3">
    <w:abstractNumId w:val="4"/>
  </w:num>
  <w:num w:numId="4">
    <w:abstractNumId w:val="0"/>
  </w:num>
  <w:num w:numId="5">
    <w:abstractNumId w:val="5"/>
  </w:num>
  <w:num w:numId="6">
    <w:abstractNumId w:val="3"/>
  </w:num>
  <w:num w:numId="7">
    <w:abstractNumId w:val="7"/>
  </w:num>
  <w:num w:numId="8">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CB8"/>
    <w:rsid w:val="00000E71"/>
    <w:rsid w:val="00001158"/>
    <w:rsid w:val="00001CE9"/>
    <w:rsid w:val="00012146"/>
    <w:rsid w:val="0001339C"/>
    <w:rsid w:val="00017C89"/>
    <w:rsid w:val="000210F0"/>
    <w:rsid w:val="00030E6C"/>
    <w:rsid w:val="0004661F"/>
    <w:rsid w:val="0005058B"/>
    <w:rsid w:val="00061748"/>
    <w:rsid w:val="00072CE6"/>
    <w:rsid w:val="000734FC"/>
    <w:rsid w:val="0007577D"/>
    <w:rsid w:val="000761B3"/>
    <w:rsid w:val="000762D4"/>
    <w:rsid w:val="00081062"/>
    <w:rsid w:val="000812EC"/>
    <w:rsid w:val="000813C3"/>
    <w:rsid w:val="000824E6"/>
    <w:rsid w:val="000A1AF2"/>
    <w:rsid w:val="000B74DE"/>
    <w:rsid w:val="000C63CE"/>
    <w:rsid w:val="000D231E"/>
    <w:rsid w:val="0010174A"/>
    <w:rsid w:val="0010389D"/>
    <w:rsid w:val="00122CCB"/>
    <w:rsid w:val="00123C21"/>
    <w:rsid w:val="00130270"/>
    <w:rsid w:val="001315FB"/>
    <w:rsid w:val="00132DD6"/>
    <w:rsid w:val="00136EB0"/>
    <w:rsid w:val="001377FB"/>
    <w:rsid w:val="00137E3C"/>
    <w:rsid w:val="001406BC"/>
    <w:rsid w:val="00140DA9"/>
    <w:rsid w:val="001435ED"/>
    <w:rsid w:val="00143E2D"/>
    <w:rsid w:val="001525E8"/>
    <w:rsid w:val="00165A04"/>
    <w:rsid w:val="00180B57"/>
    <w:rsid w:val="00192F88"/>
    <w:rsid w:val="00193CBF"/>
    <w:rsid w:val="00197020"/>
    <w:rsid w:val="00197734"/>
    <w:rsid w:val="0019773D"/>
    <w:rsid w:val="001A3C0B"/>
    <w:rsid w:val="001B0059"/>
    <w:rsid w:val="001B25B8"/>
    <w:rsid w:val="001B41C4"/>
    <w:rsid w:val="001B5955"/>
    <w:rsid w:val="001B6298"/>
    <w:rsid w:val="001C1751"/>
    <w:rsid w:val="001C3D0C"/>
    <w:rsid w:val="001C71B3"/>
    <w:rsid w:val="001E124F"/>
    <w:rsid w:val="001E1D1B"/>
    <w:rsid w:val="001E2BFD"/>
    <w:rsid w:val="001E7350"/>
    <w:rsid w:val="001E7AE3"/>
    <w:rsid w:val="001F7B7A"/>
    <w:rsid w:val="002026FE"/>
    <w:rsid w:val="0020752C"/>
    <w:rsid w:val="00212F1A"/>
    <w:rsid w:val="002157FB"/>
    <w:rsid w:val="00215885"/>
    <w:rsid w:val="00217D06"/>
    <w:rsid w:val="00222FEA"/>
    <w:rsid w:val="002231D6"/>
    <w:rsid w:val="002406F3"/>
    <w:rsid w:val="00246A5F"/>
    <w:rsid w:val="00257DE8"/>
    <w:rsid w:val="00260122"/>
    <w:rsid w:val="002619D5"/>
    <w:rsid w:val="002710A8"/>
    <w:rsid w:val="0027365C"/>
    <w:rsid w:val="002A0F86"/>
    <w:rsid w:val="002A30C6"/>
    <w:rsid w:val="002A6043"/>
    <w:rsid w:val="002B3726"/>
    <w:rsid w:val="002C24D4"/>
    <w:rsid w:val="002D045B"/>
    <w:rsid w:val="002D3292"/>
    <w:rsid w:val="002E2A91"/>
    <w:rsid w:val="002E6DE6"/>
    <w:rsid w:val="002F3307"/>
    <w:rsid w:val="0030056B"/>
    <w:rsid w:val="0030158C"/>
    <w:rsid w:val="003017A0"/>
    <w:rsid w:val="003063F4"/>
    <w:rsid w:val="003140A7"/>
    <w:rsid w:val="00325AC8"/>
    <w:rsid w:val="0033370C"/>
    <w:rsid w:val="003365A2"/>
    <w:rsid w:val="003419F0"/>
    <w:rsid w:val="00344102"/>
    <w:rsid w:val="003447A7"/>
    <w:rsid w:val="00345F75"/>
    <w:rsid w:val="00353B57"/>
    <w:rsid w:val="00354086"/>
    <w:rsid w:val="0036181A"/>
    <w:rsid w:val="003628B2"/>
    <w:rsid w:val="0036790F"/>
    <w:rsid w:val="00375725"/>
    <w:rsid w:val="00391065"/>
    <w:rsid w:val="00391D4C"/>
    <w:rsid w:val="00395928"/>
    <w:rsid w:val="00396E86"/>
    <w:rsid w:val="003A24AF"/>
    <w:rsid w:val="003A25C6"/>
    <w:rsid w:val="003C1BB1"/>
    <w:rsid w:val="003C4850"/>
    <w:rsid w:val="003C5963"/>
    <w:rsid w:val="003D037E"/>
    <w:rsid w:val="003D711E"/>
    <w:rsid w:val="003E0D3F"/>
    <w:rsid w:val="003E1921"/>
    <w:rsid w:val="003E3BC8"/>
    <w:rsid w:val="003F1284"/>
    <w:rsid w:val="00400591"/>
    <w:rsid w:val="00400B52"/>
    <w:rsid w:val="004107EC"/>
    <w:rsid w:val="00411CE0"/>
    <w:rsid w:val="00416835"/>
    <w:rsid w:val="0042152B"/>
    <w:rsid w:val="00433185"/>
    <w:rsid w:val="004351BB"/>
    <w:rsid w:val="00436E1C"/>
    <w:rsid w:val="0044610B"/>
    <w:rsid w:val="0046118A"/>
    <w:rsid w:val="0047004A"/>
    <w:rsid w:val="004751E7"/>
    <w:rsid w:val="00487730"/>
    <w:rsid w:val="00492AE5"/>
    <w:rsid w:val="004A4C54"/>
    <w:rsid w:val="004A572E"/>
    <w:rsid w:val="004A7F74"/>
    <w:rsid w:val="004B35CE"/>
    <w:rsid w:val="004B5B4B"/>
    <w:rsid w:val="004B796E"/>
    <w:rsid w:val="004C2259"/>
    <w:rsid w:val="004C30D2"/>
    <w:rsid w:val="004C39D0"/>
    <w:rsid w:val="004E6109"/>
    <w:rsid w:val="004F0487"/>
    <w:rsid w:val="00501956"/>
    <w:rsid w:val="0051410E"/>
    <w:rsid w:val="005175D9"/>
    <w:rsid w:val="005209FE"/>
    <w:rsid w:val="005219BB"/>
    <w:rsid w:val="00524680"/>
    <w:rsid w:val="00526F88"/>
    <w:rsid w:val="00532F91"/>
    <w:rsid w:val="0053712A"/>
    <w:rsid w:val="005426BC"/>
    <w:rsid w:val="00543B77"/>
    <w:rsid w:val="00553B17"/>
    <w:rsid w:val="0055720F"/>
    <w:rsid w:val="005739FB"/>
    <w:rsid w:val="00574627"/>
    <w:rsid w:val="005812D7"/>
    <w:rsid w:val="00581694"/>
    <w:rsid w:val="005817C0"/>
    <w:rsid w:val="0058431E"/>
    <w:rsid w:val="005926D1"/>
    <w:rsid w:val="00593AA6"/>
    <w:rsid w:val="005958BA"/>
    <w:rsid w:val="005A7B6B"/>
    <w:rsid w:val="005B31BF"/>
    <w:rsid w:val="005C3805"/>
    <w:rsid w:val="005C50BE"/>
    <w:rsid w:val="005C5A97"/>
    <w:rsid w:val="005E2BE3"/>
    <w:rsid w:val="005E3922"/>
    <w:rsid w:val="005F5EF4"/>
    <w:rsid w:val="005F6F1D"/>
    <w:rsid w:val="005F78C8"/>
    <w:rsid w:val="00602B35"/>
    <w:rsid w:val="00607E41"/>
    <w:rsid w:val="00614E34"/>
    <w:rsid w:val="006154BE"/>
    <w:rsid w:val="006269C9"/>
    <w:rsid w:val="0063298A"/>
    <w:rsid w:val="00633973"/>
    <w:rsid w:val="00635C2B"/>
    <w:rsid w:val="00640041"/>
    <w:rsid w:val="00651111"/>
    <w:rsid w:val="00654E72"/>
    <w:rsid w:val="006666D6"/>
    <w:rsid w:val="00667EEA"/>
    <w:rsid w:val="006811BB"/>
    <w:rsid w:val="0068168D"/>
    <w:rsid w:val="0068334B"/>
    <w:rsid w:val="00683AB2"/>
    <w:rsid w:val="0069288C"/>
    <w:rsid w:val="006A188D"/>
    <w:rsid w:val="006A3317"/>
    <w:rsid w:val="006A52FA"/>
    <w:rsid w:val="006C1C39"/>
    <w:rsid w:val="006C6777"/>
    <w:rsid w:val="006D022C"/>
    <w:rsid w:val="006D44F4"/>
    <w:rsid w:val="006D791D"/>
    <w:rsid w:val="006E43DC"/>
    <w:rsid w:val="006E4C2C"/>
    <w:rsid w:val="006F27AB"/>
    <w:rsid w:val="006F45D4"/>
    <w:rsid w:val="007011BC"/>
    <w:rsid w:val="0070230F"/>
    <w:rsid w:val="00707330"/>
    <w:rsid w:val="00710535"/>
    <w:rsid w:val="00712617"/>
    <w:rsid w:val="0072227E"/>
    <w:rsid w:val="007265BE"/>
    <w:rsid w:val="00731643"/>
    <w:rsid w:val="00734805"/>
    <w:rsid w:val="00742AAC"/>
    <w:rsid w:val="007518CA"/>
    <w:rsid w:val="007520A0"/>
    <w:rsid w:val="00753E44"/>
    <w:rsid w:val="00753F97"/>
    <w:rsid w:val="00755317"/>
    <w:rsid w:val="00776267"/>
    <w:rsid w:val="00777637"/>
    <w:rsid w:val="0078783C"/>
    <w:rsid w:val="00791DD9"/>
    <w:rsid w:val="0079297D"/>
    <w:rsid w:val="00794294"/>
    <w:rsid w:val="00795495"/>
    <w:rsid w:val="007A130C"/>
    <w:rsid w:val="007A2F8A"/>
    <w:rsid w:val="007A3241"/>
    <w:rsid w:val="007A5CF0"/>
    <w:rsid w:val="007B0643"/>
    <w:rsid w:val="007B275E"/>
    <w:rsid w:val="007B4FFD"/>
    <w:rsid w:val="007C2560"/>
    <w:rsid w:val="007C3C0B"/>
    <w:rsid w:val="007C47F5"/>
    <w:rsid w:val="007C5F35"/>
    <w:rsid w:val="007C6254"/>
    <w:rsid w:val="007D2466"/>
    <w:rsid w:val="007E4832"/>
    <w:rsid w:val="007F0138"/>
    <w:rsid w:val="007F2482"/>
    <w:rsid w:val="00803DAD"/>
    <w:rsid w:val="00806705"/>
    <w:rsid w:val="008070C4"/>
    <w:rsid w:val="00815EEE"/>
    <w:rsid w:val="008160BD"/>
    <w:rsid w:val="00820B94"/>
    <w:rsid w:val="00823D2B"/>
    <w:rsid w:val="00823FE7"/>
    <w:rsid w:val="00824437"/>
    <w:rsid w:val="008315D1"/>
    <w:rsid w:val="00831979"/>
    <w:rsid w:val="00835A51"/>
    <w:rsid w:val="008425B9"/>
    <w:rsid w:val="0084750B"/>
    <w:rsid w:val="008545ED"/>
    <w:rsid w:val="00854A9C"/>
    <w:rsid w:val="00855B71"/>
    <w:rsid w:val="00861C91"/>
    <w:rsid w:val="008743F1"/>
    <w:rsid w:val="008776EC"/>
    <w:rsid w:val="00877FC4"/>
    <w:rsid w:val="00890EA6"/>
    <w:rsid w:val="00893202"/>
    <w:rsid w:val="008977B5"/>
    <w:rsid w:val="008A2510"/>
    <w:rsid w:val="008A2CC3"/>
    <w:rsid w:val="008A6D11"/>
    <w:rsid w:val="008A79B3"/>
    <w:rsid w:val="008B6090"/>
    <w:rsid w:val="008B7123"/>
    <w:rsid w:val="008B76D8"/>
    <w:rsid w:val="008C089C"/>
    <w:rsid w:val="008C53BA"/>
    <w:rsid w:val="008D37A1"/>
    <w:rsid w:val="008D3D2C"/>
    <w:rsid w:val="008D5B36"/>
    <w:rsid w:val="008D708D"/>
    <w:rsid w:val="008E3199"/>
    <w:rsid w:val="008E4D64"/>
    <w:rsid w:val="008F4235"/>
    <w:rsid w:val="00900A47"/>
    <w:rsid w:val="00905D02"/>
    <w:rsid w:val="009064AD"/>
    <w:rsid w:val="00911017"/>
    <w:rsid w:val="00912013"/>
    <w:rsid w:val="00915C6E"/>
    <w:rsid w:val="0091610D"/>
    <w:rsid w:val="00917C5F"/>
    <w:rsid w:val="00930CA4"/>
    <w:rsid w:val="00931519"/>
    <w:rsid w:val="00932838"/>
    <w:rsid w:val="00932AF4"/>
    <w:rsid w:val="00942225"/>
    <w:rsid w:val="009530D6"/>
    <w:rsid w:val="00965621"/>
    <w:rsid w:val="009674C2"/>
    <w:rsid w:val="009713E0"/>
    <w:rsid w:val="00984FAB"/>
    <w:rsid w:val="0098595E"/>
    <w:rsid w:val="00992B43"/>
    <w:rsid w:val="009946CE"/>
    <w:rsid w:val="00997BD6"/>
    <w:rsid w:val="009A2784"/>
    <w:rsid w:val="009A5F55"/>
    <w:rsid w:val="009B167C"/>
    <w:rsid w:val="009B2BB6"/>
    <w:rsid w:val="009B3DE9"/>
    <w:rsid w:val="009C2244"/>
    <w:rsid w:val="009C70FC"/>
    <w:rsid w:val="009D180C"/>
    <w:rsid w:val="009D26C3"/>
    <w:rsid w:val="009D29FC"/>
    <w:rsid w:val="009D2DB6"/>
    <w:rsid w:val="009D7DBC"/>
    <w:rsid w:val="009E1A5D"/>
    <w:rsid w:val="009E5451"/>
    <w:rsid w:val="00A03AA6"/>
    <w:rsid w:val="00A05EFE"/>
    <w:rsid w:val="00A1404B"/>
    <w:rsid w:val="00A15FE9"/>
    <w:rsid w:val="00A22A18"/>
    <w:rsid w:val="00A24CFC"/>
    <w:rsid w:val="00A252A5"/>
    <w:rsid w:val="00A422BC"/>
    <w:rsid w:val="00A444F8"/>
    <w:rsid w:val="00A4770D"/>
    <w:rsid w:val="00A5301A"/>
    <w:rsid w:val="00A543D0"/>
    <w:rsid w:val="00A545B7"/>
    <w:rsid w:val="00A55E39"/>
    <w:rsid w:val="00A60557"/>
    <w:rsid w:val="00A656E3"/>
    <w:rsid w:val="00A66CA1"/>
    <w:rsid w:val="00A67BBA"/>
    <w:rsid w:val="00A7191B"/>
    <w:rsid w:val="00A806CC"/>
    <w:rsid w:val="00A818FE"/>
    <w:rsid w:val="00A8195F"/>
    <w:rsid w:val="00A82637"/>
    <w:rsid w:val="00A8570E"/>
    <w:rsid w:val="00A85CFE"/>
    <w:rsid w:val="00A86666"/>
    <w:rsid w:val="00A87DDF"/>
    <w:rsid w:val="00A923B2"/>
    <w:rsid w:val="00AC0008"/>
    <w:rsid w:val="00AC479C"/>
    <w:rsid w:val="00AD1DA7"/>
    <w:rsid w:val="00AE231D"/>
    <w:rsid w:val="00AE45DF"/>
    <w:rsid w:val="00AE53DE"/>
    <w:rsid w:val="00AE66AC"/>
    <w:rsid w:val="00AF325C"/>
    <w:rsid w:val="00B04CAC"/>
    <w:rsid w:val="00B072E7"/>
    <w:rsid w:val="00B1151C"/>
    <w:rsid w:val="00B177D7"/>
    <w:rsid w:val="00B2210D"/>
    <w:rsid w:val="00B249FB"/>
    <w:rsid w:val="00B327BF"/>
    <w:rsid w:val="00B36B9E"/>
    <w:rsid w:val="00B36EC3"/>
    <w:rsid w:val="00B37C7B"/>
    <w:rsid w:val="00B4203A"/>
    <w:rsid w:val="00B420D8"/>
    <w:rsid w:val="00B67047"/>
    <w:rsid w:val="00B74BB9"/>
    <w:rsid w:val="00B763A2"/>
    <w:rsid w:val="00B8024F"/>
    <w:rsid w:val="00B835B1"/>
    <w:rsid w:val="00B835E8"/>
    <w:rsid w:val="00B8631F"/>
    <w:rsid w:val="00B94964"/>
    <w:rsid w:val="00B97305"/>
    <w:rsid w:val="00BA278E"/>
    <w:rsid w:val="00BA690C"/>
    <w:rsid w:val="00BB1A9C"/>
    <w:rsid w:val="00BB3C0A"/>
    <w:rsid w:val="00BB6F6F"/>
    <w:rsid w:val="00BC027A"/>
    <w:rsid w:val="00BC19D1"/>
    <w:rsid w:val="00BD5A80"/>
    <w:rsid w:val="00BD6735"/>
    <w:rsid w:val="00BE1CB8"/>
    <w:rsid w:val="00BE3766"/>
    <w:rsid w:val="00BF327F"/>
    <w:rsid w:val="00BF47EA"/>
    <w:rsid w:val="00C00D4C"/>
    <w:rsid w:val="00C0218C"/>
    <w:rsid w:val="00C04E0F"/>
    <w:rsid w:val="00C11644"/>
    <w:rsid w:val="00C14845"/>
    <w:rsid w:val="00C35020"/>
    <w:rsid w:val="00C355BF"/>
    <w:rsid w:val="00C42135"/>
    <w:rsid w:val="00C53CE4"/>
    <w:rsid w:val="00C56B54"/>
    <w:rsid w:val="00C71038"/>
    <w:rsid w:val="00C71B02"/>
    <w:rsid w:val="00C71D36"/>
    <w:rsid w:val="00C757F7"/>
    <w:rsid w:val="00C76FDA"/>
    <w:rsid w:val="00C85C7C"/>
    <w:rsid w:val="00C9592F"/>
    <w:rsid w:val="00C95BC9"/>
    <w:rsid w:val="00C96A8D"/>
    <w:rsid w:val="00CA67EC"/>
    <w:rsid w:val="00CB08CB"/>
    <w:rsid w:val="00CB441C"/>
    <w:rsid w:val="00CB5849"/>
    <w:rsid w:val="00CB63C5"/>
    <w:rsid w:val="00CC1D86"/>
    <w:rsid w:val="00CC4F48"/>
    <w:rsid w:val="00CE2E31"/>
    <w:rsid w:val="00CE5E0E"/>
    <w:rsid w:val="00CE66E7"/>
    <w:rsid w:val="00CF3D58"/>
    <w:rsid w:val="00CF42DB"/>
    <w:rsid w:val="00D000EF"/>
    <w:rsid w:val="00D06971"/>
    <w:rsid w:val="00D32976"/>
    <w:rsid w:val="00D333DD"/>
    <w:rsid w:val="00D356C6"/>
    <w:rsid w:val="00D47416"/>
    <w:rsid w:val="00D47B61"/>
    <w:rsid w:val="00D5087C"/>
    <w:rsid w:val="00D5245F"/>
    <w:rsid w:val="00D545D9"/>
    <w:rsid w:val="00D66DFC"/>
    <w:rsid w:val="00D71BCB"/>
    <w:rsid w:val="00D83080"/>
    <w:rsid w:val="00D9260C"/>
    <w:rsid w:val="00DA417D"/>
    <w:rsid w:val="00DA5AA8"/>
    <w:rsid w:val="00DA7C77"/>
    <w:rsid w:val="00DB277F"/>
    <w:rsid w:val="00DC7C01"/>
    <w:rsid w:val="00DD0236"/>
    <w:rsid w:val="00DD3F81"/>
    <w:rsid w:val="00DD4D33"/>
    <w:rsid w:val="00DD58F5"/>
    <w:rsid w:val="00DE4433"/>
    <w:rsid w:val="00DE5825"/>
    <w:rsid w:val="00DE70D9"/>
    <w:rsid w:val="00DF0B7E"/>
    <w:rsid w:val="00E00BAD"/>
    <w:rsid w:val="00E022F2"/>
    <w:rsid w:val="00E11EA3"/>
    <w:rsid w:val="00E2104F"/>
    <w:rsid w:val="00E272CC"/>
    <w:rsid w:val="00E33ED7"/>
    <w:rsid w:val="00E4068F"/>
    <w:rsid w:val="00E44E51"/>
    <w:rsid w:val="00E51AA1"/>
    <w:rsid w:val="00E5235D"/>
    <w:rsid w:val="00E55FD8"/>
    <w:rsid w:val="00E72775"/>
    <w:rsid w:val="00E77B39"/>
    <w:rsid w:val="00E85DB6"/>
    <w:rsid w:val="00E87370"/>
    <w:rsid w:val="00E934D4"/>
    <w:rsid w:val="00E97843"/>
    <w:rsid w:val="00EA0653"/>
    <w:rsid w:val="00EB09FB"/>
    <w:rsid w:val="00EB297B"/>
    <w:rsid w:val="00EB49F9"/>
    <w:rsid w:val="00EB7B05"/>
    <w:rsid w:val="00EE29C4"/>
    <w:rsid w:val="00EE49DC"/>
    <w:rsid w:val="00EE5EDA"/>
    <w:rsid w:val="00EF2769"/>
    <w:rsid w:val="00EF5845"/>
    <w:rsid w:val="00F06E30"/>
    <w:rsid w:val="00F15280"/>
    <w:rsid w:val="00F15D86"/>
    <w:rsid w:val="00F167D7"/>
    <w:rsid w:val="00F16B65"/>
    <w:rsid w:val="00F20194"/>
    <w:rsid w:val="00F26599"/>
    <w:rsid w:val="00F27952"/>
    <w:rsid w:val="00F300C8"/>
    <w:rsid w:val="00F331C1"/>
    <w:rsid w:val="00F56294"/>
    <w:rsid w:val="00F57623"/>
    <w:rsid w:val="00F66C9A"/>
    <w:rsid w:val="00F7425D"/>
    <w:rsid w:val="00F75A94"/>
    <w:rsid w:val="00F910F7"/>
    <w:rsid w:val="00FA54AE"/>
    <w:rsid w:val="00FD1072"/>
    <w:rsid w:val="00FD13F2"/>
    <w:rsid w:val="00FD16BF"/>
    <w:rsid w:val="00FD1E4B"/>
    <w:rsid w:val="00FD2C7C"/>
    <w:rsid w:val="00FD4D11"/>
    <w:rsid w:val="00FE16FC"/>
    <w:rsid w:val="00FE20D7"/>
    <w:rsid w:val="00FF0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A8B0A7C"/>
  <w15:docId w15:val="{B679FAD7-D08C-43E6-9DE0-D258E3099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8D5B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ypfheading">
    <w:name w:val="wypf heading"/>
    <w:next w:val="Normal"/>
    <w:link w:val="wypfheadingChar"/>
    <w:qFormat/>
    <w:rsid w:val="00BF47EA"/>
    <w:pPr>
      <w:spacing w:after="480" w:line="240" w:lineRule="auto"/>
      <w:ind w:left="11" w:hanging="11"/>
    </w:pPr>
    <w:rPr>
      <w:rFonts w:ascii="Arial" w:eastAsia="Arial" w:hAnsi="Arial" w:cs="Arial"/>
      <w:color w:val="000000"/>
      <w:sz w:val="96"/>
      <w14:ligatures w14:val="standard"/>
    </w:rPr>
  </w:style>
  <w:style w:type="character" w:customStyle="1" w:styleId="wypfheadingChar">
    <w:name w:val="wypf heading Char"/>
    <w:basedOn w:val="DefaultParagraphFont"/>
    <w:link w:val="wypfheading"/>
    <w:rsid w:val="00BF47EA"/>
    <w:rPr>
      <w:rFonts w:ascii="Arial" w:eastAsia="Arial" w:hAnsi="Arial" w:cs="Arial"/>
      <w:color w:val="000000"/>
      <w:sz w:val="96"/>
      <w14:ligatures w14:val="standard"/>
    </w:rPr>
  </w:style>
  <w:style w:type="character" w:styleId="Hyperlink">
    <w:name w:val="Hyperlink"/>
    <w:basedOn w:val="DefaultParagraphFont"/>
    <w:uiPriority w:val="99"/>
    <w:unhideWhenUsed/>
    <w:rsid w:val="00831979"/>
    <w:rPr>
      <w:b w:val="0"/>
      <w:bCs w:val="0"/>
      <w:color w:val="D93B44"/>
      <w:u w:val="single"/>
    </w:rPr>
  </w:style>
  <w:style w:type="paragraph" w:styleId="ListParagraph">
    <w:name w:val="List Paragraph"/>
    <w:basedOn w:val="Normal"/>
    <w:uiPriority w:val="34"/>
    <w:qFormat/>
    <w:rsid w:val="00831979"/>
    <w:pPr>
      <w:ind w:left="720"/>
      <w:contextualSpacing/>
    </w:pPr>
  </w:style>
  <w:style w:type="table" w:styleId="TableGrid">
    <w:name w:val="Table Grid"/>
    <w:basedOn w:val="TableNormal"/>
    <w:uiPriority w:val="39"/>
    <w:rsid w:val="008319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90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0E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0EA6"/>
  </w:style>
  <w:style w:type="paragraph" w:styleId="Footer">
    <w:name w:val="footer"/>
    <w:basedOn w:val="Normal"/>
    <w:link w:val="FooterChar"/>
    <w:uiPriority w:val="99"/>
    <w:unhideWhenUsed/>
    <w:rsid w:val="00890E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0EA6"/>
  </w:style>
  <w:style w:type="paragraph" w:styleId="BalloonText">
    <w:name w:val="Balloon Text"/>
    <w:basedOn w:val="Normal"/>
    <w:link w:val="BalloonTextChar"/>
    <w:uiPriority w:val="99"/>
    <w:semiHidden/>
    <w:unhideWhenUsed/>
    <w:rsid w:val="00543B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B77"/>
    <w:rPr>
      <w:rFonts w:ascii="Segoe UI" w:hAnsi="Segoe UI" w:cs="Segoe UI"/>
      <w:sz w:val="18"/>
      <w:szCs w:val="18"/>
    </w:rPr>
  </w:style>
  <w:style w:type="table" w:customStyle="1" w:styleId="TableGrid1">
    <w:name w:val="Table Grid1"/>
    <w:basedOn w:val="TableNormal"/>
    <w:next w:val="TableGrid"/>
    <w:uiPriority w:val="39"/>
    <w:rsid w:val="00543B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D5B36"/>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777637"/>
    <w:rPr>
      <w:color w:val="954F72" w:themeColor="followedHyperlink"/>
      <w:u w:val="single"/>
    </w:rPr>
  </w:style>
  <w:style w:type="table" w:customStyle="1" w:styleId="TableGrid2">
    <w:name w:val="Table Grid2"/>
    <w:basedOn w:val="TableNormal"/>
    <w:next w:val="TableGrid"/>
    <w:uiPriority w:val="39"/>
    <w:rsid w:val="00D66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66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A67EC"/>
    <w:rPr>
      <w:b/>
      <w:bCs/>
    </w:rPr>
  </w:style>
  <w:style w:type="paragraph" w:customStyle="1" w:styleId="Default">
    <w:name w:val="Default"/>
    <w:rsid w:val="004A4C54"/>
    <w:pPr>
      <w:autoSpaceDE w:val="0"/>
      <w:autoSpaceDN w:val="0"/>
      <w:adjustRightInd w:val="0"/>
      <w:spacing w:after="0" w:line="240" w:lineRule="auto"/>
    </w:pPr>
    <w:rPr>
      <w:rFonts w:ascii="Arial" w:hAnsi="Arial" w:cs="Arial"/>
      <w:color w:val="000000"/>
      <w:sz w:val="24"/>
      <w:szCs w:val="24"/>
    </w:rPr>
  </w:style>
  <w:style w:type="table" w:customStyle="1" w:styleId="TableGrid4">
    <w:name w:val="Table Grid4"/>
    <w:basedOn w:val="TableNormal"/>
    <w:next w:val="TableGrid"/>
    <w:uiPriority w:val="59"/>
    <w:rsid w:val="00B37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87730"/>
    <w:pPr>
      <w:spacing w:after="0" w:line="240" w:lineRule="auto"/>
    </w:pPr>
  </w:style>
  <w:style w:type="paragraph" w:styleId="NormalWeb">
    <w:name w:val="Normal (Web)"/>
    <w:basedOn w:val="Normal"/>
    <w:uiPriority w:val="99"/>
    <w:semiHidden/>
    <w:unhideWhenUsed/>
    <w:rsid w:val="00CC1D86"/>
    <w:pPr>
      <w:spacing w:after="75" w:line="240" w:lineRule="auto"/>
    </w:pPr>
    <w:rPr>
      <w:rFonts w:ascii="Times New Roman" w:eastAsia="Times New Roman" w:hAnsi="Times New Roman" w:cs="Times New Roman"/>
      <w:sz w:val="24"/>
      <w:szCs w:val="24"/>
      <w:lang w:eastAsia="en-GB"/>
    </w:rPr>
  </w:style>
  <w:style w:type="character" w:customStyle="1" w:styleId="fontstyle01">
    <w:name w:val="fontstyle01"/>
    <w:basedOn w:val="DefaultParagraphFont"/>
    <w:rsid w:val="003A25C6"/>
    <w:rPr>
      <w:rFonts w:ascii="Arial-BoldMT" w:hAnsi="Arial-BoldMT" w:hint="default"/>
      <w:b/>
      <w:bCs/>
      <w:i w:val="0"/>
      <w:iCs w:val="0"/>
      <w:color w:val="2E74B5"/>
      <w:sz w:val="28"/>
      <w:szCs w:val="28"/>
    </w:rPr>
  </w:style>
  <w:style w:type="character" w:customStyle="1" w:styleId="fontstyle21">
    <w:name w:val="fontstyle21"/>
    <w:basedOn w:val="DefaultParagraphFont"/>
    <w:rsid w:val="003A25C6"/>
    <w:rPr>
      <w:rFonts w:ascii="ArialMT" w:hAnsi="ArialMT" w:hint="default"/>
      <w:b w:val="0"/>
      <w:bCs w:val="0"/>
      <w:i w:val="0"/>
      <w:iCs w:val="0"/>
      <w:color w:val="000000"/>
      <w:sz w:val="24"/>
      <w:szCs w:val="24"/>
    </w:rPr>
  </w:style>
  <w:style w:type="table" w:customStyle="1" w:styleId="TableGrid41">
    <w:name w:val="Table Grid41"/>
    <w:basedOn w:val="TableNormal"/>
    <w:next w:val="TableGrid"/>
    <w:uiPriority w:val="59"/>
    <w:rsid w:val="005F6F1D"/>
    <w:pPr>
      <w:spacing w:after="0" w:line="240" w:lineRule="auto"/>
    </w:pPr>
    <w:rPr>
      <w:rFonts w:eastAsia="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5F6F1D"/>
    <w:pPr>
      <w:spacing w:after="120"/>
    </w:pPr>
  </w:style>
  <w:style w:type="character" w:customStyle="1" w:styleId="BodyTextChar">
    <w:name w:val="Body Text Char"/>
    <w:basedOn w:val="DefaultParagraphFont"/>
    <w:link w:val="BodyText"/>
    <w:uiPriority w:val="99"/>
    <w:semiHidden/>
    <w:rsid w:val="005F6F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4871">
      <w:bodyDiv w:val="1"/>
      <w:marLeft w:val="0"/>
      <w:marRight w:val="0"/>
      <w:marTop w:val="0"/>
      <w:marBottom w:val="0"/>
      <w:divBdr>
        <w:top w:val="none" w:sz="0" w:space="0" w:color="auto"/>
        <w:left w:val="none" w:sz="0" w:space="0" w:color="auto"/>
        <w:bottom w:val="none" w:sz="0" w:space="0" w:color="auto"/>
        <w:right w:val="none" w:sz="0" w:space="0" w:color="auto"/>
      </w:divBdr>
    </w:div>
    <w:div w:id="68164493">
      <w:bodyDiv w:val="1"/>
      <w:marLeft w:val="0"/>
      <w:marRight w:val="0"/>
      <w:marTop w:val="0"/>
      <w:marBottom w:val="0"/>
      <w:divBdr>
        <w:top w:val="none" w:sz="0" w:space="0" w:color="auto"/>
        <w:left w:val="none" w:sz="0" w:space="0" w:color="auto"/>
        <w:bottom w:val="none" w:sz="0" w:space="0" w:color="auto"/>
        <w:right w:val="none" w:sz="0" w:space="0" w:color="auto"/>
      </w:divBdr>
    </w:div>
    <w:div w:id="69424229">
      <w:bodyDiv w:val="1"/>
      <w:marLeft w:val="0"/>
      <w:marRight w:val="0"/>
      <w:marTop w:val="0"/>
      <w:marBottom w:val="0"/>
      <w:divBdr>
        <w:top w:val="none" w:sz="0" w:space="0" w:color="auto"/>
        <w:left w:val="none" w:sz="0" w:space="0" w:color="auto"/>
        <w:bottom w:val="none" w:sz="0" w:space="0" w:color="auto"/>
        <w:right w:val="none" w:sz="0" w:space="0" w:color="auto"/>
      </w:divBdr>
    </w:div>
    <w:div w:id="86848063">
      <w:bodyDiv w:val="1"/>
      <w:marLeft w:val="0"/>
      <w:marRight w:val="0"/>
      <w:marTop w:val="0"/>
      <w:marBottom w:val="0"/>
      <w:divBdr>
        <w:top w:val="none" w:sz="0" w:space="0" w:color="auto"/>
        <w:left w:val="none" w:sz="0" w:space="0" w:color="auto"/>
        <w:bottom w:val="none" w:sz="0" w:space="0" w:color="auto"/>
        <w:right w:val="none" w:sz="0" w:space="0" w:color="auto"/>
      </w:divBdr>
    </w:div>
    <w:div w:id="113643623">
      <w:bodyDiv w:val="1"/>
      <w:marLeft w:val="0"/>
      <w:marRight w:val="0"/>
      <w:marTop w:val="0"/>
      <w:marBottom w:val="0"/>
      <w:divBdr>
        <w:top w:val="none" w:sz="0" w:space="0" w:color="auto"/>
        <w:left w:val="none" w:sz="0" w:space="0" w:color="auto"/>
        <w:bottom w:val="none" w:sz="0" w:space="0" w:color="auto"/>
        <w:right w:val="none" w:sz="0" w:space="0" w:color="auto"/>
      </w:divBdr>
    </w:div>
    <w:div w:id="115606335">
      <w:bodyDiv w:val="1"/>
      <w:marLeft w:val="0"/>
      <w:marRight w:val="0"/>
      <w:marTop w:val="0"/>
      <w:marBottom w:val="0"/>
      <w:divBdr>
        <w:top w:val="none" w:sz="0" w:space="0" w:color="auto"/>
        <w:left w:val="none" w:sz="0" w:space="0" w:color="auto"/>
        <w:bottom w:val="none" w:sz="0" w:space="0" w:color="auto"/>
        <w:right w:val="none" w:sz="0" w:space="0" w:color="auto"/>
      </w:divBdr>
    </w:div>
    <w:div w:id="116067852">
      <w:bodyDiv w:val="1"/>
      <w:marLeft w:val="0"/>
      <w:marRight w:val="0"/>
      <w:marTop w:val="0"/>
      <w:marBottom w:val="0"/>
      <w:divBdr>
        <w:top w:val="none" w:sz="0" w:space="0" w:color="auto"/>
        <w:left w:val="none" w:sz="0" w:space="0" w:color="auto"/>
        <w:bottom w:val="none" w:sz="0" w:space="0" w:color="auto"/>
        <w:right w:val="none" w:sz="0" w:space="0" w:color="auto"/>
      </w:divBdr>
    </w:div>
    <w:div w:id="158008520">
      <w:bodyDiv w:val="1"/>
      <w:marLeft w:val="0"/>
      <w:marRight w:val="0"/>
      <w:marTop w:val="0"/>
      <w:marBottom w:val="0"/>
      <w:divBdr>
        <w:top w:val="none" w:sz="0" w:space="0" w:color="auto"/>
        <w:left w:val="none" w:sz="0" w:space="0" w:color="auto"/>
        <w:bottom w:val="none" w:sz="0" w:space="0" w:color="auto"/>
        <w:right w:val="none" w:sz="0" w:space="0" w:color="auto"/>
      </w:divBdr>
    </w:div>
    <w:div w:id="173571045">
      <w:bodyDiv w:val="1"/>
      <w:marLeft w:val="0"/>
      <w:marRight w:val="0"/>
      <w:marTop w:val="0"/>
      <w:marBottom w:val="0"/>
      <w:divBdr>
        <w:top w:val="none" w:sz="0" w:space="0" w:color="auto"/>
        <w:left w:val="none" w:sz="0" w:space="0" w:color="auto"/>
        <w:bottom w:val="none" w:sz="0" w:space="0" w:color="auto"/>
        <w:right w:val="none" w:sz="0" w:space="0" w:color="auto"/>
      </w:divBdr>
    </w:div>
    <w:div w:id="176505784">
      <w:bodyDiv w:val="1"/>
      <w:marLeft w:val="0"/>
      <w:marRight w:val="0"/>
      <w:marTop w:val="0"/>
      <w:marBottom w:val="0"/>
      <w:divBdr>
        <w:top w:val="none" w:sz="0" w:space="0" w:color="auto"/>
        <w:left w:val="none" w:sz="0" w:space="0" w:color="auto"/>
        <w:bottom w:val="none" w:sz="0" w:space="0" w:color="auto"/>
        <w:right w:val="none" w:sz="0" w:space="0" w:color="auto"/>
      </w:divBdr>
    </w:div>
    <w:div w:id="207843481">
      <w:bodyDiv w:val="1"/>
      <w:marLeft w:val="0"/>
      <w:marRight w:val="0"/>
      <w:marTop w:val="0"/>
      <w:marBottom w:val="0"/>
      <w:divBdr>
        <w:top w:val="none" w:sz="0" w:space="0" w:color="auto"/>
        <w:left w:val="none" w:sz="0" w:space="0" w:color="auto"/>
        <w:bottom w:val="none" w:sz="0" w:space="0" w:color="auto"/>
        <w:right w:val="none" w:sz="0" w:space="0" w:color="auto"/>
      </w:divBdr>
    </w:div>
    <w:div w:id="213081767">
      <w:bodyDiv w:val="1"/>
      <w:marLeft w:val="0"/>
      <w:marRight w:val="0"/>
      <w:marTop w:val="0"/>
      <w:marBottom w:val="0"/>
      <w:divBdr>
        <w:top w:val="none" w:sz="0" w:space="0" w:color="auto"/>
        <w:left w:val="none" w:sz="0" w:space="0" w:color="auto"/>
        <w:bottom w:val="none" w:sz="0" w:space="0" w:color="auto"/>
        <w:right w:val="none" w:sz="0" w:space="0" w:color="auto"/>
      </w:divBdr>
    </w:div>
    <w:div w:id="227691883">
      <w:bodyDiv w:val="1"/>
      <w:marLeft w:val="0"/>
      <w:marRight w:val="0"/>
      <w:marTop w:val="0"/>
      <w:marBottom w:val="0"/>
      <w:divBdr>
        <w:top w:val="none" w:sz="0" w:space="0" w:color="auto"/>
        <w:left w:val="none" w:sz="0" w:space="0" w:color="auto"/>
        <w:bottom w:val="none" w:sz="0" w:space="0" w:color="auto"/>
        <w:right w:val="none" w:sz="0" w:space="0" w:color="auto"/>
      </w:divBdr>
    </w:div>
    <w:div w:id="240531498">
      <w:bodyDiv w:val="1"/>
      <w:marLeft w:val="0"/>
      <w:marRight w:val="0"/>
      <w:marTop w:val="0"/>
      <w:marBottom w:val="0"/>
      <w:divBdr>
        <w:top w:val="none" w:sz="0" w:space="0" w:color="auto"/>
        <w:left w:val="none" w:sz="0" w:space="0" w:color="auto"/>
        <w:bottom w:val="none" w:sz="0" w:space="0" w:color="auto"/>
        <w:right w:val="none" w:sz="0" w:space="0" w:color="auto"/>
      </w:divBdr>
    </w:div>
    <w:div w:id="242683183">
      <w:bodyDiv w:val="1"/>
      <w:marLeft w:val="0"/>
      <w:marRight w:val="0"/>
      <w:marTop w:val="0"/>
      <w:marBottom w:val="0"/>
      <w:divBdr>
        <w:top w:val="none" w:sz="0" w:space="0" w:color="auto"/>
        <w:left w:val="none" w:sz="0" w:space="0" w:color="auto"/>
        <w:bottom w:val="none" w:sz="0" w:space="0" w:color="auto"/>
        <w:right w:val="none" w:sz="0" w:space="0" w:color="auto"/>
      </w:divBdr>
    </w:div>
    <w:div w:id="281694170">
      <w:bodyDiv w:val="1"/>
      <w:marLeft w:val="0"/>
      <w:marRight w:val="0"/>
      <w:marTop w:val="0"/>
      <w:marBottom w:val="0"/>
      <w:divBdr>
        <w:top w:val="none" w:sz="0" w:space="0" w:color="auto"/>
        <w:left w:val="none" w:sz="0" w:space="0" w:color="auto"/>
        <w:bottom w:val="none" w:sz="0" w:space="0" w:color="auto"/>
        <w:right w:val="none" w:sz="0" w:space="0" w:color="auto"/>
      </w:divBdr>
    </w:div>
    <w:div w:id="320158112">
      <w:bodyDiv w:val="1"/>
      <w:marLeft w:val="0"/>
      <w:marRight w:val="0"/>
      <w:marTop w:val="0"/>
      <w:marBottom w:val="0"/>
      <w:divBdr>
        <w:top w:val="none" w:sz="0" w:space="0" w:color="auto"/>
        <w:left w:val="none" w:sz="0" w:space="0" w:color="auto"/>
        <w:bottom w:val="none" w:sz="0" w:space="0" w:color="auto"/>
        <w:right w:val="none" w:sz="0" w:space="0" w:color="auto"/>
      </w:divBdr>
    </w:div>
    <w:div w:id="328795832">
      <w:bodyDiv w:val="1"/>
      <w:marLeft w:val="0"/>
      <w:marRight w:val="0"/>
      <w:marTop w:val="0"/>
      <w:marBottom w:val="0"/>
      <w:divBdr>
        <w:top w:val="none" w:sz="0" w:space="0" w:color="auto"/>
        <w:left w:val="none" w:sz="0" w:space="0" w:color="auto"/>
        <w:bottom w:val="none" w:sz="0" w:space="0" w:color="auto"/>
        <w:right w:val="none" w:sz="0" w:space="0" w:color="auto"/>
      </w:divBdr>
    </w:div>
    <w:div w:id="351763690">
      <w:bodyDiv w:val="1"/>
      <w:marLeft w:val="0"/>
      <w:marRight w:val="0"/>
      <w:marTop w:val="0"/>
      <w:marBottom w:val="0"/>
      <w:divBdr>
        <w:top w:val="none" w:sz="0" w:space="0" w:color="auto"/>
        <w:left w:val="none" w:sz="0" w:space="0" w:color="auto"/>
        <w:bottom w:val="none" w:sz="0" w:space="0" w:color="auto"/>
        <w:right w:val="none" w:sz="0" w:space="0" w:color="auto"/>
      </w:divBdr>
    </w:div>
    <w:div w:id="390814192">
      <w:bodyDiv w:val="1"/>
      <w:marLeft w:val="0"/>
      <w:marRight w:val="0"/>
      <w:marTop w:val="0"/>
      <w:marBottom w:val="0"/>
      <w:divBdr>
        <w:top w:val="none" w:sz="0" w:space="0" w:color="auto"/>
        <w:left w:val="none" w:sz="0" w:space="0" w:color="auto"/>
        <w:bottom w:val="none" w:sz="0" w:space="0" w:color="auto"/>
        <w:right w:val="none" w:sz="0" w:space="0" w:color="auto"/>
      </w:divBdr>
    </w:div>
    <w:div w:id="396170844">
      <w:bodyDiv w:val="1"/>
      <w:marLeft w:val="0"/>
      <w:marRight w:val="0"/>
      <w:marTop w:val="0"/>
      <w:marBottom w:val="0"/>
      <w:divBdr>
        <w:top w:val="none" w:sz="0" w:space="0" w:color="auto"/>
        <w:left w:val="none" w:sz="0" w:space="0" w:color="auto"/>
        <w:bottom w:val="none" w:sz="0" w:space="0" w:color="auto"/>
        <w:right w:val="none" w:sz="0" w:space="0" w:color="auto"/>
      </w:divBdr>
    </w:div>
    <w:div w:id="422264469">
      <w:bodyDiv w:val="1"/>
      <w:marLeft w:val="0"/>
      <w:marRight w:val="0"/>
      <w:marTop w:val="0"/>
      <w:marBottom w:val="0"/>
      <w:divBdr>
        <w:top w:val="none" w:sz="0" w:space="0" w:color="auto"/>
        <w:left w:val="none" w:sz="0" w:space="0" w:color="auto"/>
        <w:bottom w:val="none" w:sz="0" w:space="0" w:color="auto"/>
        <w:right w:val="none" w:sz="0" w:space="0" w:color="auto"/>
      </w:divBdr>
    </w:div>
    <w:div w:id="423962266">
      <w:bodyDiv w:val="1"/>
      <w:marLeft w:val="0"/>
      <w:marRight w:val="0"/>
      <w:marTop w:val="0"/>
      <w:marBottom w:val="0"/>
      <w:divBdr>
        <w:top w:val="none" w:sz="0" w:space="0" w:color="auto"/>
        <w:left w:val="none" w:sz="0" w:space="0" w:color="auto"/>
        <w:bottom w:val="none" w:sz="0" w:space="0" w:color="auto"/>
        <w:right w:val="none" w:sz="0" w:space="0" w:color="auto"/>
      </w:divBdr>
    </w:div>
    <w:div w:id="514851775">
      <w:bodyDiv w:val="1"/>
      <w:marLeft w:val="0"/>
      <w:marRight w:val="0"/>
      <w:marTop w:val="0"/>
      <w:marBottom w:val="0"/>
      <w:divBdr>
        <w:top w:val="none" w:sz="0" w:space="0" w:color="auto"/>
        <w:left w:val="none" w:sz="0" w:space="0" w:color="auto"/>
        <w:bottom w:val="none" w:sz="0" w:space="0" w:color="auto"/>
        <w:right w:val="none" w:sz="0" w:space="0" w:color="auto"/>
      </w:divBdr>
    </w:div>
    <w:div w:id="530413357">
      <w:bodyDiv w:val="1"/>
      <w:marLeft w:val="0"/>
      <w:marRight w:val="0"/>
      <w:marTop w:val="0"/>
      <w:marBottom w:val="0"/>
      <w:divBdr>
        <w:top w:val="none" w:sz="0" w:space="0" w:color="auto"/>
        <w:left w:val="none" w:sz="0" w:space="0" w:color="auto"/>
        <w:bottom w:val="none" w:sz="0" w:space="0" w:color="auto"/>
        <w:right w:val="none" w:sz="0" w:space="0" w:color="auto"/>
      </w:divBdr>
    </w:div>
    <w:div w:id="532690817">
      <w:bodyDiv w:val="1"/>
      <w:marLeft w:val="0"/>
      <w:marRight w:val="0"/>
      <w:marTop w:val="0"/>
      <w:marBottom w:val="0"/>
      <w:divBdr>
        <w:top w:val="none" w:sz="0" w:space="0" w:color="auto"/>
        <w:left w:val="none" w:sz="0" w:space="0" w:color="auto"/>
        <w:bottom w:val="none" w:sz="0" w:space="0" w:color="auto"/>
        <w:right w:val="none" w:sz="0" w:space="0" w:color="auto"/>
      </w:divBdr>
    </w:div>
    <w:div w:id="535119825">
      <w:bodyDiv w:val="1"/>
      <w:marLeft w:val="0"/>
      <w:marRight w:val="0"/>
      <w:marTop w:val="0"/>
      <w:marBottom w:val="0"/>
      <w:divBdr>
        <w:top w:val="none" w:sz="0" w:space="0" w:color="auto"/>
        <w:left w:val="none" w:sz="0" w:space="0" w:color="auto"/>
        <w:bottom w:val="none" w:sz="0" w:space="0" w:color="auto"/>
        <w:right w:val="none" w:sz="0" w:space="0" w:color="auto"/>
      </w:divBdr>
    </w:div>
    <w:div w:id="545338669">
      <w:bodyDiv w:val="1"/>
      <w:marLeft w:val="0"/>
      <w:marRight w:val="0"/>
      <w:marTop w:val="0"/>
      <w:marBottom w:val="0"/>
      <w:divBdr>
        <w:top w:val="none" w:sz="0" w:space="0" w:color="auto"/>
        <w:left w:val="none" w:sz="0" w:space="0" w:color="auto"/>
        <w:bottom w:val="none" w:sz="0" w:space="0" w:color="auto"/>
        <w:right w:val="none" w:sz="0" w:space="0" w:color="auto"/>
      </w:divBdr>
    </w:div>
    <w:div w:id="560411069">
      <w:bodyDiv w:val="1"/>
      <w:marLeft w:val="0"/>
      <w:marRight w:val="0"/>
      <w:marTop w:val="0"/>
      <w:marBottom w:val="0"/>
      <w:divBdr>
        <w:top w:val="none" w:sz="0" w:space="0" w:color="auto"/>
        <w:left w:val="none" w:sz="0" w:space="0" w:color="auto"/>
        <w:bottom w:val="none" w:sz="0" w:space="0" w:color="auto"/>
        <w:right w:val="none" w:sz="0" w:space="0" w:color="auto"/>
      </w:divBdr>
    </w:div>
    <w:div w:id="584922982">
      <w:bodyDiv w:val="1"/>
      <w:marLeft w:val="0"/>
      <w:marRight w:val="0"/>
      <w:marTop w:val="0"/>
      <w:marBottom w:val="0"/>
      <w:divBdr>
        <w:top w:val="none" w:sz="0" w:space="0" w:color="auto"/>
        <w:left w:val="none" w:sz="0" w:space="0" w:color="auto"/>
        <w:bottom w:val="none" w:sz="0" w:space="0" w:color="auto"/>
        <w:right w:val="none" w:sz="0" w:space="0" w:color="auto"/>
      </w:divBdr>
    </w:div>
    <w:div w:id="587809914">
      <w:bodyDiv w:val="1"/>
      <w:marLeft w:val="0"/>
      <w:marRight w:val="0"/>
      <w:marTop w:val="0"/>
      <w:marBottom w:val="0"/>
      <w:divBdr>
        <w:top w:val="none" w:sz="0" w:space="0" w:color="auto"/>
        <w:left w:val="none" w:sz="0" w:space="0" w:color="auto"/>
        <w:bottom w:val="none" w:sz="0" w:space="0" w:color="auto"/>
        <w:right w:val="none" w:sz="0" w:space="0" w:color="auto"/>
      </w:divBdr>
      <w:divsChild>
        <w:div w:id="246812133">
          <w:marLeft w:val="0"/>
          <w:marRight w:val="0"/>
          <w:marTop w:val="0"/>
          <w:marBottom w:val="0"/>
          <w:divBdr>
            <w:top w:val="none" w:sz="0" w:space="0" w:color="auto"/>
            <w:left w:val="none" w:sz="0" w:space="0" w:color="auto"/>
            <w:bottom w:val="none" w:sz="0" w:space="0" w:color="auto"/>
            <w:right w:val="none" w:sz="0" w:space="0" w:color="auto"/>
          </w:divBdr>
        </w:div>
      </w:divsChild>
    </w:div>
    <w:div w:id="598223570">
      <w:bodyDiv w:val="1"/>
      <w:marLeft w:val="0"/>
      <w:marRight w:val="0"/>
      <w:marTop w:val="0"/>
      <w:marBottom w:val="0"/>
      <w:divBdr>
        <w:top w:val="none" w:sz="0" w:space="0" w:color="auto"/>
        <w:left w:val="none" w:sz="0" w:space="0" w:color="auto"/>
        <w:bottom w:val="none" w:sz="0" w:space="0" w:color="auto"/>
        <w:right w:val="none" w:sz="0" w:space="0" w:color="auto"/>
      </w:divBdr>
    </w:div>
    <w:div w:id="660432078">
      <w:bodyDiv w:val="1"/>
      <w:marLeft w:val="0"/>
      <w:marRight w:val="0"/>
      <w:marTop w:val="0"/>
      <w:marBottom w:val="0"/>
      <w:divBdr>
        <w:top w:val="none" w:sz="0" w:space="0" w:color="auto"/>
        <w:left w:val="none" w:sz="0" w:space="0" w:color="auto"/>
        <w:bottom w:val="none" w:sz="0" w:space="0" w:color="auto"/>
        <w:right w:val="none" w:sz="0" w:space="0" w:color="auto"/>
      </w:divBdr>
    </w:div>
    <w:div w:id="721485901">
      <w:bodyDiv w:val="1"/>
      <w:marLeft w:val="0"/>
      <w:marRight w:val="0"/>
      <w:marTop w:val="0"/>
      <w:marBottom w:val="0"/>
      <w:divBdr>
        <w:top w:val="none" w:sz="0" w:space="0" w:color="auto"/>
        <w:left w:val="none" w:sz="0" w:space="0" w:color="auto"/>
        <w:bottom w:val="none" w:sz="0" w:space="0" w:color="auto"/>
        <w:right w:val="none" w:sz="0" w:space="0" w:color="auto"/>
      </w:divBdr>
    </w:div>
    <w:div w:id="744642465">
      <w:bodyDiv w:val="1"/>
      <w:marLeft w:val="0"/>
      <w:marRight w:val="0"/>
      <w:marTop w:val="0"/>
      <w:marBottom w:val="0"/>
      <w:divBdr>
        <w:top w:val="none" w:sz="0" w:space="0" w:color="auto"/>
        <w:left w:val="none" w:sz="0" w:space="0" w:color="auto"/>
        <w:bottom w:val="none" w:sz="0" w:space="0" w:color="auto"/>
        <w:right w:val="none" w:sz="0" w:space="0" w:color="auto"/>
      </w:divBdr>
    </w:div>
    <w:div w:id="758451739">
      <w:bodyDiv w:val="1"/>
      <w:marLeft w:val="0"/>
      <w:marRight w:val="0"/>
      <w:marTop w:val="0"/>
      <w:marBottom w:val="0"/>
      <w:divBdr>
        <w:top w:val="none" w:sz="0" w:space="0" w:color="auto"/>
        <w:left w:val="none" w:sz="0" w:space="0" w:color="auto"/>
        <w:bottom w:val="none" w:sz="0" w:space="0" w:color="auto"/>
        <w:right w:val="none" w:sz="0" w:space="0" w:color="auto"/>
      </w:divBdr>
    </w:div>
    <w:div w:id="807166179">
      <w:bodyDiv w:val="1"/>
      <w:marLeft w:val="0"/>
      <w:marRight w:val="0"/>
      <w:marTop w:val="0"/>
      <w:marBottom w:val="0"/>
      <w:divBdr>
        <w:top w:val="none" w:sz="0" w:space="0" w:color="auto"/>
        <w:left w:val="none" w:sz="0" w:space="0" w:color="auto"/>
        <w:bottom w:val="none" w:sz="0" w:space="0" w:color="auto"/>
        <w:right w:val="none" w:sz="0" w:space="0" w:color="auto"/>
      </w:divBdr>
    </w:div>
    <w:div w:id="835531082">
      <w:bodyDiv w:val="1"/>
      <w:marLeft w:val="0"/>
      <w:marRight w:val="0"/>
      <w:marTop w:val="0"/>
      <w:marBottom w:val="0"/>
      <w:divBdr>
        <w:top w:val="none" w:sz="0" w:space="0" w:color="auto"/>
        <w:left w:val="none" w:sz="0" w:space="0" w:color="auto"/>
        <w:bottom w:val="none" w:sz="0" w:space="0" w:color="auto"/>
        <w:right w:val="none" w:sz="0" w:space="0" w:color="auto"/>
      </w:divBdr>
    </w:div>
    <w:div w:id="838347875">
      <w:bodyDiv w:val="1"/>
      <w:marLeft w:val="0"/>
      <w:marRight w:val="0"/>
      <w:marTop w:val="0"/>
      <w:marBottom w:val="0"/>
      <w:divBdr>
        <w:top w:val="none" w:sz="0" w:space="0" w:color="auto"/>
        <w:left w:val="none" w:sz="0" w:space="0" w:color="auto"/>
        <w:bottom w:val="none" w:sz="0" w:space="0" w:color="auto"/>
        <w:right w:val="none" w:sz="0" w:space="0" w:color="auto"/>
      </w:divBdr>
    </w:div>
    <w:div w:id="855919366">
      <w:bodyDiv w:val="1"/>
      <w:marLeft w:val="0"/>
      <w:marRight w:val="0"/>
      <w:marTop w:val="0"/>
      <w:marBottom w:val="0"/>
      <w:divBdr>
        <w:top w:val="none" w:sz="0" w:space="0" w:color="auto"/>
        <w:left w:val="none" w:sz="0" w:space="0" w:color="auto"/>
        <w:bottom w:val="none" w:sz="0" w:space="0" w:color="auto"/>
        <w:right w:val="none" w:sz="0" w:space="0" w:color="auto"/>
      </w:divBdr>
    </w:div>
    <w:div w:id="869148337">
      <w:bodyDiv w:val="1"/>
      <w:marLeft w:val="0"/>
      <w:marRight w:val="0"/>
      <w:marTop w:val="0"/>
      <w:marBottom w:val="0"/>
      <w:divBdr>
        <w:top w:val="none" w:sz="0" w:space="0" w:color="auto"/>
        <w:left w:val="none" w:sz="0" w:space="0" w:color="auto"/>
        <w:bottom w:val="none" w:sz="0" w:space="0" w:color="auto"/>
        <w:right w:val="none" w:sz="0" w:space="0" w:color="auto"/>
      </w:divBdr>
    </w:div>
    <w:div w:id="878664448">
      <w:bodyDiv w:val="1"/>
      <w:marLeft w:val="0"/>
      <w:marRight w:val="0"/>
      <w:marTop w:val="0"/>
      <w:marBottom w:val="0"/>
      <w:divBdr>
        <w:top w:val="none" w:sz="0" w:space="0" w:color="auto"/>
        <w:left w:val="none" w:sz="0" w:space="0" w:color="auto"/>
        <w:bottom w:val="none" w:sz="0" w:space="0" w:color="auto"/>
        <w:right w:val="none" w:sz="0" w:space="0" w:color="auto"/>
      </w:divBdr>
    </w:div>
    <w:div w:id="922494465">
      <w:bodyDiv w:val="1"/>
      <w:marLeft w:val="0"/>
      <w:marRight w:val="0"/>
      <w:marTop w:val="0"/>
      <w:marBottom w:val="0"/>
      <w:divBdr>
        <w:top w:val="none" w:sz="0" w:space="0" w:color="auto"/>
        <w:left w:val="none" w:sz="0" w:space="0" w:color="auto"/>
        <w:bottom w:val="none" w:sz="0" w:space="0" w:color="auto"/>
        <w:right w:val="none" w:sz="0" w:space="0" w:color="auto"/>
      </w:divBdr>
    </w:div>
    <w:div w:id="941303070">
      <w:bodyDiv w:val="1"/>
      <w:marLeft w:val="0"/>
      <w:marRight w:val="0"/>
      <w:marTop w:val="0"/>
      <w:marBottom w:val="0"/>
      <w:divBdr>
        <w:top w:val="none" w:sz="0" w:space="0" w:color="auto"/>
        <w:left w:val="none" w:sz="0" w:space="0" w:color="auto"/>
        <w:bottom w:val="none" w:sz="0" w:space="0" w:color="auto"/>
        <w:right w:val="none" w:sz="0" w:space="0" w:color="auto"/>
      </w:divBdr>
    </w:div>
    <w:div w:id="948010581">
      <w:bodyDiv w:val="1"/>
      <w:marLeft w:val="0"/>
      <w:marRight w:val="0"/>
      <w:marTop w:val="0"/>
      <w:marBottom w:val="0"/>
      <w:divBdr>
        <w:top w:val="none" w:sz="0" w:space="0" w:color="auto"/>
        <w:left w:val="none" w:sz="0" w:space="0" w:color="auto"/>
        <w:bottom w:val="none" w:sz="0" w:space="0" w:color="auto"/>
        <w:right w:val="none" w:sz="0" w:space="0" w:color="auto"/>
      </w:divBdr>
    </w:div>
    <w:div w:id="963314390">
      <w:bodyDiv w:val="1"/>
      <w:marLeft w:val="0"/>
      <w:marRight w:val="0"/>
      <w:marTop w:val="0"/>
      <w:marBottom w:val="0"/>
      <w:divBdr>
        <w:top w:val="none" w:sz="0" w:space="0" w:color="auto"/>
        <w:left w:val="none" w:sz="0" w:space="0" w:color="auto"/>
        <w:bottom w:val="none" w:sz="0" w:space="0" w:color="auto"/>
        <w:right w:val="none" w:sz="0" w:space="0" w:color="auto"/>
      </w:divBdr>
    </w:div>
    <w:div w:id="969553947">
      <w:bodyDiv w:val="1"/>
      <w:marLeft w:val="0"/>
      <w:marRight w:val="0"/>
      <w:marTop w:val="0"/>
      <w:marBottom w:val="0"/>
      <w:divBdr>
        <w:top w:val="none" w:sz="0" w:space="0" w:color="auto"/>
        <w:left w:val="none" w:sz="0" w:space="0" w:color="auto"/>
        <w:bottom w:val="none" w:sz="0" w:space="0" w:color="auto"/>
        <w:right w:val="none" w:sz="0" w:space="0" w:color="auto"/>
      </w:divBdr>
    </w:div>
    <w:div w:id="1010107813">
      <w:bodyDiv w:val="1"/>
      <w:marLeft w:val="0"/>
      <w:marRight w:val="0"/>
      <w:marTop w:val="0"/>
      <w:marBottom w:val="0"/>
      <w:divBdr>
        <w:top w:val="none" w:sz="0" w:space="0" w:color="auto"/>
        <w:left w:val="none" w:sz="0" w:space="0" w:color="auto"/>
        <w:bottom w:val="none" w:sz="0" w:space="0" w:color="auto"/>
        <w:right w:val="none" w:sz="0" w:space="0" w:color="auto"/>
      </w:divBdr>
    </w:div>
    <w:div w:id="1052532919">
      <w:bodyDiv w:val="1"/>
      <w:marLeft w:val="0"/>
      <w:marRight w:val="0"/>
      <w:marTop w:val="0"/>
      <w:marBottom w:val="0"/>
      <w:divBdr>
        <w:top w:val="none" w:sz="0" w:space="0" w:color="auto"/>
        <w:left w:val="none" w:sz="0" w:space="0" w:color="auto"/>
        <w:bottom w:val="none" w:sz="0" w:space="0" w:color="auto"/>
        <w:right w:val="none" w:sz="0" w:space="0" w:color="auto"/>
      </w:divBdr>
    </w:div>
    <w:div w:id="1082214484">
      <w:bodyDiv w:val="1"/>
      <w:marLeft w:val="0"/>
      <w:marRight w:val="0"/>
      <w:marTop w:val="0"/>
      <w:marBottom w:val="0"/>
      <w:divBdr>
        <w:top w:val="none" w:sz="0" w:space="0" w:color="auto"/>
        <w:left w:val="none" w:sz="0" w:space="0" w:color="auto"/>
        <w:bottom w:val="none" w:sz="0" w:space="0" w:color="auto"/>
        <w:right w:val="none" w:sz="0" w:space="0" w:color="auto"/>
      </w:divBdr>
    </w:div>
    <w:div w:id="1090856258">
      <w:bodyDiv w:val="1"/>
      <w:marLeft w:val="0"/>
      <w:marRight w:val="0"/>
      <w:marTop w:val="0"/>
      <w:marBottom w:val="0"/>
      <w:divBdr>
        <w:top w:val="none" w:sz="0" w:space="0" w:color="auto"/>
        <w:left w:val="none" w:sz="0" w:space="0" w:color="auto"/>
        <w:bottom w:val="none" w:sz="0" w:space="0" w:color="auto"/>
        <w:right w:val="none" w:sz="0" w:space="0" w:color="auto"/>
      </w:divBdr>
    </w:div>
    <w:div w:id="1101219176">
      <w:bodyDiv w:val="1"/>
      <w:marLeft w:val="0"/>
      <w:marRight w:val="0"/>
      <w:marTop w:val="0"/>
      <w:marBottom w:val="0"/>
      <w:divBdr>
        <w:top w:val="none" w:sz="0" w:space="0" w:color="auto"/>
        <w:left w:val="none" w:sz="0" w:space="0" w:color="auto"/>
        <w:bottom w:val="none" w:sz="0" w:space="0" w:color="auto"/>
        <w:right w:val="none" w:sz="0" w:space="0" w:color="auto"/>
      </w:divBdr>
    </w:div>
    <w:div w:id="1112096242">
      <w:bodyDiv w:val="1"/>
      <w:marLeft w:val="0"/>
      <w:marRight w:val="0"/>
      <w:marTop w:val="0"/>
      <w:marBottom w:val="0"/>
      <w:divBdr>
        <w:top w:val="none" w:sz="0" w:space="0" w:color="auto"/>
        <w:left w:val="none" w:sz="0" w:space="0" w:color="auto"/>
        <w:bottom w:val="none" w:sz="0" w:space="0" w:color="auto"/>
        <w:right w:val="none" w:sz="0" w:space="0" w:color="auto"/>
      </w:divBdr>
    </w:div>
    <w:div w:id="1187909120">
      <w:bodyDiv w:val="1"/>
      <w:marLeft w:val="0"/>
      <w:marRight w:val="0"/>
      <w:marTop w:val="0"/>
      <w:marBottom w:val="0"/>
      <w:divBdr>
        <w:top w:val="none" w:sz="0" w:space="0" w:color="auto"/>
        <w:left w:val="none" w:sz="0" w:space="0" w:color="auto"/>
        <w:bottom w:val="none" w:sz="0" w:space="0" w:color="auto"/>
        <w:right w:val="none" w:sz="0" w:space="0" w:color="auto"/>
      </w:divBdr>
    </w:div>
    <w:div w:id="1236211205">
      <w:bodyDiv w:val="1"/>
      <w:marLeft w:val="0"/>
      <w:marRight w:val="0"/>
      <w:marTop w:val="0"/>
      <w:marBottom w:val="0"/>
      <w:divBdr>
        <w:top w:val="none" w:sz="0" w:space="0" w:color="auto"/>
        <w:left w:val="none" w:sz="0" w:space="0" w:color="auto"/>
        <w:bottom w:val="none" w:sz="0" w:space="0" w:color="auto"/>
        <w:right w:val="none" w:sz="0" w:space="0" w:color="auto"/>
      </w:divBdr>
    </w:div>
    <w:div w:id="1258905179">
      <w:bodyDiv w:val="1"/>
      <w:marLeft w:val="0"/>
      <w:marRight w:val="0"/>
      <w:marTop w:val="0"/>
      <w:marBottom w:val="0"/>
      <w:divBdr>
        <w:top w:val="none" w:sz="0" w:space="0" w:color="auto"/>
        <w:left w:val="none" w:sz="0" w:space="0" w:color="auto"/>
        <w:bottom w:val="none" w:sz="0" w:space="0" w:color="auto"/>
        <w:right w:val="none" w:sz="0" w:space="0" w:color="auto"/>
      </w:divBdr>
    </w:div>
    <w:div w:id="1300766505">
      <w:bodyDiv w:val="1"/>
      <w:marLeft w:val="0"/>
      <w:marRight w:val="0"/>
      <w:marTop w:val="0"/>
      <w:marBottom w:val="0"/>
      <w:divBdr>
        <w:top w:val="none" w:sz="0" w:space="0" w:color="auto"/>
        <w:left w:val="none" w:sz="0" w:space="0" w:color="auto"/>
        <w:bottom w:val="none" w:sz="0" w:space="0" w:color="auto"/>
        <w:right w:val="none" w:sz="0" w:space="0" w:color="auto"/>
      </w:divBdr>
    </w:div>
    <w:div w:id="1310670690">
      <w:bodyDiv w:val="1"/>
      <w:marLeft w:val="0"/>
      <w:marRight w:val="0"/>
      <w:marTop w:val="0"/>
      <w:marBottom w:val="0"/>
      <w:divBdr>
        <w:top w:val="none" w:sz="0" w:space="0" w:color="auto"/>
        <w:left w:val="none" w:sz="0" w:space="0" w:color="auto"/>
        <w:bottom w:val="none" w:sz="0" w:space="0" w:color="auto"/>
        <w:right w:val="none" w:sz="0" w:space="0" w:color="auto"/>
      </w:divBdr>
    </w:div>
    <w:div w:id="1339504079">
      <w:bodyDiv w:val="1"/>
      <w:marLeft w:val="0"/>
      <w:marRight w:val="0"/>
      <w:marTop w:val="0"/>
      <w:marBottom w:val="0"/>
      <w:divBdr>
        <w:top w:val="none" w:sz="0" w:space="0" w:color="auto"/>
        <w:left w:val="none" w:sz="0" w:space="0" w:color="auto"/>
        <w:bottom w:val="none" w:sz="0" w:space="0" w:color="auto"/>
        <w:right w:val="none" w:sz="0" w:space="0" w:color="auto"/>
      </w:divBdr>
    </w:div>
    <w:div w:id="1348602157">
      <w:bodyDiv w:val="1"/>
      <w:marLeft w:val="0"/>
      <w:marRight w:val="0"/>
      <w:marTop w:val="0"/>
      <w:marBottom w:val="0"/>
      <w:divBdr>
        <w:top w:val="none" w:sz="0" w:space="0" w:color="auto"/>
        <w:left w:val="none" w:sz="0" w:space="0" w:color="auto"/>
        <w:bottom w:val="none" w:sz="0" w:space="0" w:color="auto"/>
        <w:right w:val="none" w:sz="0" w:space="0" w:color="auto"/>
      </w:divBdr>
    </w:div>
    <w:div w:id="1350647193">
      <w:bodyDiv w:val="1"/>
      <w:marLeft w:val="0"/>
      <w:marRight w:val="0"/>
      <w:marTop w:val="0"/>
      <w:marBottom w:val="0"/>
      <w:divBdr>
        <w:top w:val="none" w:sz="0" w:space="0" w:color="auto"/>
        <w:left w:val="none" w:sz="0" w:space="0" w:color="auto"/>
        <w:bottom w:val="none" w:sz="0" w:space="0" w:color="auto"/>
        <w:right w:val="none" w:sz="0" w:space="0" w:color="auto"/>
      </w:divBdr>
    </w:div>
    <w:div w:id="1378969506">
      <w:bodyDiv w:val="1"/>
      <w:marLeft w:val="0"/>
      <w:marRight w:val="0"/>
      <w:marTop w:val="0"/>
      <w:marBottom w:val="0"/>
      <w:divBdr>
        <w:top w:val="none" w:sz="0" w:space="0" w:color="auto"/>
        <w:left w:val="none" w:sz="0" w:space="0" w:color="auto"/>
        <w:bottom w:val="none" w:sz="0" w:space="0" w:color="auto"/>
        <w:right w:val="none" w:sz="0" w:space="0" w:color="auto"/>
      </w:divBdr>
    </w:div>
    <w:div w:id="1399939582">
      <w:bodyDiv w:val="1"/>
      <w:marLeft w:val="0"/>
      <w:marRight w:val="0"/>
      <w:marTop w:val="0"/>
      <w:marBottom w:val="0"/>
      <w:divBdr>
        <w:top w:val="none" w:sz="0" w:space="0" w:color="auto"/>
        <w:left w:val="none" w:sz="0" w:space="0" w:color="auto"/>
        <w:bottom w:val="none" w:sz="0" w:space="0" w:color="auto"/>
        <w:right w:val="none" w:sz="0" w:space="0" w:color="auto"/>
      </w:divBdr>
    </w:div>
    <w:div w:id="1403260313">
      <w:bodyDiv w:val="1"/>
      <w:marLeft w:val="0"/>
      <w:marRight w:val="0"/>
      <w:marTop w:val="0"/>
      <w:marBottom w:val="0"/>
      <w:divBdr>
        <w:top w:val="none" w:sz="0" w:space="0" w:color="auto"/>
        <w:left w:val="none" w:sz="0" w:space="0" w:color="auto"/>
        <w:bottom w:val="none" w:sz="0" w:space="0" w:color="auto"/>
        <w:right w:val="none" w:sz="0" w:space="0" w:color="auto"/>
      </w:divBdr>
    </w:div>
    <w:div w:id="1417242810">
      <w:bodyDiv w:val="1"/>
      <w:marLeft w:val="0"/>
      <w:marRight w:val="0"/>
      <w:marTop w:val="0"/>
      <w:marBottom w:val="0"/>
      <w:divBdr>
        <w:top w:val="none" w:sz="0" w:space="0" w:color="auto"/>
        <w:left w:val="none" w:sz="0" w:space="0" w:color="auto"/>
        <w:bottom w:val="none" w:sz="0" w:space="0" w:color="auto"/>
        <w:right w:val="none" w:sz="0" w:space="0" w:color="auto"/>
      </w:divBdr>
    </w:div>
    <w:div w:id="1455442127">
      <w:bodyDiv w:val="1"/>
      <w:marLeft w:val="0"/>
      <w:marRight w:val="0"/>
      <w:marTop w:val="0"/>
      <w:marBottom w:val="0"/>
      <w:divBdr>
        <w:top w:val="none" w:sz="0" w:space="0" w:color="auto"/>
        <w:left w:val="none" w:sz="0" w:space="0" w:color="auto"/>
        <w:bottom w:val="none" w:sz="0" w:space="0" w:color="auto"/>
        <w:right w:val="none" w:sz="0" w:space="0" w:color="auto"/>
      </w:divBdr>
    </w:div>
    <w:div w:id="1472676061">
      <w:bodyDiv w:val="1"/>
      <w:marLeft w:val="0"/>
      <w:marRight w:val="0"/>
      <w:marTop w:val="0"/>
      <w:marBottom w:val="0"/>
      <w:divBdr>
        <w:top w:val="none" w:sz="0" w:space="0" w:color="auto"/>
        <w:left w:val="none" w:sz="0" w:space="0" w:color="auto"/>
        <w:bottom w:val="none" w:sz="0" w:space="0" w:color="auto"/>
        <w:right w:val="none" w:sz="0" w:space="0" w:color="auto"/>
      </w:divBdr>
    </w:div>
    <w:div w:id="1506280642">
      <w:bodyDiv w:val="1"/>
      <w:marLeft w:val="0"/>
      <w:marRight w:val="0"/>
      <w:marTop w:val="0"/>
      <w:marBottom w:val="0"/>
      <w:divBdr>
        <w:top w:val="none" w:sz="0" w:space="0" w:color="auto"/>
        <w:left w:val="none" w:sz="0" w:space="0" w:color="auto"/>
        <w:bottom w:val="none" w:sz="0" w:space="0" w:color="auto"/>
        <w:right w:val="none" w:sz="0" w:space="0" w:color="auto"/>
      </w:divBdr>
    </w:div>
    <w:div w:id="1523469182">
      <w:bodyDiv w:val="1"/>
      <w:marLeft w:val="0"/>
      <w:marRight w:val="0"/>
      <w:marTop w:val="0"/>
      <w:marBottom w:val="0"/>
      <w:divBdr>
        <w:top w:val="none" w:sz="0" w:space="0" w:color="auto"/>
        <w:left w:val="none" w:sz="0" w:space="0" w:color="auto"/>
        <w:bottom w:val="none" w:sz="0" w:space="0" w:color="auto"/>
        <w:right w:val="none" w:sz="0" w:space="0" w:color="auto"/>
      </w:divBdr>
    </w:div>
    <w:div w:id="1534683001">
      <w:bodyDiv w:val="1"/>
      <w:marLeft w:val="0"/>
      <w:marRight w:val="0"/>
      <w:marTop w:val="0"/>
      <w:marBottom w:val="0"/>
      <w:divBdr>
        <w:top w:val="none" w:sz="0" w:space="0" w:color="auto"/>
        <w:left w:val="none" w:sz="0" w:space="0" w:color="auto"/>
        <w:bottom w:val="none" w:sz="0" w:space="0" w:color="auto"/>
        <w:right w:val="none" w:sz="0" w:space="0" w:color="auto"/>
      </w:divBdr>
    </w:div>
    <w:div w:id="1553885709">
      <w:bodyDiv w:val="1"/>
      <w:marLeft w:val="0"/>
      <w:marRight w:val="0"/>
      <w:marTop w:val="0"/>
      <w:marBottom w:val="0"/>
      <w:divBdr>
        <w:top w:val="none" w:sz="0" w:space="0" w:color="auto"/>
        <w:left w:val="none" w:sz="0" w:space="0" w:color="auto"/>
        <w:bottom w:val="none" w:sz="0" w:space="0" w:color="auto"/>
        <w:right w:val="none" w:sz="0" w:space="0" w:color="auto"/>
      </w:divBdr>
    </w:div>
    <w:div w:id="1593587290">
      <w:bodyDiv w:val="1"/>
      <w:marLeft w:val="0"/>
      <w:marRight w:val="0"/>
      <w:marTop w:val="0"/>
      <w:marBottom w:val="0"/>
      <w:divBdr>
        <w:top w:val="none" w:sz="0" w:space="0" w:color="auto"/>
        <w:left w:val="none" w:sz="0" w:space="0" w:color="auto"/>
        <w:bottom w:val="none" w:sz="0" w:space="0" w:color="auto"/>
        <w:right w:val="none" w:sz="0" w:space="0" w:color="auto"/>
      </w:divBdr>
    </w:div>
    <w:div w:id="1626764784">
      <w:bodyDiv w:val="1"/>
      <w:marLeft w:val="0"/>
      <w:marRight w:val="0"/>
      <w:marTop w:val="0"/>
      <w:marBottom w:val="0"/>
      <w:divBdr>
        <w:top w:val="none" w:sz="0" w:space="0" w:color="auto"/>
        <w:left w:val="none" w:sz="0" w:space="0" w:color="auto"/>
        <w:bottom w:val="none" w:sz="0" w:space="0" w:color="auto"/>
        <w:right w:val="none" w:sz="0" w:space="0" w:color="auto"/>
      </w:divBdr>
    </w:div>
    <w:div w:id="1691253848">
      <w:bodyDiv w:val="1"/>
      <w:marLeft w:val="0"/>
      <w:marRight w:val="0"/>
      <w:marTop w:val="0"/>
      <w:marBottom w:val="0"/>
      <w:divBdr>
        <w:top w:val="none" w:sz="0" w:space="0" w:color="auto"/>
        <w:left w:val="none" w:sz="0" w:space="0" w:color="auto"/>
        <w:bottom w:val="none" w:sz="0" w:space="0" w:color="auto"/>
        <w:right w:val="none" w:sz="0" w:space="0" w:color="auto"/>
      </w:divBdr>
    </w:div>
    <w:div w:id="1709644296">
      <w:bodyDiv w:val="1"/>
      <w:marLeft w:val="0"/>
      <w:marRight w:val="0"/>
      <w:marTop w:val="0"/>
      <w:marBottom w:val="0"/>
      <w:divBdr>
        <w:top w:val="none" w:sz="0" w:space="0" w:color="auto"/>
        <w:left w:val="none" w:sz="0" w:space="0" w:color="auto"/>
        <w:bottom w:val="none" w:sz="0" w:space="0" w:color="auto"/>
        <w:right w:val="none" w:sz="0" w:space="0" w:color="auto"/>
      </w:divBdr>
    </w:div>
    <w:div w:id="1727874079">
      <w:bodyDiv w:val="1"/>
      <w:marLeft w:val="0"/>
      <w:marRight w:val="0"/>
      <w:marTop w:val="0"/>
      <w:marBottom w:val="0"/>
      <w:divBdr>
        <w:top w:val="none" w:sz="0" w:space="0" w:color="auto"/>
        <w:left w:val="none" w:sz="0" w:space="0" w:color="auto"/>
        <w:bottom w:val="none" w:sz="0" w:space="0" w:color="auto"/>
        <w:right w:val="none" w:sz="0" w:space="0" w:color="auto"/>
      </w:divBdr>
    </w:div>
    <w:div w:id="1756708682">
      <w:bodyDiv w:val="1"/>
      <w:marLeft w:val="0"/>
      <w:marRight w:val="0"/>
      <w:marTop w:val="0"/>
      <w:marBottom w:val="0"/>
      <w:divBdr>
        <w:top w:val="none" w:sz="0" w:space="0" w:color="auto"/>
        <w:left w:val="none" w:sz="0" w:space="0" w:color="auto"/>
        <w:bottom w:val="none" w:sz="0" w:space="0" w:color="auto"/>
        <w:right w:val="none" w:sz="0" w:space="0" w:color="auto"/>
      </w:divBdr>
    </w:div>
    <w:div w:id="1771899106">
      <w:bodyDiv w:val="1"/>
      <w:marLeft w:val="0"/>
      <w:marRight w:val="0"/>
      <w:marTop w:val="0"/>
      <w:marBottom w:val="0"/>
      <w:divBdr>
        <w:top w:val="none" w:sz="0" w:space="0" w:color="auto"/>
        <w:left w:val="none" w:sz="0" w:space="0" w:color="auto"/>
        <w:bottom w:val="none" w:sz="0" w:space="0" w:color="auto"/>
        <w:right w:val="none" w:sz="0" w:space="0" w:color="auto"/>
      </w:divBdr>
    </w:div>
    <w:div w:id="1789426441">
      <w:bodyDiv w:val="1"/>
      <w:marLeft w:val="0"/>
      <w:marRight w:val="0"/>
      <w:marTop w:val="0"/>
      <w:marBottom w:val="0"/>
      <w:divBdr>
        <w:top w:val="none" w:sz="0" w:space="0" w:color="auto"/>
        <w:left w:val="none" w:sz="0" w:space="0" w:color="auto"/>
        <w:bottom w:val="none" w:sz="0" w:space="0" w:color="auto"/>
        <w:right w:val="none" w:sz="0" w:space="0" w:color="auto"/>
      </w:divBdr>
    </w:div>
    <w:div w:id="1851990284">
      <w:bodyDiv w:val="1"/>
      <w:marLeft w:val="0"/>
      <w:marRight w:val="0"/>
      <w:marTop w:val="0"/>
      <w:marBottom w:val="0"/>
      <w:divBdr>
        <w:top w:val="none" w:sz="0" w:space="0" w:color="auto"/>
        <w:left w:val="none" w:sz="0" w:space="0" w:color="auto"/>
        <w:bottom w:val="none" w:sz="0" w:space="0" w:color="auto"/>
        <w:right w:val="none" w:sz="0" w:space="0" w:color="auto"/>
      </w:divBdr>
    </w:div>
    <w:div w:id="1862820047">
      <w:bodyDiv w:val="1"/>
      <w:marLeft w:val="0"/>
      <w:marRight w:val="0"/>
      <w:marTop w:val="0"/>
      <w:marBottom w:val="0"/>
      <w:divBdr>
        <w:top w:val="none" w:sz="0" w:space="0" w:color="auto"/>
        <w:left w:val="none" w:sz="0" w:space="0" w:color="auto"/>
        <w:bottom w:val="none" w:sz="0" w:space="0" w:color="auto"/>
        <w:right w:val="none" w:sz="0" w:space="0" w:color="auto"/>
      </w:divBdr>
    </w:div>
    <w:div w:id="1870801405">
      <w:bodyDiv w:val="1"/>
      <w:marLeft w:val="0"/>
      <w:marRight w:val="0"/>
      <w:marTop w:val="0"/>
      <w:marBottom w:val="0"/>
      <w:divBdr>
        <w:top w:val="none" w:sz="0" w:space="0" w:color="auto"/>
        <w:left w:val="none" w:sz="0" w:space="0" w:color="auto"/>
        <w:bottom w:val="none" w:sz="0" w:space="0" w:color="auto"/>
        <w:right w:val="none" w:sz="0" w:space="0" w:color="auto"/>
      </w:divBdr>
    </w:div>
    <w:div w:id="1882672972">
      <w:bodyDiv w:val="1"/>
      <w:marLeft w:val="0"/>
      <w:marRight w:val="0"/>
      <w:marTop w:val="0"/>
      <w:marBottom w:val="0"/>
      <w:divBdr>
        <w:top w:val="none" w:sz="0" w:space="0" w:color="auto"/>
        <w:left w:val="none" w:sz="0" w:space="0" w:color="auto"/>
        <w:bottom w:val="none" w:sz="0" w:space="0" w:color="auto"/>
        <w:right w:val="none" w:sz="0" w:space="0" w:color="auto"/>
      </w:divBdr>
    </w:div>
    <w:div w:id="1890333831">
      <w:bodyDiv w:val="1"/>
      <w:marLeft w:val="0"/>
      <w:marRight w:val="0"/>
      <w:marTop w:val="0"/>
      <w:marBottom w:val="0"/>
      <w:divBdr>
        <w:top w:val="none" w:sz="0" w:space="0" w:color="auto"/>
        <w:left w:val="none" w:sz="0" w:space="0" w:color="auto"/>
        <w:bottom w:val="none" w:sz="0" w:space="0" w:color="auto"/>
        <w:right w:val="none" w:sz="0" w:space="0" w:color="auto"/>
      </w:divBdr>
    </w:div>
    <w:div w:id="1896424945">
      <w:bodyDiv w:val="1"/>
      <w:marLeft w:val="0"/>
      <w:marRight w:val="0"/>
      <w:marTop w:val="0"/>
      <w:marBottom w:val="0"/>
      <w:divBdr>
        <w:top w:val="none" w:sz="0" w:space="0" w:color="auto"/>
        <w:left w:val="none" w:sz="0" w:space="0" w:color="auto"/>
        <w:bottom w:val="none" w:sz="0" w:space="0" w:color="auto"/>
        <w:right w:val="none" w:sz="0" w:space="0" w:color="auto"/>
      </w:divBdr>
    </w:div>
    <w:div w:id="1926956134">
      <w:bodyDiv w:val="1"/>
      <w:marLeft w:val="0"/>
      <w:marRight w:val="0"/>
      <w:marTop w:val="0"/>
      <w:marBottom w:val="0"/>
      <w:divBdr>
        <w:top w:val="none" w:sz="0" w:space="0" w:color="auto"/>
        <w:left w:val="none" w:sz="0" w:space="0" w:color="auto"/>
        <w:bottom w:val="none" w:sz="0" w:space="0" w:color="auto"/>
        <w:right w:val="none" w:sz="0" w:space="0" w:color="auto"/>
      </w:divBdr>
    </w:div>
    <w:div w:id="2001809697">
      <w:bodyDiv w:val="1"/>
      <w:marLeft w:val="0"/>
      <w:marRight w:val="0"/>
      <w:marTop w:val="0"/>
      <w:marBottom w:val="0"/>
      <w:divBdr>
        <w:top w:val="none" w:sz="0" w:space="0" w:color="auto"/>
        <w:left w:val="none" w:sz="0" w:space="0" w:color="auto"/>
        <w:bottom w:val="none" w:sz="0" w:space="0" w:color="auto"/>
        <w:right w:val="none" w:sz="0" w:space="0" w:color="auto"/>
      </w:divBdr>
    </w:div>
    <w:div w:id="2002006620">
      <w:bodyDiv w:val="1"/>
      <w:marLeft w:val="0"/>
      <w:marRight w:val="0"/>
      <w:marTop w:val="0"/>
      <w:marBottom w:val="0"/>
      <w:divBdr>
        <w:top w:val="none" w:sz="0" w:space="0" w:color="auto"/>
        <w:left w:val="none" w:sz="0" w:space="0" w:color="auto"/>
        <w:bottom w:val="none" w:sz="0" w:space="0" w:color="auto"/>
        <w:right w:val="none" w:sz="0" w:space="0" w:color="auto"/>
      </w:divBdr>
    </w:div>
    <w:div w:id="2067407318">
      <w:bodyDiv w:val="1"/>
      <w:marLeft w:val="0"/>
      <w:marRight w:val="0"/>
      <w:marTop w:val="0"/>
      <w:marBottom w:val="0"/>
      <w:divBdr>
        <w:top w:val="none" w:sz="0" w:space="0" w:color="auto"/>
        <w:left w:val="none" w:sz="0" w:space="0" w:color="auto"/>
        <w:bottom w:val="none" w:sz="0" w:space="0" w:color="auto"/>
        <w:right w:val="none" w:sz="0" w:space="0" w:color="auto"/>
      </w:divBdr>
    </w:div>
    <w:div w:id="2079594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cid:image007.png@01D8E9F1.C296EA10" TargetMode="External"/><Relationship Id="rId26" Type="http://schemas.openxmlformats.org/officeDocument/2006/relationships/chart" Target="charts/chart5.xml"/><Relationship Id="rId39" Type="http://schemas.openxmlformats.org/officeDocument/2006/relationships/package" Target="embeddings/Microsoft_Word_Document.docx"/><Relationship Id="rId21" Type="http://schemas.openxmlformats.org/officeDocument/2006/relationships/chart" Target="charts/chart1.xml"/><Relationship Id="rId34" Type="http://schemas.openxmlformats.org/officeDocument/2006/relationships/hyperlink" Target="mailto:matt.mott@wypf.org.uk" TargetMode="External"/><Relationship Id="rId42" Type="http://schemas.openxmlformats.org/officeDocument/2006/relationships/hyperlink" Target="https://www.fpsregs.org/images/Age-discrimination/Age-discrimination-remedy-Ill-Health-factsheet.pdf" TargetMode="External"/><Relationship Id="rId47" Type="http://schemas.openxmlformats.org/officeDocument/2006/relationships/hyperlink" Target="https://www.fpsregs.org/images/Age-discrimination/2015-Remedy-Your-questions-answered-FPS-England-23-February-2022.pdf" TargetMode="External"/><Relationship Id="rId50" Type="http://schemas.openxmlformats.org/officeDocument/2006/relationships/hyperlink" Target="https://www.fpsregs.org/index.php/age-discrimination-remedy/retrospective-remedy" TargetMode="External"/><Relationship Id="rId55" Type="http://schemas.openxmlformats.org/officeDocument/2006/relationships/hyperlink" Target="https://www.pensionsdashboardsprogramme.org.uk/consumer-protection/" TargetMode="External"/><Relationship Id="rId63" Type="http://schemas.openxmlformats.org/officeDocument/2006/relationships/hyperlink" Target="https://www.pensions-ombudsman.org.uk/" TargetMode="Externa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cid:image005.png@01D8E9F1.C296EA10" TargetMode="External"/><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32" Type="http://schemas.openxmlformats.org/officeDocument/2006/relationships/hyperlink" Target="mailto:abdul.majid@wypf.org.gov" TargetMode="External"/><Relationship Id="rId37" Type="http://schemas.openxmlformats.org/officeDocument/2006/relationships/image" Target="cid:image006.png@01D93708.E4FA3850" TargetMode="External"/><Relationship Id="rId40" Type="http://schemas.openxmlformats.org/officeDocument/2006/relationships/hyperlink" Target="https://www.fpsregs.org/images/Bulletins/Bulletin-65-January-2023/FPS-Bulletin-65-January-2023.pdf" TargetMode="External"/><Relationship Id="rId45" Type="http://schemas.openxmlformats.org/officeDocument/2006/relationships/hyperlink" Target="https://www.fpsregs.org/images/Bulletins/Bulletin-54-February-2022/Bulletin-54.pdf" TargetMode="External"/><Relationship Id="rId53" Type="http://schemas.openxmlformats.org/officeDocument/2006/relationships/hyperlink" Target="https://www.fpsregs.org/index.php/regulations/consolidated-regulations" TargetMode="External"/><Relationship Id="rId58" Type="http://schemas.openxmlformats.org/officeDocument/2006/relationships/hyperlink" Target="http://www.fpsregs.org/" TargetMode="External"/><Relationship Id="rId66" Type="http://schemas.openxmlformats.org/officeDocument/2006/relationships/hyperlink" Target="https://www.lgpsregs.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image" Target="media/image7.png"/><Relationship Id="rId49" Type="http://schemas.openxmlformats.org/officeDocument/2006/relationships/hyperlink" Target="https://www.fpsregs.org/images/Bulletins/Bulletin-65-January-2023/Appendix_1_Barnett_Waddingham_Case_Study_on_FPS_Remedy_2015.pdf" TargetMode="External"/><Relationship Id="rId57" Type="http://schemas.openxmlformats.org/officeDocument/2006/relationships/hyperlink" Target="http://www.fpsboard.org/" TargetMode="External"/><Relationship Id="rId61" Type="http://schemas.openxmlformats.org/officeDocument/2006/relationships/hyperlink" Target="http://webarchive.nationalarchives.gov.uk/20120919152859tf_/http:/www.communities.gov.uk/fire/firerescueservice/firefighterpensions/firefighterspensionscheme/" TargetMode="External"/><Relationship Id="rId10" Type="http://schemas.openxmlformats.org/officeDocument/2006/relationships/hyperlink" Target="http://www.facebook.com/westyorkshirepensionfund" TargetMode="External"/><Relationship Id="rId19" Type="http://schemas.openxmlformats.org/officeDocument/2006/relationships/image" Target="media/image6.jpeg"/><Relationship Id="rId31" Type="http://schemas.openxmlformats.org/officeDocument/2006/relationships/hyperlink" Target="https://events.bookitbee.com/w-y-p-f/fra-month-12-posting-workshop-2/" TargetMode="External"/><Relationship Id="rId44" Type="http://schemas.openxmlformats.org/officeDocument/2006/relationships/hyperlink" Target="https://www.fpsregs.org/images/Bulletins/Bulletin-61-September-2022/FPS-Bulletin-61-September-2022.pdf" TargetMode="External"/><Relationship Id="rId52" Type="http://schemas.openxmlformats.org/officeDocument/2006/relationships/hyperlink" Target="https://www.fpsregs.org/images/Bulletins/Bulletin-57-May-2022/FPS-Bulletin-57-May-2022.pdf" TargetMode="External"/><Relationship Id="rId60" Type="http://schemas.openxmlformats.org/officeDocument/2006/relationships/hyperlink" Target="https://khub.net/group/thefirefighterspensionsdiscussionforum" TargetMode="External"/><Relationship Id="rId65" Type="http://schemas.openxmlformats.org/officeDocument/2006/relationships/hyperlink" Target="https://www.local.gov.uk/our-support/workforce-and-hr-support/local-government-pensions" TargetMode="External"/><Relationship Id="rId4" Type="http://schemas.openxmlformats.org/officeDocument/2006/relationships/settings" Target="settings.xml"/><Relationship Id="rId9" Type="http://schemas.openxmlformats.org/officeDocument/2006/relationships/hyperlink" Target="http://www.twitter.com/wypf_lgps" TargetMode="External"/><Relationship Id="rId14" Type="http://schemas.openxmlformats.org/officeDocument/2006/relationships/image" Target="cid:image004.jpg@01D8E9F1.C296EA10" TargetMode="External"/><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hyperlink" Target="https://events.bookitbee.com/w-y-p-f/fra-month-12-posting-workshop-1/" TargetMode="External"/><Relationship Id="rId35" Type="http://schemas.openxmlformats.org/officeDocument/2006/relationships/hyperlink" Target="https://www.fpsregs.org/images/Age-discrimination/Remedy-data-collection-guidance-clean-29-April-2021.pdf" TargetMode="External"/><Relationship Id="rId43" Type="http://schemas.openxmlformats.org/officeDocument/2006/relationships/hyperlink" Target="https://www.fpsregs.org/images/Age-discrimination/Age-discrimination-remedy-Ill-Health-factsheet.pdf" TargetMode="External"/><Relationship Id="rId48" Type="http://schemas.openxmlformats.org/officeDocument/2006/relationships/hyperlink" Target="https://fpsmember.org/2015-remedy" TargetMode="External"/><Relationship Id="rId56" Type="http://schemas.openxmlformats.org/officeDocument/2006/relationships/hyperlink" Target="https://www.fpsregs.org/images/Bulletins/Bulletin-62-October-2022/FPS-Bulletin-62-October-2022.pdf" TargetMode="External"/><Relationship Id="rId64" Type="http://schemas.openxmlformats.org/officeDocument/2006/relationships/hyperlink" Target="https://www.pensions-ombudsman.org.uk/"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fpsregs.org/images/Bulletins/Bulletin-57-May-2022/FPS-Bulletin-57-May-2022.pdf" TargetMode="External"/><Relationship Id="rId3" Type="http://schemas.openxmlformats.org/officeDocument/2006/relationships/styles" Target="styles.xml"/><Relationship Id="rId12" Type="http://schemas.openxmlformats.org/officeDocument/2006/relationships/image" Target="cid:image003.jpg@01D8E9F1.C296EA10" TargetMode="External"/><Relationship Id="rId17" Type="http://schemas.openxmlformats.org/officeDocument/2006/relationships/image" Target="media/image5.png"/><Relationship Id="rId25" Type="http://schemas.openxmlformats.org/officeDocument/2006/relationships/chart" Target="charts/chart4.xml"/><Relationship Id="rId33" Type="http://schemas.openxmlformats.org/officeDocument/2006/relationships/hyperlink" Target="mailto:helen.scargill@wypf.org.uk" TargetMode="External"/><Relationship Id="rId38" Type="http://schemas.openxmlformats.org/officeDocument/2006/relationships/image" Target="media/image8.emf"/><Relationship Id="rId46" Type="http://schemas.openxmlformats.org/officeDocument/2006/relationships/hyperlink" Target="https://www.fpsboard.org/images/PDF/Meetings/30-September-2021/SAB-minutes-30-September-2021.pdf" TargetMode="External"/><Relationship Id="rId59" Type="http://schemas.openxmlformats.org/officeDocument/2006/relationships/hyperlink" Target="https://fpsmember.org/" TargetMode="External"/><Relationship Id="rId67" Type="http://schemas.openxmlformats.org/officeDocument/2006/relationships/hyperlink" Target="https://lgpsregs.org/bulletinsetc/bulletins.php" TargetMode="External"/><Relationship Id="rId20" Type="http://schemas.openxmlformats.org/officeDocument/2006/relationships/image" Target="cid:image006.jpg@01D8E9F1.C296EA10" TargetMode="External"/><Relationship Id="rId41" Type="http://schemas.openxmlformats.org/officeDocument/2006/relationships/hyperlink" Target="https://www.fpsregs.org/images/Bulletins/Bulletin-63-November-2022/FPS-Bulletin-63-November-2022.pdf" TargetMode="External"/><Relationship Id="rId54" Type="http://schemas.openxmlformats.org/officeDocument/2006/relationships/hyperlink" Target="https://youtu.be/GC3mdsyD-vw" TargetMode="External"/><Relationship Id="rId62" Type="http://schemas.openxmlformats.org/officeDocument/2006/relationships/hyperlink" Target="http://www.thepensionsregulator.gov.uk/public-service-schemes.aspx" TargetMode="Externa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svappenbhschv\pensions\Matt.Suki\Monthly%20Fire%20reports%20charts%20&amp;%20data\3%20Work%20outstanding%20work%20charts.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[1 Completed processes chart (KPIs).xlsx]Chart!PivotTable7</c:name>
    <c:fmtId val="850"/>
  </c:pivotSource>
  <c:chart>
    <c:title>
      <c:tx>
        <c:strRef>
          <c:f>Chart!$A$18</c:f>
          <c:strCache>
            <c:ptCount val="1"/>
          </c:strCache>
        </c:strRef>
      </c:tx>
      <c:layout>
        <c:manualLayout>
          <c:xMode val="edge"/>
          <c:yMode val="edge"/>
          <c:x val="0.14446043771043771"/>
          <c:y val="3.11758530183727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6"/>
          </a:solidFill>
          <a:ln>
            <a:noFill/>
          </a:ln>
          <a:effectLst/>
        </c:spPr>
        <c:marker>
          <c:symbol val="none"/>
        </c:marker>
      </c:pivotFmt>
      <c:pivotFmt>
        <c:idx val="1"/>
        <c:spPr>
          <a:solidFill>
            <a:schemeClr val="accent6"/>
          </a:solidFill>
        </c:spPr>
        <c:marker>
          <c:symbol val="none"/>
        </c:marker>
      </c:pivotFmt>
      <c:pivotFmt>
        <c:idx val="2"/>
        <c:spPr>
          <a:solidFill>
            <a:schemeClr val="accent6"/>
          </a:solidFill>
        </c:spPr>
        <c:marker>
          <c:symbol val="none"/>
        </c:marker>
      </c:pivotFmt>
      <c:pivotFmt>
        <c:idx val="3"/>
        <c:spPr>
          <a:solidFill>
            <a:schemeClr val="accent6"/>
          </a:solidFill>
        </c:spPr>
        <c:marker>
          <c:symbol val="none"/>
        </c:marker>
      </c:pivotFmt>
    </c:pivotFmts>
    <c:plotArea>
      <c:layout>
        <c:manualLayout>
          <c:layoutTarget val="inner"/>
          <c:xMode val="edge"/>
          <c:yMode val="edge"/>
          <c:x val="9.6639542483660135E-2"/>
          <c:y val="0.18026407413359044"/>
          <c:w val="0.84077287581699345"/>
          <c:h val="0.52648668916385455"/>
        </c:manualLayout>
      </c:layout>
      <c:barChart>
        <c:barDir val="col"/>
        <c:grouping val="clustered"/>
        <c:varyColors val="0"/>
        <c:ser>
          <c:idx val="0"/>
          <c:order val="0"/>
          <c:tx>
            <c:strRef>
              <c:f>Chart!$B$3</c:f>
              <c:strCache>
                <c:ptCount val="1"/>
                <c:pt idx="0">
                  <c:v>Total</c:v>
                </c:pt>
              </c:strCache>
            </c:strRef>
          </c:tx>
          <c:spPr>
            <a:solidFill>
              <a:schemeClr val="accent6"/>
            </a:solidFill>
          </c:spPr>
          <c:invertIfNegative val="0"/>
          <c:cat>
            <c:strRef>
              <c:f>Chart!$A$18</c:f>
              <c:strCache>
                <c:ptCount val="12"/>
                <c:pt idx="0">
                  <c:v>Feb-22</c:v>
                </c:pt>
                <c:pt idx="1">
                  <c:v>Mar-22</c:v>
                </c:pt>
                <c:pt idx="2">
                  <c:v>Apr-22</c:v>
                </c:pt>
                <c:pt idx="3">
                  <c:v>May-22</c:v>
                </c:pt>
                <c:pt idx="4">
                  <c:v>Jun-22</c:v>
                </c:pt>
                <c:pt idx="5">
                  <c:v>Jul-22</c:v>
                </c:pt>
                <c:pt idx="6">
                  <c:v>Aug-22</c:v>
                </c:pt>
                <c:pt idx="7">
                  <c:v>Sep-22</c:v>
                </c:pt>
                <c:pt idx="8">
                  <c:v>Oct-22</c:v>
                </c:pt>
                <c:pt idx="9">
                  <c:v>Nov-22</c:v>
                </c:pt>
                <c:pt idx="10">
                  <c:v>Dec-22</c:v>
                </c:pt>
                <c:pt idx="11">
                  <c:v>Jan-23</c:v>
                </c:pt>
              </c:strCache>
            </c:strRef>
          </c:cat>
          <c:val>
            <c:numRef>
              <c:f>Chart!$A$18</c:f>
              <c:numCache>
                <c:formatCode>General</c:formatCode>
                <c:ptCount val="12"/>
                <c:pt idx="0">
                  <c:v>16</c:v>
                </c:pt>
                <c:pt idx="1">
                  <c:v>38</c:v>
                </c:pt>
                <c:pt idx="2">
                  <c:v>18</c:v>
                </c:pt>
                <c:pt idx="3">
                  <c:v>24</c:v>
                </c:pt>
                <c:pt idx="4">
                  <c:v>21</c:v>
                </c:pt>
                <c:pt idx="5">
                  <c:v>31</c:v>
                </c:pt>
                <c:pt idx="6">
                  <c:v>26</c:v>
                </c:pt>
                <c:pt idx="7">
                  <c:v>25</c:v>
                </c:pt>
                <c:pt idx="8">
                  <c:v>37</c:v>
                </c:pt>
                <c:pt idx="9">
                  <c:v>33</c:v>
                </c:pt>
                <c:pt idx="10">
                  <c:v>23</c:v>
                </c:pt>
                <c:pt idx="11">
                  <c:v>17</c:v>
                </c:pt>
              </c:numCache>
            </c:numRef>
          </c:val>
          <c:extLst>
            <c:ext xmlns:c16="http://schemas.microsoft.com/office/drawing/2014/chart" uri="{C3380CC4-5D6E-409C-BE32-E72D297353CC}">
              <c16:uniqueId val="{00000000-65F9-4112-B0BA-9BF48DB9AB37}"/>
            </c:ext>
          </c:extLst>
        </c:ser>
        <c:dLbls>
          <c:showLegendKey val="0"/>
          <c:showVal val="0"/>
          <c:showCatName val="0"/>
          <c:showSerName val="0"/>
          <c:showPercent val="0"/>
          <c:showBubbleSize val="0"/>
        </c:dLbls>
        <c:gapWidth val="219"/>
        <c:overlap val="-27"/>
        <c:axId val="56034048"/>
        <c:axId val="105809024"/>
      </c:barChart>
      <c:catAx>
        <c:axId val="5603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809024"/>
        <c:crosses val="autoZero"/>
        <c:auto val="1"/>
        <c:lblAlgn val="ctr"/>
        <c:lblOffset val="100"/>
        <c:noMultiLvlLbl val="0"/>
      </c:catAx>
      <c:valAx>
        <c:axId val="105809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34048"/>
        <c:crosses val="autoZero"/>
        <c:crossBetween val="between"/>
        <c:majorUnit val="50"/>
      </c:valAx>
      <c:dTable>
        <c:showHorzBorder val="1"/>
        <c:showVertBorder val="1"/>
        <c:showOutline val="1"/>
        <c:showKeys val="1"/>
      </c:dTable>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420000"/>
    <a:lstStyle/>
    <a:p>
      <a:pPr>
        <a:defRPr/>
      </a:pPr>
      <a:endParaRPr lang="en-US"/>
    </a:p>
  </c:txPr>
  <c:externalData r:id="rId2">
    <c:autoUpdate val="0"/>
  </c:externalData>
  <c:userShapes r:id="rId3"/>
  <c:extLst>
    <c:ext xmlns:c14="http://schemas.microsoft.com/office/drawing/2007/8/2/chart" uri="{781A3756-C4B2-4CAC-9D66-4F8BD8637D16}">
      <c14:pivotOptions>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[3 Work outstanding work charts.xlsx]Chart active!PivotTable5</c:name>
    <c:fmtId val="837"/>
  </c:pivotSource>
  <c:chart>
    <c:title>
      <c:tx>
        <c:strRef>
          <c:f>'Chart active'!$A$20</c:f>
          <c:strCache>
            <c:ptCount val="1"/>
            <c:pt idx="0">
              <c:v>Outstanding Work Active -  Nottinghamshire Fire</c:v>
            </c:pt>
          </c:strCache>
        </c:strRef>
      </c:tx>
      <c:layout>
        <c:manualLayout>
          <c:xMode val="edge"/>
          <c:yMode val="edge"/>
          <c:x val="0.1786307291666667"/>
          <c:y val="3.190185185185185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s>
    <c:plotArea>
      <c:layout>
        <c:manualLayout>
          <c:layoutTarget val="inner"/>
          <c:xMode val="edge"/>
          <c:yMode val="edge"/>
          <c:x val="4.1824305555555559E-2"/>
          <c:y val="0.15012645502645502"/>
          <c:w val="0.84157482885681478"/>
          <c:h val="0.62992168445886421"/>
        </c:manualLayout>
      </c:layout>
      <c:barChart>
        <c:barDir val="col"/>
        <c:grouping val="clustered"/>
        <c:varyColors val="0"/>
        <c:ser>
          <c:idx val="0"/>
          <c:order val="0"/>
          <c:tx>
            <c:strRef>
              <c:f>'Chart active'!$B$4</c:f>
              <c:strCache>
                <c:ptCount val="1"/>
                <c:pt idx="0">
                  <c:v>Total</c:v>
                </c:pt>
              </c:strCache>
            </c:strRef>
          </c:tx>
          <c:spPr>
            <a:solidFill>
              <a:schemeClr val="accent1"/>
            </a:solidFill>
            <a:ln>
              <a:noFill/>
            </a:ln>
            <a:effectLst/>
          </c:spPr>
          <c:invertIfNegative val="0"/>
          <c:dLbls>
            <c:delete val="1"/>
          </c:dLbls>
          <c:cat>
            <c:strRef>
              <c:f>'Chart active'!$A$20</c:f>
              <c:strCache>
                <c:ptCount val="8"/>
                <c:pt idx="0">
                  <c:v>Current Member</c:v>
                </c:pt>
                <c:pt idx="1">
                  <c:v>Deaths</c:v>
                </c:pt>
                <c:pt idx="2">
                  <c:v>Early Leavers</c:v>
                </c:pt>
                <c:pt idx="3">
                  <c:v>Estimates</c:v>
                </c:pt>
                <c:pt idx="4">
                  <c:v>Misc</c:v>
                </c:pt>
                <c:pt idx="5">
                  <c:v>Payroll</c:v>
                </c:pt>
                <c:pt idx="6">
                  <c:v>Retirements</c:v>
                </c:pt>
                <c:pt idx="7">
                  <c:v>Transfers</c:v>
                </c:pt>
              </c:strCache>
            </c:strRef>
          </c:cat>
          <c:val>
            <c:numRef>
              <c:f>'Chart active'!$A$20</c:f>
              <c:numCache>
                <c:formatCode>General</c:formatCode>
                <c:ptCount val="8"/>
                <c:pt idx="0">
                  <c:v>1</c:v>
                </c:pt>
                <c:pt idx="1">
                  <c:v>3</c:v>
                </c:pt>
                <c:pt idx="2">
                  <c:v>8</c:v>
                </c:pt>
                <c:pt idx="3">
                  <c:v>1</c:v>
                </c:pt>
                <c:pt idx="4">
                  <c:v>44</c:v>
                </c:pt>
                <c:pt idx="5">
                  <c:v>2</c:v>
                </c:pt>
                <c:pt idx="6">
                  <c:v>14</c:v>
                </c:pt>
                <c:pt idx="7">
                  <c:v>0</c:v>
                </c:pt>
              </c:numCache>
            </c:numRef>
          </c:val>
          <c:extLst>
            <c:ext xmlns:c16="http://schemas.microsoft.com/office/drawing/2014/chart" uri="{C3380CC4-5D6E-409C-BE32-E72D297353CC}">
              <c16:uniqueId val="{00000000-EE02-4415-8C23-F783CA275037}"/>
            </c:ext>
          </c:extLst>
        </c:ser>
        <c:dLbls>
          <c:dLblPos val="outEnd"/>
          <c:showLegendKey val="0"/>
          <c:showVal val="1"/>
          <c:showCatName val="0"/>
          <c:showSerName val="0"/>
          <c:showPercent val="0"/>
          <c:showBubbleSize val="0"/>
        </c:dLbls>
        <c:gapWidth val="219"/>
        <c:overlap val="-27"/>
        <c:axId val="95288320"/>
        <c:axId val="98169984"/>
      </c:barChart>
      <c:catAx>
        <c:axId val="95288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As</a:t>
                </a:r>
                <a:r>
                  <a:rPr lang="en-US" baseline="0"/>
                  <a:t> at end January 2023</a:t>
                </a:r>
                <a:endParaRPr lang="en-US"/>
              </a:p>
            </c:rich>
          </c:tx>
          <c:layout>
            <c:manualLayout>
              <c:xMode val="edge"/>
              <c:yMode val="edge"/>
              <c:x val="0.37590502274172249"/>
              <c:y val="0.933151217092597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169984"/>
        <c:crosses val="autoZero"/>
        <c:auto val="1"/>
        <c:lblAlgn val="ctr"/>
        <c:lblOffset val="100"/>
        <c:noMultiLvlLbl val="0"/>
      </c:catAx>
      <c:valAx>
        <c:axId val="98169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8832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[3 Work outstanding work charts.xlsx]Chart pended!PivotTable7</c:name>
    <c:fmtId val="795"/>
  </c:pivotSource>
  <c:chart>
    <c:title>
      <c:tx>
        <c:strRef>
          <c:f>'Chart pended'!$A$20</c:f>
          <c:strCache>
            <c:ptCount val="1"/>
            <c:pt idx="0">
              <c:v>Outstanding Work Pending -  Nottinghamshire Fire</c:v>
            </c:pt>
          </c:strCache>
        </c:strRef>
      </c:tx>
      <c:layout>
        <c:manualLayout>
          <c:xMode val="edge"/>
          <c:yMode val="edge"/>
          <c:x val="0.15928819444444448"/>
          <c:y val="5.211693121693121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s>
    <c:plotArea>
      <c:layout>
        <c:manualLayout>
          <c:layoutTarget val="inner"/>
          <c:xMode val="edge"/>
          <c:yMode val="edge"/>
          <c:x val="7.8005423729690937E-2"/>
          <c:y val="0.19877972150032969"/>
          <c:w val="0.83038301101383605"/>
          <c:h val="0.55154613026312882"/>
        </c:manualLayout>
      </c:layout>
      <c:barChart>
        <c:barDir val="col"/>
        <c:grouping val="clustered"/>
        <c:varyColors val="0"/>
        <c:ser>
          <c:idx val="0"/>
          <c:order val="0"/>
          <c:tx>
            <c:strRef>
              <c:f>'Chart pended'!$B$4</c:f>
              <c:strCache>
                <c:ptCount val="1"/>
                <c:pt idx="0">
                  <c:v>Total</c:v>
                </c:pt>
              </c:strCache>
            </c:strRef>
          </c:tx>
          <c:spPr>
            <a:solidFill>
              <a:schemeClr val="accent1"/>
            </a:solidFill>
            <a:ln>
              <a:noFill/>
            </a:ln>
            <a:effectLst/>
          </c:spPr>
          <c:invertIfNegative val="0"/>
          <c:dLbls>
            <c:delete val="1"/>
          </c:dLbls>
          <c:cat>
            <c:strRef>
              <c:f>'Chart pended'!$A$20</c:f>
              <c:strCache>
                <c:ptCount val="8"/>
                <c:pt idx="0">
                  <c:v>Current Member</c:v>
                </c:pt>
                <c:pt idx="1">
                  <c:v>Deaths</c:v>
                </c:pt>
                <c:pt idx="2">
                  <c:v>Early Leavers</c:v>
                </c:pt>
                <c:pt idx="3">
                  <c:v>Estimates</c:v>
                </c:pt>
                <c:pt idx="4">
                  <c:v>Misc</c:v>
                </c:pt>
                <c:pt idx="5">
                  <c:v>Payroll</c:v>
                </c:pt>
                <c:pt idx="6">
                  <c:v>Retirements</c:v>
                </c:pt>
                <c:pt idx="7">
                  <c:v>Transfers</c:v>
                </c:pt>
              </c:strCache>
            </c:strRef>
          </c:cat>
          <c:val>
            <c:numRef>
              <c:f>'Chart pended'!$A$20</c:f>
              <c:numCache>
                <c:formatCode>General</c:formatCode>
                <c:ptCount val="8"/>
                <c:pt idx="0">
                  <c:v>0</c:v>
                </c:pt>
                <c:pt idx="1">
                  <c:v>2</c:v>
                </c:pt>
                <c:pt idx="2">
                  <c:v>0</c:v>
                </c:pt>
                <c:pt idx="3">
                  <c:v>0</c:v>
                </c:pt>
                <c:pt idx="4">
                  <c:v>5</c:v>
                </c:pt>
                <c:pt idx="5">
                  <c:v>1</c:v>
                </c:pt>
                <c:pt idx="6">
                  <c:v>12</c:v>
                </c:pt>
                <c:pt idx="7">
                  <c:v>2</c:v>
                </c:pt>
              </c:numCache>
            </c:numRef>
          </c:val>
          <c:extLst>
            <c:ext xmlns:c16="http://schemas.microsoft.com/office/drawing/2014/chart" uri="{C3380CC4-5D6E-409C-BE32-E72D297353CC}">
              <c16:uniqueId val="{00000000-753B-4B32-A507-17469D2EB7E9}"/>
            </c:ext>
          </c:extLst>
        </c:ser>
        <c:dLbls>
          <c:dLblPos val="outEnd"/>
          <c:showLegendKey val="0"/>
          <c:showVal val="1"/>
          <c:showCatName val="0"/>
          <c:showSerName val="0"/>
          <c:showPercent val="0"/>
          <c:showBubbleSize val="0"/>
        </c:dLbls>
        <c:gapWidth val="219"/>
        <c:overlap val="-27"/>
        <c:axId val="74398720"/>
        <c:axId val="74405760"/>
      </c:barChart>
      <c:catAx>
        <c:axId val="74398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As at end January</a:t>
                </a:r>
                <a:r>
                  <a:rPr lang="en-US" baseline="0"/>
                  <a:t> 2023</a:t>
                </a:r>
                <a:endParaRPr lang="en-US"/>
              </a:p>
            </c:rich>
          </c:tx>
          <c:layout>
            <c:manualLayout>
              <c:xMode val="edge"/>
              <c:yMode val="edge"/>
              <c:x val="0.43651631944444447"/>
              <c:y val="0.908083333333333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05760"/>
        <c:crosses val="autoZero"/>
        <c:auto val="1"/>
        <c:lblAlgn val="ctr"/>
        <c:lblOffset val="100"/>
        <c:noMultiLvlLbl val="0"/>
      </c:catAx>
      <c:valAx>
        <c:axId val="74405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9872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[4 Member Web Registrations chart.xlsx]Chart!PivotTable2</c:name>
    <c:fmtId val="761"/>
  </c:pivotSource>
  <c:chart>
    <c:title>
      <c:tx>
        <c:strRef>
          <c:f>Chart!$A$22</c:f>
          <c:strCache>
            <c:ptCount val="1"/>
            <c:pt idx="0">
              <c:v>Member Web Number Totals  -  Nottinghamshire Fire</c:v>
            </c:pt>
          </c:strCache>
        </c:strRef>
      </c:tx>
      <c:layout>
        <c:manualLayout>
          <c:xMode val="edge"/>
          <c:yMode val="edge"/>
          <c:x val="0.14554013725312362"/>
          <c:y val="8.751086985875934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2">
              <a:lumMod val="60000"/>
              <a:lumOff val="40000"/>
            </a:schemeClr>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2">
              <a:lumMod val="60000"/>
              <a:lumOff val="40000"/>
            </a:schemeClr>
          </a:solidFill>
          <a:ln>
            <a:noFill/>
          </a:ln>
          <a:effectLst/>
        </c:spPr>
        <c:marker>
          <c:symbol val="none"/>
        </c:marker>
      </c:pivotFmt>
      <c:pivotFmt>
        <c:idx val="7"/>
        <c:spPr>
          <a:solidFill>
            <a:schemeClr val="accent2"/>
          </a:solidFill>
          <a:ln>
            <a:noFill/>
          </a:ln>
          <a:effectLst/>
        </c:spPr>
        <c:marker>
          <c:symbol val="none"/>
        </c:marker>
      </c:pivotFmt>
      <c:pivotFmt>
        <c:idx val="8"/>
        <c:spPr>
          <a:solidFill>
            <a:schemeClr val="accent2"/>
          </a:solidFill>
          <a:ln>
            <a:noFill/>
          </a:ln>
          <a:effectLst/>
        </c:spPr>
        <c:marker>
          <c:symbol val="none"/>
        </c:marker>
      </c:pivotFmt>
      <c:pivotFmt>
        <c:idx val="9"/>
        <c:spPr>
          <a:solidFill>
            <a:schemeClr val="accent2"/>
          </a:solidFill>
          <a:ln>
            <a:noFill/>
          </a:ln>
          <a:effectLst/>
        </c:spPr>
        <c:marker>
          <c:symbol val="none"/>
        </c:marker>
      </c:pivotFmt>
      <c:pivotFmt>
        <c:idx val="10"/>
        <c:spPr>
          <a:solidFill>
            <a:schemeClr val="accent2"/>
          </a:solidFill>
          <a:ln>
            <a:noFill/>
          </a:ln>
          <a:effectLst/>
        </c:spPr>
        <c:marker>
          <c:symbol val="none"/>
        </c:marker>
      </c:pivotFmt>
    </c:pivotFmts>
    <c:plotArea>
      <c:layout>
        <c:manualLayout>
          <c:layoutTarget val="inner"/>
          <c:xMode val="edge"/>
          <c:yMode val="edge"/>
          <c:x val="0.13164878472222225"/>
          <c:y val="0.24441383780280321"/>
          <c:w val="0.7660280926422659"/>
          <c:h val="0.4964531369062738"/>
        </c:manualLayout>
      </c:layout>
      <c:barChart>
        <c:barDir val="col"/>
        <c:grouping val="clustered"/>
        <c:varyColors val="0"/>
        <c:ser>
          <c:idx val="0"/>
          <c:order val="0"/>
          <c:tx>
            <c:strRef>
              <c:f>Chart!$B$3</c:f>
              <c:strCache>
                <c:ptCount val="1"/>
                <c:pt idx="0">
                  <c:v>Total</c:v>
                </c:pt>
              </c:strCache>
            </c:strRef>
          </c:tx>
          <c:spPr>
            <a:solidFill>
              <a:schemeClr val="accent2"/>
            </a:solidFill>
            <a:ln>
              <a:noFill/>
            </a:ln>
            <a:effectLst/>
          </c:spPr>
          <c:invertIfNegative val="0"/>
          <c:cat>
            <c:strRef>
              <c:f>Chart!$A$22</c:f>
              <c:strCache>
                <c:ptCount val="12"/>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strCache>
            </c:strRef>
          </c:cat>
          <c:val>
            <c:numRef>
              <c:f>Chart!$A$22</c:f>
              <c:numCache>
                <c:formatCode>General</c:formatCode>
                <c:ptCount val="12"/>
                <c:pt idx="0">
                  <c:v>519</c:v>
                </c:pt>
                <c:pt idx="1">
                  <c:v>529</c:v>
                </c:pt>
                <c:pt idx="2">
                  <c:v>531</c:v>
                </c:pt>
                <c:pt idx="3">
                  <c:v>539</c:v>
                </c:pt>
                <c:pt idx="4">
                  <c:v>542</c:v>
                </c:pt>
                <c:pt idx="5">
                  <c:v>546</c:v>
                </c:pt>
                <c:pt idx="6">
                  <c:v>628</c:v>
                </c:pt>
                <c:pt idx="7">
                  <c:v>642</c:v>
                </c:pt>
                <c:pt idx="8">
                  <c:v>652</c:v>
                </c:pt>
                <c:pt idx="9">
                  <c:v>655</c:v>
                </c:pt>
                <c:pt idx="10">
                  <c:v>664</c:v>
                </c:pt>
                <c:pt idx="11">
                  <c:v>666</c:v>
                </c:pt>
              </c:numCache>
            </c:numRef>
          </c:val>
          <c:extLst>
            <c:ext xmlns:c16="http://schemas.microsoft.com/office/drawing/2014/chart" uri="{C3380CC4-5D6E-409C-BE32-E72D297353CC}">
              <c16:uniqueId val="{00000000-F83C-42B1-8DDA-85803640E5F1}"/>
            </c:ext>
          </c:extLst>
        </c:ser>
        <c:dLbls>
          <c:showLegendKey val="0"/>
          <c:showVal val="0"/>
          <c:showCatName val="0"/>
          <c:showSerName val="0"/>
          <c:showPercent val="0"/>
          <c:showBubbleSize val="0"/>
        </c:dLbls>
        <c:gapWidth val="219"/>
        <c:overlap val="-27"/>
        <c:axId val="735134136"/>
        <c:axId val="735129216"/>
      </c:barChart>
      <c:catAx>
        <c:axId val="735134136"/>
        <c:scaling>
          <c:orientation val="minMax"/>
        </c:scaling>
        <c:delete val="0"/>
        <c:axPos val="b"/>
        <c:numFmt formatCode="mm/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735129216"/>
        <c:crosses val="autoZero"/>
        <c:auto val="1"/>
        <c:lblAlgn val="ctr"/>
        <c:lblOffset val="100"/>
        <c:noMultiLvlLbl val="0"/>
      </c:catAx>
      <c:valAx>
        <c:axId val="73512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73513413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[5 Membership Numbers chart.xlsx]Chart!PivotTable3</c:name>
    <c:fmtId val="728"/>
  </c:pivotSource>
  <c:chart>
    <c:title>
      <c:tx>
        <c:strRef>
          <c:f>Chart!$A$20</c:f>
          <c:strCache>
            <c:ptCount val="1"/>
            <c:pt idx="0">
              <c:v>Membership Number Totals -  Nottinghamshire Fire</c:v>
            </c:pt>
          </c:strCache>
        </c:strRef>
      </c:tx>
      <c:layout>
        <c:manualLayout>
          <c:xMode val="edge"/>
          <c:yMode val="edge"/>
          <c:x val="0.24560980563080162"/>
          <c:y val="6.6145644779503909E-2"/>
        </c:manualLayout>
      </c:layout>
      <c:overlay val="0"/>
      <c:txPr>
        <a:bodyPr/>
        <a:lstStyle/>
        <a:p>
          <a:pPr>
            <a:defRPr sz="1500" b="0" i="0" baseline="0"/>
          </a:pPr>
          <a:endParaRPr lang="en-US"/>
        </a:p>
      </c:txPr>
    </c:title>
    <c:autoTitleDeleted val="0"/>
    <c:pivotFmts>
      <c:pivotFmt>
        <c:idx val="0"/>
        <c:spPr>
          <a:solidFill>
            <a:srgbClr val="FF0000"/>
          </a:solidFill>
        </c:spPr>
        <c:marker>
          <c:symbol val="none"/>
        </c:marker>
      </c:pivotFmt>
      <c:pivotFmt>
        <c:idx val="1"/>
        <c:spPr>
          <a:solidFill>
            <a:srgbClr val="FF0000"/>
          </a:solidFill>
        </c:spPr>
        <c:marker>
          <c:symbol val="none"/>
        </c:marker>
      </c:pivotFmt>
      <c:pivotFmt>
        <c:idx val="2"/>
        <c:spPr>
          <a:solidFill>
            <a:srgbClr val="FF0000"/>
          </a:solidFill>
        </c:spPr>
        <c:marker>
          <c:symbol val="none"/>
        </c:marker>
      </c:pivotFmt>
      <c:pivotFmt>
        <c:idx val="3"/>
        <c:spPr>
          <a:solidFill>
            <a:srgbClr val="FF0000"/>
          </a:solidFill>
        </c:spPr>
        <c:marker>
          <c:symbol val="none"/>
        </c:marker>
      </c:pivotFmt>
      <c:pivotFmt>
        <c:idx val="4"/>
        <c:spPr>
          <a:solidFill>
            <a:srgbClr val="FF0000"/>
          </a:solidFill>
        </c:spPr>
        <c:marker>
          <c:symbol val="none"/>
        </c:marker>
      </c:pivotFmt>
    </c:pivotFmts>
    <c:plotArea>
      <c:layout>
        <c:manualLayout>
          <c:layoutTarget val="inner"/>
          <c:xMode val="edge"/>
          <c:yMode val="edge"/>
          <c:x val="0.1088665458937198"/>
          <c:y val="0.19960185185185186"/>
          <c:w val="0.81556469855682456"/>
          <c:h val="0.6956153611719863"/>
        </c:manualLayout>
      </c:layout>
      <c:barChart>
        <c:barDir val="col"/>
        <c:grouping val="clustered"/>
        <c:varyColors val="0"/>
        <c:ser>
          <c:idx val="0"/>
          <c:order val="0"/>
          <c:tx>
            <c:strRef>
              <c:f>Chart!$B$4</c:f>
              <c:strCache>
                <c:ptCount val="1"/>
                <c:pt idx="0">
                  <c:v>Total</c:v>
                </c:pt>
              </c:strCache>
            </c:strRef>
          </c:tx>
          <c:spPr>
            <a:solidFill>
              <a:srgbClr val="FF0000"/>
            </a:solidFill>
          </c:spPr>
          <c:invertIfNegative val="0"/>
          <c:cat>
            <c:strRef>
              <c:f>Chart!$A$20</c:f>
              <c:strCache>
                <c:ptCount val="12"/>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strCache>
            </c:strRef>
          </c:cat>
          <c:val>
            <c:numRef>
              <c:f>Chart!$A$20</c:f>
              <c:numCache>
                <c:formatCode>General</c:formatCode>
                <c:ptCount val="12"/>
                <c:pt idx="0">
                  <c:v>1873</c:v>
                </c:pt>
                <c:pt idx="1">
                  <c:v>1872</c:v>
                </c:pt>
                <c:pt idx="2">
                  <c:v>1876</c:v>
                </c:pt>
                <c:pt idx="3">
                  <c:v>1999</c:v>
                </c:pt>
                <c:pt idx="4">
                  <c:v>2007</c:v>
                </c:pt>
                <c:pt idx="5">
                  <c:v>2002</c:v>
                </c:pt>
                <c:pt idx="6">
                  <c:v>2001</c:v>
                </c:pt>
                <c:pt idx="7">
                  <c:v>2009</c:v>
                </c:pt>
                <c:pt idx="8">
                  <c:v>2006</c:v>
                </c:pt>
                <c:pt idx="9">
                  <c:v>2003</c:v>
                </c:pt>
                <c:pt idx="10">
                  <c:v>2016</c:v>
                </c:pt>
                <c:pt idx="11">
                  <c:v>2011</c:v>
                </c:pt>
              </c:numCache>
            </c:numRef>
          </c:val>
          <c:extLst>
            <c:ext xmlns:c16="http://schemas.microsoft.com/office/drawing/2014/chart" uri="{C3380CC4-5D6E-409C-BE32-E72D297353CC}">
              <c16:uniqueId val="{00000000-1141-4E33-8985-01B13CB2D1DD}"/>
            </c:ext>
          </c:extLst>
        </c:ser>
        <c:dLbls>
          <c:showLegendKey val="0"/>
          <c:showVal val="0"/>
          <c:showCatName val="0"/>
          <c:showSerName val="0"/>
          <c:showPercent val="0"/>
          <c:showBubbleSize val="0"/>
        </c:dLbls>
        <c:gapWidth val="150"/>
        <c:axId val="93708672"/>
        <c:axId val="93710208"/>
      </c:barChart>
      <c:catAx>
        <c:axId val="93708672"/>
        <c:scaling>
          <c:orientation val="minMax"/>
        </c:scaling>
        <c:delete val="0"/>
        <c:axPos val="b"/>
        <c:numFmt formatCode="General" sourceLinked="0"/>
        <c:majorTickMark val="out"/>
        <c:minorTickMark val="none"/>
        <c:tickLblPos val="nextTo"/>
        <c:crossAx val="93710208"/>
        <c:crosses val="autoZero"/>
        <c:auto val="1"/>
        <c:lblAlgn val="ctr"/>
        <c:lblOffset val="100"/>
        <c:noMultiLvlLbl val="0"/>
      </c:catAx>
      <c:valAx>
        <c:axId val="93710208"/>
        <c:scaling>
          <c:orientation val="minMax"/>
          <c:min val="0"/>
        </c:scaling>
        <c:delete val="0"/>
        <c:axPos val="l"/>
        <c:majorGridlines/>
        <c:minorGridlines>
          <c:spPr>
            <a:ln>
              <a:noFill/>
            </a:ln>
          </c:spPr>
        </c:minorGridlines>
        <c:numFmt formatCode="General" sourceLinked="1"/>
        <c:majorTickMark val="out"/>
        <c:minorTickMark val="none"/>
        <c:tickLblPos val="nextTo"/>
        <c:crossAx val="93708672"/>
        <c:crosses val="autoZero"/>
        <c:crossBetween val="between"/>
      </c:valAx>
    </c:plotArea>
    <c:legend>
      <c:legendPos val="r"/>
      <c:layout/>
      <c:overlay val="0"/>
    </c:legend>
    <c:plotVisOnly val="1"/>
    <c:dispBlanksAs val="gap"/>
    <c:showDLblsOverMax val="0"/>
  </c:chart>
  <c:externalData r:id="rId2">
    <c:autoUpdate val="0"/>
  </c:externalData>
  <c:extLst>
    <c:ext xmlns:c14="http://schemas.microsoft.com/office/drawing/2007/8/2/chart" uri="{781A3756-C4B2-4CAC-9D66-4F8BD8637D16}">
      <c14:pivotOptions>
        <c14:dropZoneData val="1"/>
        <c14:dropZoneSeries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[Actives Membership chart.xlsx]Actives Chart!PivotTable2</c:name>
    <c:fmtId val="586"/>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Active Members by Scheme</a:t>
            </a:r>
          </a:p>
        </c:rich>
      </c:tx>
      <c:layout>
        <c:manualLayout>
          <c:xMode val="edge"/>
          <c:yMode val="edge"/>
          <c:x val="0.32415481298118293"/>
          <c:y val="1.88890055409740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
        <c:idx val="50"/>
        <c:spPr>
          <a:solidFill>
            <a:schemeClr val="accent1"/>
          </a:solidFill>
          <a:ln>
            <a:noFill/>
          </a:ln>
          <a:effectLst/>
        </c:spPr>
        <c:marker>
          <c:symbol val="none"/>
        </c:marker>
      </c:pivotFmt>
      <c:pivotFmt>
        <c:idx val="51"/>
        <c:spPr>
          <a:solidFill>
            <a:schemeClr val="accent1"/>
          </a:solidFill>
          <a:ln>
            <a:noFill/>
          </a:ln>
          <a:effectLst/>
        </c:spPr>
        <c:marker>
          <c:symbol val="none"/>
        </c:marker>
      </c:pivotFmt>
      <c:pivotFmt>
        <c:idx val="52"/>
        <c:spPr>
          <a:solidFill>
            <a:schemeClr val="accent1"/>
          </a:solidFill>
          <a:ln>
            <a:noFill/>
          </a:ln>
          <a:effectLst/>
        </c:spPr>
        <c:marker>
          <c:symbol val="none"/>
        </c:marker>
      </c:pivotFmt>
      <c:pivotFmt>
        <c:idx val="53"/>
        <c:spPr>
          <a:solidFill>
            <a:schemeClr val="accent1"/>
          </a:solidFill>
          <a:ln>
            <a:noFill/>
          </a:ln>
          <a:effectLst/>
        </c:spPr>
        <c:marker>
          <c:symbol val="none"/>
        </c:marker>
      </c:pivotFmt>
      <c:pivotFmt>
        <c:idx val="54"/>
        <c:spPr>
          <a:solidFill>
            <a:schemeClr val="accent1"/>
          </a:solidFill>
          <a:ln>
            <a:noFill/>
          </a:ln>
          <a:effectLst/>
        </c:spPr>
        <c:marker>
          <c:symbol val="none"/>
        </c:marker>
      </c:pivotFmt>
      <c:pivotFmt>
        <c:idx val="55"/>
        <c:spPr>
          <a:solidFill>
            <a:schemeClr val="accent1"/>
          </a:solidFill>
          <a:ln>
            <a:noFill/>
          </a:ln>
          <a:effectLst/>
        </c:spPr>
        <c:marker>
          <c:symbol val="none"/>
        </c:marker>
      </c:pivotFmt>
      <c:pivotFmt>
        <c:idx val="56"/>
        <c:spPr>
          <a:solidFill>
            <a:schemeClr val="accent1"/>
          </a:solidFill>
          <a:ln>
            <a:noFill/>
          </a:ln>
          <a:effectLst/>
        </c:spPr>
        <c:marker>
          <c:symbol val="none"/>
        </c:marker>
      </c:pivotFmt>
      <c:pivotFmt>
        <c:idx val="57"/>
        <c:spPr>
          <a:solidFill>
            <a:schemeClr val="accent1"/>
          </a:solidFill>
          <a:ln>
            <a:noFill/>
          </a:ln>
          <a:effectLst/>
        </c:spPr>
        <c:marker>
          <c:symbol val="none"/>
        </c:marker>
      </c:pivotFmt>
      <c:pivotFmt>
        <c:idx val="58"/>
        <c:spPr>
          <a:solidFill>
            <a:schemeClr val="accent1"/>
          </a:solidFill>
          <a:ln>
            <a:noFill/>
          </a:ln>
          <a:effectLst/>
        </c:spPr>
        <c:marker>
          <c:symbol val="none"/>
        </c:marker>
      </c:pivotFmt>
      <c:pivotFmt>
        <c:idx val="59"/>
        <c:spPr>
          <a:solidFill>
            <a:schemeClr val="accent1"/>
          </a:solidFill>
          <a:ln>
            <a:noFill/>
          </a:ln>
          <a:effectLst/>
        </c:spPr>
        <c:marker>
          <c:symbol val="none"/>
        </c:marker>
      </c:pivotFmt>
      <c:pivotFmt>
        <c:idx val="60"/>
        <c:spPr>
          <a:solidFill>
            <a:schemeClr val="accent1"/>
          </a:solidFill>
          <a:ln>
            <a:noFill/>
          </a:ln>
          <a:effectLst/>
        </c:spPr>
        <c:marker>
          <c:symbol val="none"/>
        </c:marker>
      </c:pivotFmt>
      <c:pivotFmt>
        <c:idx val="61"/>
        <c:spPr>
          <a:solidFill>
            <a:schemeClr val="accent1"/>
          </a:solidFill>
          <a:ln>
            <a:noFill/>
          </a:ln>
          <a:effectLst/>
        </c:spPr>
        <c:marker>
          <c:symbol val="none"/>
        </c:marker>
      </c:pivotFmt>
      <c:pivotFmt>
        <c:idx val="62"/>
        <c:spPr>
          <a:solidFill>
            <a:schemeClr val="accent1"/>
          </a:solidFill>
          <a:ln>
            <a:noFill/>
          </a:ln>
          <a:effectLst/>
        </c:spPr>
        <c:marker>
          <c:symbol val="none"/>
        </c:marker>
      </c:pivotFmt>
      <c:pivotFmt>
        <c:idx val="63"/>
        <c:spPr>
          <a:solidFill>
            <a:schemeClr val="accent1"/>
          </a:solidFill>
          <a:ln>
            <a:noFill/>
          </a:ln>
          <a:effectLst/>
        </c:spPr>
        <c:marker>
          <c:symbol val="none"/>
        </c:marker>
      </c:pivotFmt>
      <c:pivotFmt>
        <c:idx val="64"/>
        <c:spPr>
          <a:solidFill>
            <a:schemeClr val="accent1"/>
          </a:solidFill>
          <a:ln>
            <a:noFill/>
          </a:ln>
          <a:effectLst/>
        </c:spPr>
        <c:marker>
          <c:symbol val="none"/>
        </c:marker>
      </c:pivotFmt>
      <c:pivotFmt>
        <c:idx val="65"/>
        <c:spPr>
          <a:solidFill>
            <a:schemeClr val="accent1"/>
          </a:solidFill>
          <a:ln>
            <a:noFill/>
          </a:ln>
          <a:effectLst/>
        </c:spPr>
        <c:marker>
          <c:symbol val="none"/>
        </c:marker>
      </c:pivotFmt>
      <c:pivotFmt>
        <c:idx val="66"/>
        <c:spPr>
          <a:solidFill>
            <a:schemeClr val="accent1"/>
          </a:solidFill>
          <a:ln>
            <a:noFill/>
          </a:ln>
          <a:effectLst/>
        </c:spPr>
        <c:marker>
          <c:symbol val="none"/>
        </c:marker>
      </c:pivotFmt>
      <c:pivotFmt>
        <c:idx val="67"/>
        <c:spPr>
          <a:solidFill>
            <a:schemeClr val="accent1"/>
          </a:solidFill>
          <a:ln>
            <a:noFill/>
          </a:ln>
          <a:effectLst/>
        </c:spPr>
        <c:marker>
          <c:symbol val="none"/>
        </c:marker>
      </c:pivotFmt>
      <c:pivotFmt>
        <c:idx val="68"/>
        <c:spPr>
          <a:solidFill>
            <a:schemeClr val="accent1"/>
          </a:solidFill>
          <a:ln>
            <a:noFill/>
          </a:ln>
          <a:effectLst/>
        </c:spPr>
        <c:marker>
          <c:symbol val="none"/>
        </c:marker>
      </c:pivotFmt>
      <c:pivotFmt>
        <c:idx val="69"/>
        <c:spPr>
          <a:solidFill>
            <a:schemeClr val="accent1"/>
          </a:solidFill>
          <a:ln>
            <a:noFill/>
          </a:ln>
          <a:effectLst/>
        </c:spPr>
        <c:marker>
          <c:symbol val="none"/>
        </c:marker>
      </c:pivotFmt>
      <c:pivotFmt>
        <c:idx val="70"/>
        <c:spPr>
          <a:solidFill>
            <a:schemeClr val="accent1"/>
          </a:solidFill>
          <a:ln>
            <a:noFill/>
          </a:ln>
          <a:effectLst/>
        </c:spPr>
        <c:marker>
          <c:symbol val="none"/>
        </c:marker>
      </c:pivotFmt>
      <c:pivotFmt>
        <c:idx val="71"/>
        <c:spPr>
          <a:solidFill>
            <a:schemeClr val="accent1"/>
          </a:solidFill>
          <a:ln>
            <a:noFill/>
          </a:ln>
          <a:effectLst/>
        </c:spPr>
        <c:marker>
          <c:symbol val="none"/>
        </c:marker>
      </c:pivotFmt>
      <c:pivotFmt>
        <c:idx val="72"/>
        <c:spPr>
          <a:solidFill>
            <a:schemeClr val="accent1"/>
          </a:solidFill>
          <a:ln>
            <a:noFill/>
          </a:ln>
          <a:effectLst/>
        </c:spPr>
        <c:marker>
          <c:symbol val="none"/>
        </c:marker>
      </c:pivotFmt>
      <c:pivotFmt>
        <c:idx val="73"/>
        <c:spPr>
          <a:solidFill>
            <a:schemeClr val="accent1"/>
          </a:solidFill>
          <a:ln>
            <a:noFill/>
          </a:ln>
          <a:effectLst/>
        </c:spPr>
        <c:marker>
          <c:symbol val="none"/>
        </c:marker>
      </c:pivotFmt>
      <c:pivotFmt>
        <c:idx val="74"/>
        <c:spPr>
          <a:solidFill>
            <a:schemeClr val="accent1"/>
          </a:solidFill>
          <a:ln>
            <a:noFill/>
          </a:ln>
          <a:effectLst/>
        </c:spPr>
        <c:marker>
          <c:symbol val="none"/>
        </c:marker>
      </c:pivotFmt>
      <c:pivotFmt>
        <c:idx val="75"/>
        <c:spPr>
          <a:solidFill>
            <a:schemeClr val="accent1"/>
          </a:solidFill>
          <a:ln>
            <a:noFill/>
          </a:ln>
          <a:effectLst/>
        </c:spPr>
        <c:marker>
          <c:symbol val="none"/>
        </c:marker>
      </c:pivotFmt>
      <c:pivotFmt>
        <c:idx val="76"/>
        <c:spPr>
          <a:solidFill>
            <a:schemeClr val="accent1"/>
          </a:solidFill>
          <a:ln>
            <a:noFill/>
          </a:ln>
          <a:effectLst/>
        </c:spPr>
        <c:marker>
          <c:symbol val="none"/>
        </c:marker>
      </c:pivotFmt>
      <c:pivotFmt>
        <c:idx val="77"/>
        <c:spPr>
          <a:solidFill>
            <a:schemeClr val="accent1"/>
          </a:solidFill>
          <a:ln>
            <a:noFill/>
          </a:ln>
          <a:effectLst/>
        </c:spPr>
        <c:marker>
          <c:symbol val="none"/>
        </c:marker>
      </c:pivotFmt>
      <c:pivotFmt>
        <c:idx val="78"/>
        <c:spPr>
          <a:solidFill>
            <a:schemeClr val="accent1"/>
          </a:solidFill>
          <a:ln>
            <a:noFill/>
          </a:ln>
          <a:effectLst/>
        </c:spPr>
        <c:marker>
          <c:symbol val="none"/>
        </c:marker>
      </c:pivotFmt>
      <c:pivotFmt>
        <c:idx val="79"/>
        <c:spPr>
          <a:solidFill>
            <a:schemeClr val="accent1"/>
          </a:solidFill>
          <a:ln>
            <a:noFill/>
          </a:ln>
          <a:effectLst/>
        </c:spPr>
        <c:marker>
          <c:symbol val="none"/>
        </c:marker>
      </c:pivotFmt>
      <c:pivotFmt>
        <c:idx val="80"/>
        <c:spPr>
          <a:solidFill>
            <a:schemeClr val="accent1"/>
          </a:solidFill>
          <a:ln>
            <a:noFill/>
          </a:ln>
          <a:effectLst/>
        </c:spPr>
        <c:marker>
          <c:symbol val="none"/>
        </c:marker>
      </c:pivotFmt>
      <c:pivotFmt>
        <c:idx val="81"/>
        <c:spPr>
          <a:solidFill>
            <a:schemeClr val="accent1"/>
          </a:solidFill>
          <a:ln>
            <a:noFill/>
          </a:ln>
          <a:effectLst/>
        </c:spPr>
        <c:marker>
          <c:symbol val="none"/>
        </c:marker>
      </c:pivotFmt>
      <c:pivotFmt>
        <c:idx val="82"/>
        <c:spPr>
          <a:solidFill>
            <a:schemeClr val="accent1"/>
          </a:solidFill>
          <a:ln>
            <a:noFill/>
          </a:ln>
          <a:effectLst/>
        </c:spPr>
        <c:marker>
          <c:symbol val="none"/>
        </c:marker>
      </c:pivotFmt>
      <c:pivotFmt>
        <c:idx val="83"/>
        <c:spPr>
          <a:solidFill>
            <a:schemeClr val="accent1"/>
          </a:solidFill>
          <a:ln>
            <a:noFill/>
          </a:ln>
          <a:effectLst/>
        </c:spPr>
        <c:marker>
          <c:symbol val="none"/>
        </c:marker>
      </c:pivotFmt>
      <c:pivotFmt>
        <c:idx val="84"/>
        <c:spPr>
          <a:solidFill>
            <a:schemeClr val="accent1"/>
          </a:solidFill>
          <a:ln>
            <a:noFill/>
          </a:ln>
          <a:effectLst/>
        </c:spPr>
        <c:marker>
          <c:symbol val="none"/>
        </c:marker>
      </c:pivotFmt>
      <c:pivotFmt>
        <c:idx val="85"/>
        <c:spPr>
          <a:solidFill>
            <a:schemeClr val="accent1"/>
          </a:solidFill>
          <a:ln>
            <a:noFill/>
          </a:ln>
          <a:effectLst/>
        </c:spPr>
        <c:marker>
          <c:symbol val="none"/>
        </c:marker>
      </c:pivotFmt>
      <c:pivotFmt>
        <c:idx val="86"/>
        <c:spPr>
          <a:solidFill>
            <a:schemeClr val="accent1"/>
          </a:solidFill>
          <a:ln>
            <a:noFill/>
          </a:ln>
          <a:effectLst/>
        </c:spPr>
        <c:marker>
          <c:symbol val="none"/>
        </c:marker>
      </c:pivotFmt>
      <c:pivotFmt>
        <c:idx val="87"/>
        <c:spPr>
          <a:solidFill>
            <a:schemeClr val="accent1"/>
          </a:solidFill>
          <a:ln>
            <a:noFill/>
          </a:ln>
          <a:effectLst/>
        </c:spPr>
        <c:marker>
          <c:symbol val="none"/>
        </c:marker>
      </c:pivotFmt>
      <c:pivotFmt>
        <c:idx val="88"/>
        <c:spPr>
          <a:solidFill>
            <a:schemeClr val="accent1"/>
          </a:solidFill>
          <a:ln>
            <a:noFill/>
          </a:ln>
          <a:effectLst/>
        </c:spPr>
        <c:marker>
          <c:symbol val="none"/>
        </c:marker>
      </c:pivotFmt>
      <c:pivotFmt>
        <c:idx val="89"/>
        <c:spPr>
          <a:solidFill>
            <a:schemeClr val="accent1"/>
          </a:solidFill>
          <a:ln>
            <a:noFill/>
          </a:ln>
          <a:effectLst/>
        </c:spPr>
        <c:marker>
          <c:symbol val="none"/>
        </c:marker>
      </c:pivotFmt>
      <c:pivotFmt>
        <c:idx val="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7"/>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7"/>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7"/>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7"/>
        <c:spPr>
          <a:solidFill>
            <a:schemeClr val="accent6"/>
          </a:solidFill>
          <a:ln>
            <a:solidFill>
              <a:schemeClr val="accent6"/>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8"/>
        <c:spPr>
          <a:solidFill>
            <a:schemeClr val="accent1"/>
          </a:solidFill>
          <a:ln>
            <a:noFill/>
          </a:ln>
          <a:effectLst/>
        </c:spPr>
        <c:marker>
          <c:symbol val="none"/>
        </c:marker>
      </c:pivotFmt>
      <c:pivotFmt>
        <c:idx val="279"/>
        <c:spPr>
          <a:solidFill>
            <a:schemeClr val="accent1"/>
          </a:solidFill>
          <a:ln>
            <a:noFill/>
          </a:ln>
          <a:effectLst/>
        </c:spPr>
        <c:marker>
          <c:symbol val="none"/>
        </c:marker>
      </c:pivotFmt>
      <c:pivotFmt>
        <c:idx val="280"/>
        <c:spPr>
          <a:solidFill>
            <a:schemeClr val="accent1"/>
          </a:solidFill>
          <a:ln>
            <a:noFill/>
          </a:ln>
          <a:effectLst/>
        </c:spPr>
        <c:marker>
          <c:symbol val="none"/>
        </c:marker>
      </c:pivotFmt>
      <c:pivotFmt>
        <c:idx val="2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6"/>
        <c:spPr>
          <a:solidFill>
            <a:schemeClr val="accent1"/>
          </a:solidFill>
          <a:ln>
            <a:noFill/>
          </a:ln>
          <a:effectLst/>
        </c:spPr>
        <c:marker>
          <c:symbol val="none"/>
        </c:marker>
      </c:pivotFmt>
      <c:pivotFmt>
        <c:idx val="2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7"/>
        <c:spPr>
          <a:solidFill>
            <a:schemeClr val="accent1"/>
          </a:solidFill>
          <a:ln>
            <a:noFill/>
          </a:ln>
          <a:effectLst/>
        </c:spPr>
        <c:marker>
          <c:symbol val="none"/>
        </c:marker>
      </c:pivotFmt>
      <c:pivotFmt>
        <c:idx val="3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4.1607675350411204E-2"/>
          <c:y val="0.14917142023913676"/>
          <c:w val="0.86655268458639734"/>
          <c:h val="0.60281154855643049"/>
        </c:manualLayout>
      </c:layout>
      <c:barChart>
        <c:barDir val="col"/>
        <c:grouping val="clustered"/>
        <c:varyColors val="0"/>
        <c:ser>
          <c:idx val="0"/>
          <c:order val="0"/>
          <c:tx>
            <c:strRef>
              <c:f>'Actives Chart'!$B$3:$B$4</c:f>
              <c:strCache>
                <c:ptCount val="1"/>
                <c:pt idx="0">
                  <c:v>Nottinghamshire (1992 Scheme)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Sep-22</c:v>
                </c:pt>
                <c:pt idx="1">
                  <c:v>Oct-22</c:v>
                </c:pt>
                <c:pt idx="2">
                  <c:v>Nov-22</c:v>
                </c:pt>
                <c:pt idx="3">
                  <c:v>Dec-22</c:v>
                </c:pt>
                <c:pt idx="4">
                  <c:v>Jan-23</c:v>
                </c:pt>
                <c:pt idx="5">
                  <c:v>Feb-23</c:v>
                </c:pt>
              </c:strCache>
            </c:strRef>
          </c:cat>
          <c:val>
            <c:numRef>
              <c:f>'Actives Chart'!$B$5:$B$11</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903D-4D50-B4F0-D09D84746591}"/>
            </c:ext>
          </c:extLst>
        </c:ser>
        <c:ser>
          <c:idx val="1"/>
          <c:order val="1"/>
          <c:tx>
            <c:strRef>
              <c:f>'Actives Chart'!$C$3:$C$4</c:f>
              <c:strCache>
                <c:ptCount val="1"/>
                <c:pt idx="0">
                  <c:v>Nottinghamshire (2006 Scheme)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Sep-22</c:v>
                </c:pt>
                <c:pt idx="1">
                  <c:v>Oct-22</c:v>
                </c:pt>
                <c:pt idx="2">
                  <c:v>Nov-22</c:v>
                </c:pt>
                <c:pt idx="3">
                  <c:v>Dec-22</c:v>
                </c:pt>
                <c:pt idx="4">
                  <c:v>Jan-23</c:v>
                </c:pt>
                <c:pt idx="5">
                  <c:v>Feb-23</c:v>
                </c:pt>
              </c:strCache>
            </c:strRef>
          </c:cat>
          <c:val>
            <c:numRef>
              <c:f>'Actives Chart'!$C$5:$C$11</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903D-4D50-B4F0-D09D84746591}"/>
            </c:ext>
          </c:extLst>
        </c:ser>
        <c:ser>
          <c:idx val="2"/>
          <c:order val="2"/>
          <c:tx>
            <c:strRef>
              <c:f>'Actives Chart'!$D$3:$D$4</c:f>
              <c:strCache>
                <c:ptCount val="1"/>
                <c:pt idx="0">
                  <c:v>Nottinghamshire (2015 Scheme)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Sep-22</c:v>
                </c:pt>
                <c:pt idx="1">
                  <c:v>Oct-22</c:v>
                </c:pt>
                <c:pt idx="2">
                  <c:v>Nov-22</c:v>
                </c:pt>
                <c:pt idx="3">
                  <c:v>Dec-22</c:v>
                </c:pt>
                <c:pt idx="4">
                  <c:v>Jan-23</c:v>
                </c:pt>
                <c:pt idx="5">
                  <c:v>Feb-23</c:v>
                </c:pt>
              </c:strCache>
            </c:strRef>
          </c:cat>
          <c:val>
            <c:numRef>
              <c:f>'Actives Chart'!$D$5:$D$11</c:f>
              <c:numCache>
                <c:formatCode>General</c:formatCode>
                <c:ptCount val="6"/>
                <c:pt idx="0">
                  <c:v>600</c:v>
                </c:pt>
                <c:pt idx="1">
                  <c:v>605</c:v>
                </c:pt>
                <c:pt idx="2">
                  <c:v>595</c:v>
                </c:pt>
                <c:pt idx="3">
                  <c:v>588</c:v>
                </c:pt>
                <c:pt idx="4">
                  <c:v>599</c:v>
                </c:pt>
                <c:pt idx="5">
                  <c:v>594</c:v>
                </c:pt>
              </c:numCache>
            </c:numRef>
          </c:val>
          <c:extLst>
            <c:ext xmlns:c16="http://schemas.microsoft.com/office/drawing/2014/chart" uri="{C3380CC4-5D6E-409C-BE32-E72D297353CC}">
              <c16:uniqueId val="{00000002-903D-4D50-B4F0-D09D84746591}"/>
            </c:ext>
          </c:extLst>
        </c:ser>
        <c:ser>
          <c:idx val="3"/>
          <c:order val="3"/>
          <c:tx>
            <c:strRef>
              <c:f>'Actives Chart'!$E$3:$E$4</c:f>
              <c:strCache>
                <c:ptCount val="1"/>
                <c:pt idx="0">
                  <c:v>Nottinghamshire (2006/RDS Scheme)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Sep-22</c:v>
                </c:pt>
                <c:pt idx="1">
                  <c:v>Oct-22</c:v>
                </c:pt>
                <c:pt idx="2">
                  <c:v>Nov-22</c:v>
                </c:pt>
                <c:pt idx="3">
                  <c:v>Dec-22</c:v>
                </c:pt>
                <c:pt idx="4">
                  <c:v>Jan-23</c:v>
                </c:pt>
                <c:pt idx="5">
                  <c:v>Feb-23</c:v>
                </c:pt>
              </c:strCache>
            </c:strRef>
          </c:cat>
          <c:val>
            <c:numRef>
              <c:f>'Actives Chart'!$E$5:$E$11</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903D-4D50-B4F0-D09D84746591}"/>
            </c:ext>
          </c:extLst>
        </c:ser>
        <c:ser>
          <c:idx val="4"/>
          <c:order val="4"/>
          <c:tx>
            <c:strRef>
              <c:f>'Actives Chart'!$F$3:$F$4</c:f>
              <c:strCache>
                <c:ptCount val="1"/>
                <c:pt idx="0">
                  <c:v>Nottinghamshire (2015/RDS Scheme)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Sep-22</c:v>
                </c:pt>
                <c:pt idx="1">
                  <c:v>Oct-22</c:v>
                </c:pt>
                <c:pt idx="2">
                  <c:v>Nov-22</c:v>
                </c:pt>
                <c:pt idx="3">
                  <c:v>Dec-22</c:v>
                </c:pt>
                <c:pt idx="4">
                  <c:v>Jan-23</c:v>
                </c:pt>
                <c:pt idx="5">
                  <c:v>Feb-23</c:v>
                </c:pt>
              </c:strCache>
            </c:strRef>
          </c:cat>
          <c:val>
            <c:numRef>
              <c:f>'Actives Chart'!$F$5:$F$11</c:f>
              <c:numCache>
                <c:formatCode>General</c:formatCode>
                <c:ptCount val="6"/>
                <c:pt idx="0">
                  <c:v>18</c:v>
                </c:pt>
                <c:pt idx="1">
                  <c:v>18</c:v>
                </c:pt>
                <c:pt idx="2">
                  <c:v>18</c:v>
                </c:pt>
                <c:pt idx="3">
                  <c:v>17</c:v>
                </c:pt>
                <c:pt idx="4">
                  <c:v>17</c:v>
                </c:pt>
                <c:pt idx="5">
                  <c:v>17</c:v>
                </c:pt>
              </c:numCache>
            </c:numRef>
          </c:val>
          <c:extLst>
            <c:ext xmlns:c16="http://schemas.microsoft.com/office/drawing/2014/chart" uri="{C3380CC4-5D6E-409C-BE32-E72D297353CC}">
              <c16:uniqueId val="{00000004-903D-4D50-B4F0-D09D84746591}"/>
            </c:ext>
          </c:extLst>
        </c:ser>
        <c:dLbls>
          <c:dLblPos val="outEnd"/>
          <c:showLegendKey val="0"/>
          <c:showVal val="1"/>
          <c:showCatName val="0"/>
          <c:showSerName val="0"/>
          <c:showPercent val="0"/>
          <c:showBubbleSize val="0"/>
        </c:dLbls>
        <c:gapWidth val="219"/>
        <c:overlap val="-27"/>
        <c:axId val="741859336"/>
        <c:axId val="741860320"/>
      </c:barChart>
      <c:catAx>
        <c:axId val="741859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860320"/>
        <c:crosses val="autoZero"/>
        <c:auto val="1"/>
        <c:lblAlgn val="ctr"/>
        <c:lblOffset val="100"/>
        <c:noMultiLvlLbl val="0"/>
      </c:catAx>
      <c:valAx>
        <c:axId val="741860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859336"/>
        <c:crosses val="autoZero"/>
        <c:crossBetween val="between"/>
      </c:valAx>
      <c:spPr>
        <a:noFill/>
        <a:ln>
          <a:noFill/>
        </a:ln>
        <a:effectLst/>
      </c:spPr>
    </c:plotArea>
    <c:legend>
      <c:legendPos val="b"/>
      <c:layout>
        <c:manualLayout>
          <c:xMode val="edge"/>
          <c:yMode val="edge"/>
          <c:x val="0"/>
          <c:y val="0.84768247302420541"/>
          <c:w val="0.99834490516271657"/>
          <c:h val="0.1523175213675213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[Deferreds Membership chart.xlsx]Deferreds Chart!PivotTable3</c:name>
    <c:fmtId val="495"/>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Deferred Members by Scheme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
        <c:idx val="50"/>
        <c:spPr>
          <a:solidFill>
            <a:schemeClr val="accent1"/>
          </a:solidFill>
          <a:ln>
            <a:noFill/>
          </a:ln>
          <a:effectLst/>
        </c:spPr>
        <c:marker>
          <c:symbol val="none"/>
        </c:marker>
      </c:pivotFmt>
      <c:pivotFmt>
        <c:idx val="51"/>
        <c:spPr>
          <a:solidFill>
            <a:schemeClr val="accent1"/>
          </a:solidFill>
          <a:ln>
            <a:noFill/>
          </a:ln>
          <a:effectLst/>
        </c:spPr>
        <c:marker>
          <c:symbol val="none"/>
        </c:marker>
      </c:pivotFmt>
      <c:pivotFmt>
        <c:idx val="52"/>
        <c:spPr>
          <a:solidFill>
            <a:schemeClr val="accent1"/>
          </a:solidFill>
          <a:ln>
            <a:noFill/>
          </a:ln>
          <a:effectLst/>
        </c:spPr>
        <c:marker>
          <c:symbol val="none"/>
        </c:marker>
      </c:pivotFmt>
      <c:pivotFmt>
        <c:idx val="53"/>
        <c:spPr>
          <a:solidFill>
            <a:schemeClr val="accent1"/>
          </a:solidFill>
          <a:ln>
            <a:noFill/>
          </a:ln>
          <a:effectLst/>
        </c:spPr>
        <c:marker>
          <c:symbol val="none"/>
        </c:marker>
      </c:pivotFmt>
      <c:pivotFmt>
        <c:idx val="54"/>
        <c:spPr>
          <a:solidFill>
            <a:schemeClr val="accent1"/>
          </a:solidFill>
          <a:ln>
            <a:noFill/>
          </a:ln>
          <a:effectLst/>
        </c:spPr>
        <c:marker>
          <c:symbol val="none"/>
        </c:marker>
      </c:pivotFmt>
      <c:pivotFmt>
        <c:idx val="55"/>
        <c:spPr>
          <a:solidFill>
            <a:schemeClr val="accent1"/>
          </a:solidFill>
          <a:ln>
            <a:noFill/>
          </a:ln>
          <a:effectLst/>
        </c:spPr>
        <c:marker>
          <c:symbol val="none"/>
        </c:marker>
      </c:pivotFmt>
      <c:pivotFmt>
        <c:idx val="56"/>
        <c:spPr>
          <a:solidFill>
            <a:schemeClr val="accent1"/>
          </a:solidFill>
          <a:ln>
            <a:noFill/>
          </a:ln>
          <a:effectLst/>
        </c:spPr>
        <c:marker>
          <c:symbol val="none"/>
        </c:marker>
      </c:pivotFmt>
      <c:pivotFmt>
        <c:idx val="57"/>
        <c:spPr>
          <a:solidFill>
            <a:schemeClr val="accent1"/>
          </a:solidFill>
          <a:ln>
            <a:noFill/>
          </a:ln>
          <a:effectLst/>
        </c:spPr>
        <c:marker>
          <c:symbol val="none"/>
        </c:marker>
      </c:pivotFmt>
      <c:pivotFmt>
        <c:idx val="58"/>
        <c:spPr>
          <a:solidFill>
            <a:schemeClr val="accent1"/>
          </a:solidFill>
          <a:ln>
            <a:noFill/>
          </a:ln>
          <a:effectLst/>
        </c:spPr>
        <c:marker>
          <c:symbol val="none"/>
        </c:marker>
      </c:pivotFmt>
      <c:pivotFmt>
        <c:idx val="59"/>
        <c:spPr>
          <a:solidFill>
            <a:schemeClr val="accent1"/>
          </a:solidFill>
          <a:ln>
            <a:noFill/>
          </a:ln>
          <a:effectLst/>
        </c:spPr>
        <c:marker>
          <c:symbol val="none"/>
        </c:marker>
      </c:pivotFmt>
      <c:pivotFmt>
        <c:idx val="60"/>
        <c:spPr>
          <a:solidFill>
            <a:schemeClr val="accent1"/>
          </a:solidFill>
          <a:ln>
            <a:noFill/>
          </a:ln>
          <a:effectLst/>
        </c:spPr>
        <c:marker>
          <c:symbol val="none"/>
        </c:marker>
      </c:pivotFmt>
      <c:pivotFmt>
        <c:idx val="61"/>
        <c:spPr>
          <a:solidFill>
            <a:schemeClr val="accent1"/>
          </a:solidFill>
          <a:ln>
            <a:noFill/>
          </a:ln>
          <a:effectLst/>
        </c:spPr>
        <c:marker>
          <c:symbol val="none"/>
        </c:marker>
      </c:pivotFmt>
      <c:pivotFmt>
        <c:idx val="62"/>
        <c:spPr>
          <a:solidFill>
            <a:schemeClr val="accent1"/>
          </a:solidFill>
          <a:ln>
            <a:noFill/>
          </a:ln>
          <a:effectLst/>
        </c:spPr>
        <c:marker>
          <c:symbol val="none"/>
        </c:marker>
      </c:pivotFmt>
      <c:pivotFmt>
        <c:idx val="63"/>
        <c:spPr>
          <a:solidFill>
            <a:schemeClr val="accent1"/>
          </a:solidFill>
          <a:ln>
            <a:noFill/>
          </a:ln>
          <a:effectLst/>
        </c:spPr>
        <c:marker>
          <c:symbol val="none"/>
        </c:marker>
      </c:pivotFmt>
      <c:pivotFmt>
        <c:idx val="64"/>
        <c:spPr>
          <a:solidFill>
            <a:schemeClr val="accent1"/>
          </a:solidFill>
          <a:ln>
            <a:noFill/>
          </a:ln>
          <a:effectLst/>
        </c:spPr>
        <c:marker>
          <c:symbol val="none"/>
        </c:marker>
      </c:pivotFmt>
      <c:pivotFmt>
        <c:idx val="65"/>
        <c:spPr>
          <a:solidFill>
            <a:schemeClr val="accent1"/>
          </a:solidFill>
          <a:ln>
            <a:noFill/>
          </a:ln>
          <a:effectLst/>
        </c:spPr>
        <c:marker>
          <c:symbol val="none"/>
        </c:marker>
      </c:pivotFmt>
      <c:pivotFmt>
        <c:idx val="66"/>
        <c:spPr>
          <a:solidFill>
            <a:schemeClr val="accent1"/>
          </a:solidFill>
          <a:ln>
            <a:noFill/>
          </a:ln>
          <a:effectLst/>
        </c:spPr>
        <c:marker>
          <c:symbol val="none"/>
        </c:marker>
      </c:pivotFmt>
      <c:pivotFmt>
        <c:idx val="67"/>
        <c:spPr>
          <a:solidFill>
            <a:schemeClr val="accent1"/>
          </a:solidFill>
          <a:ln>
            <a:noFill/>
          </a:ln>
          <a:effectLst/>
        </c:spPr>
        <c:marker>
          <c:symbol val="none"/>
        </c:marker>
      </c:pivotFmt>
      <c:pivotFmt>
        <c:idx val="68"/>
        <c:spPr>
          <a:solidFill>
            <a:schemeClr val="accent1"/>
          </a:solidFill>
          <a:ln>
            <a:noFill/>
          </a:ln>
          <a:effectLst/>
        </c:spPr>
        <c:marker>
          <c:symbol val="none"/>
        </c:marker>
      </c:pivotFmt>
      <c:pivotFmt>
        <c:idx val="69"/>
        <c:spPr>
          <a:solidFill>
            <a:schemeClr val="accent1"/>
          </a:solidFill>
          <a:ln>
            <a:noFill/>
          </a:ln>
          <a:effectLst/>
        </c:spPr>
        <c:marker>
          <c:symbol val="none"/>
        </c:marker>
      </c:pivotFmt>
      <c:pivotFmt>
        <c:idx val="70"/>
        <c:spPr>
          <a:solidFill>
            <a:schemeClr val="accent1"/>
          </a:solidFill>
          <a:ln>
            <a:noFill/>
          </a:ln>
          <a:effectLst/>
        </c:spPr>
        <c:marker>
          <c:symbol val="none"/>
        </c:marker>
      </c:pivotFmt>
      <c:pivotFmt>
        <c:idx val="71"/>
        <c:spPr>
          <a:solidFill>
            <a:schemeClr val="accent1"/>
          </a:solidFill>
          <a:ln>
            <a:noFill/>
          </a:ln>
          <a:effectLst/>
        </c:spPr>
        <c:marker>
          <c:symbol val="none"/>
        </c:marker>
      </c:pivotFmt>
      <c:pivotFmt>
        <c:idx val="72"/>
        <c:spPr>
          <a:solidFill>
            <a:schemeClr val="accent1"/>
          </a:solidFill>
          <a:ln>
            <a:noFill/>
          </a:ln>
          <a:effectLst/>
        </c:spPr>
        <c:marker>
          <c:symbol val="none"/>
        </c:marker>
      </c:pivotFmt>
      <c:pivotFmt>
        <c:idx val="73"/>
        <c:spPr>
          <a:solidFill>
            <a:schemeClr val="accent1"/>
          </a:solidFill>
          <a:ln>
            <a:noFill/>
          </a:ln>
          <a:effectLst/>
        </c:spPr>
        <c:marker>
          <c:symbol val="none"/>
        </c:marker>
      </c:pivotFmt>
      <c:pivotFmt>
        <c:idx val="74"/>
        <c:spPr>
          <a:solidFill>
            <a:schemeClr val="accent1"/>
          </a:solidFill>
          <a:ln>
            <a:noFill/>
          </a:ln>
          <a:effectLst/>
        </c:spPr>
        <c:marker>
          <c:symbol val="none"/>
        </c:marker>
      </c:pivotFmt>
      <c:pivotFmt>
        <c:idx val="75"/>
        <c:spPr>
          <a:solidFill>
            <a:schemeClr val="accent1"/>
          </a:solidFill>
          <a:ln>
            <a:noFill/>
          </a:ln>
          <a:effectLst/>
        </c:spPr>
        <c:marker>
          <c:symbol val="none"/>
        </c:marker>
      </c:pivotFmt>
      <c:pivotFmt>
        <c:idx val="76"/>
        <c:spPr>
          <a:solidFill>
            <a:schemeClr val="accent1"/>
          </a:solidFill>
          <a:ln>
            <a:noFill/>
          </a:ln>
          <a:effectLst/>
        </c:spPr>
        <c:marker>
          <c:symbol val="none"/>
        </c:marker>
      </c:pivotFmt>
      <c:pivotFmt>
        <c:idx val="77"/>
        <c:spPr>
          <a:solidFill>
            <a:schemeClr val="accent1"/>
          </a:solidFill>
          <a:ln>
            <a:noFill/>
          </a:ln>
          <a:effectLst/>
        </c:spPr>
        <c:marker>
          <c:symbol val="none"/>
        </c:marker>
      </c:pivotFmt>
      <c:pivotFmt>
        <c:idx val="78"/>
        <c:spPr>
          <a:solidFill>
            <a:schemeClr val="accent1"/>
          </a:solidFill>
          <a:ln>
            <a:noFill/>
          </a:ln>
          <a:effectLst/>
        </c:spPr>
        <c:marker>
          <c:symbol val="none"/>
        </c:marker>
      </c:pivotFmt>
      <c:pivotFmt>
        <c:idx val="79"/>
        <c:spPr>
          <a:solidFill>
            <a:schemeClr val="accent1"/>
          </a:solidFill>
          <a:ln>
            <a:noFill/>
          </a:ln>
          <a:effectLst/>
        </c:spPr>
        <c:marker>
          <c:symbol val="none"/>
        </c:marker>
      </c:pivotFmt>
      <c:pivotFmt>
        <c:idx val="80"/>
        <c:spPr>
          <a:solidFill>
            <a:schemeClr val="accent1"/>
          </a:solidFill>
          <a:ln>
            <a:noFill/>
          </a:ln>
          <a:effectLst/>
        </c:spPr>
        <c:marker>
          <c:symbol val="none"/>
        </c:marker>
      </c:pivotFmt>
      <c:pivotFmt>
        <c:idx val="81"/>
        <c:spPr>
          <a:solidFill>
            <a:schemeClr val="accent1"/>
          </a:solidFill>
          <a:ln>
            <a:noFill/>
          </a:ln>
          <a:effectLst/>
        </c:spPr>
        <c:marker>
          <c:symbol val="none"/>
        </c:marker>
      </c:pivotFmt>
      <c:pivotFmt>
        <c:idx val="82"/>
        <c:spPr>
          <a:solidFill>
            <a:schemeClr val="accent1"/>
          </a:solidFill>
          <a:ln>
            <a:noFill/>
          </a:ln>
          <a:effectLst/>
        </c:spPr>
        <c:marker>
          <c:symbol val="none"/>
        </c:marker>
      </c:pivotFmt>
      <c:pivotFmt>
        <c:idx val="83"/>
        <c:spPr>
          <a:solidFill>
            <a:schemeClr val="accent1"/>
          </a:solidFill>
          <a:ln>
            <a:noFill/>
          </a:ln>
          <a:effectLst/>
        </c:spPr>
        <c:marker>
          <c:symbol val="none"/>
        </c:marker>
      </c:pivotFmt>
      <c:pivotFmt>
        <c:idx val="84"/>
        <c:spPr>
          <a:solidFill>
            <a:schemeClr val="accent1"/>
          </a:solidFill>
          <a:ln>
            <a:noFill/>
          </a:ln>
          <a:effectLst/>
        </c:spPr>
        <c:marker>
          <c:symbol val="none"/>
        </c:marker>
      </c:pivotFmt>
      <c:pivotFmt>
        <c:idx val="85"/>
        <c:spPr>
          <a:solidFill>
            <a:schemeClr val="accent1"/>
          </a:solidFill>
          <a:ln>
            <a:noFill/>
          </a:ln>
          <a:effectLst/>
        </c:spPr>
        <c:marker>
          <c:symbol val="none"/>
        </c:marker>
      </c:pivotFmt>
      <c:pivotFmt>
        <c:idx val="86"/>
        <c:spPr>
          <a:solidFill>
            <a:schemeClr val="accent1"/>
          </a:solidFill>
          <a:ln>
            <a:noFill/>
          </a:ln>
          <a:effectLst/>
        </c:spPr>
        <c:marker>
          <c:symbol val="none"/>
        </c:marker>
      </c:pivotFmt>
      <c:pivotFmt>
        <c:idx val="87"/>
        <c:spPr>
          <a:solidFill>
            <a:schemeClr val="accent1"/>
          </a:solidFill>
          <a:ln>
            <a:noFill/>
          </a:ln>
          <a:effectLst/>
        </c:spPr>
        <c:marker>
          <c:symbol val="none"/>
        </c:marker>
      </c:pivotFmt>
      <c:pivotFmt>
        <c:idx val="88"/>
        <c:spPr>
          <a:solidFill>
            <a:schemeClr val="accent1"/>
          </a:solidFill>
          <a:ln>
            <a:noFill/>
          </a:ln>
          <a:effectLst/>
        </c:spPr>
        <c:marker>
          <c:symbol val="none"/>
        </c:marker>
      </c:pivotFmt>
      <c:pivotFmt>
        <c:idx val="89"/>
        <c:spPr>
          <a:solidFill>
            <a:schemeClr val="accent1"/>
          </a:solidFill>
          <a:ln>
            <a:noFill/>
          </a:ln>
          <a:effectLst/>
        </c:spPr>
        <c:marker>
          <c:symbol val="none"/>
        </c:marker>
      </c:pivotFmt>
      <c:pivotFmt>
        <c:idx val="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1"/>
        <c:spPr>
          <a:solidFill>
            <a:schemeClr val="accent6"/>
          </a:solidFill>
          <a:ln>
            <a:solidFill>
              <a:schemeClr val="accent6"/>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6"/>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8"/>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8"/>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3"/>
        <c:spPr>
          <a:solidFill>
            <a:schemeClr val="accent1"/>
          </a:solidFill>
          <a:ln>
            <a:noFill/>
          </a:ln>
          <a:effectLst/>
        </c:spPr>
        <c:marker>
          <c:symbol val="none"/>
        </c:marker>
      </c:pivotFmt>
      <c:pivotFmt>
        <c:idx val="264"/>
        <c:spPr>
          <a:solidFill>
            <a:schemeClr val="accent1"/>
          </a:solidFill>
          <a:ln>
            <a:noFill/>
          </a:ln>
          <a:effectLst/>
        </c:spPr>
        <c:marker>
          <c:symbol val="none"/>
        </c:marker>
      </c:pivotFmt>
      <c:pivotFmt>
        <c:idx val="265"/>
        <c:spPr>
          <a:solidFill>
            <a:schemeClr val="accent6"/>
          </a:solidFill>
          <a:ln>
            <a:noFill/>
          </a:ln>
          <a:effectLst/>
        </c:spPr>
        <c:marker>
          <c:symbol val="none"/>
        </c:marker>
      </c:pivotFmt>
      <c:pivotFmt>
        <c:idx val="266"/>
        <c:spPr>
          <a:solidFill>
            <a:schemeClr val="accent1"/>
          </a:solidFill>
          <a:ln>
            <a:noFill/>
          </a:ln>
          <a:effectLst/>
        </c:spPr>
        <c:marker>
          <c:symbol val="none"/>
        </c:marker>
      </c:pivotFmt>
      <c:pivotFmt>
        <c:idx val="2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8"/>
        <c:spPr>
          <a:solidFill>
            <a:schemeClr val="accent1"/>
          </a:solidFill>
          <a:ln>
            <a:noFill/>
          </a:ln>
          <a:effectLst/>
        </c:spPr>
        <c:marker>
          <c:symbol val="none"/>
        </c:marker>
      </c:pivotFmt>
      <c:pivotFmt>
        <c:idx val="2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5"/>
      </c:pivotFmt>
      <c:pivotFmt>
        <c:idx val="2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2.88993339140384E-2"/>
          <c:y val="8.9918687568772609E-2"/>
          <c:w val="0.90036608250571992"/>
          <c:h val="0.74053264139275721"/>
        </c:manualLayout>
      </c:layout>
      <c:barChart>
        <c:barDir val="col"/>
        <c:grouping val="clustered"/>
        <c:varyColors val="0"/>
        <c:ser>
          <c:idx val="0"/>
          <c:order val="0"/>
          <c:tx>
            <c:strRef>
              <c:f>'Deferreds Chart'!$B$3:$B$4</c:f>
              <c:strCache>
                <c:ptCount val="1"/>
                <c:pt idx="0">
                  <c:v>Nottinghamshire (1992 Scheme)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Sep-22</c:v>
                </c:pt>
                <c:pt idx="1">
                  <c:v>Oct-22</c:v>
                </c:pt>
                <c:pt idx="2">
                  <c:v>Nov-22</c:v>
                </c:pt>
                <c:pt idx="3">
                  <c:v>Dec-22</c:v>
                </c:pt>
                <c:pt idx="4">
                  <c:v>Jan-23</c:v>
                </c:pt>
                <c:pt idx="5">
                  <c:v>Feb-23</c:v>
                </c:pt>
              </c:strCache>
            </c:strRef>
          </c:cat>
          <c:val>
            <c:numRef>
              <c:f>'Deferreds Chart'!$B$5:$B$11</c:f>
              <c:numCache>
                <c:formatCode>General</c:formatCode>
                <c:ptCount val="6"/>
                <c:pt idx="0">
                  <c:v>44</c:v>
                </c:pt>
                <c:pt idx="1">
                  <c:v>45</c:v>
                </c:pt>
                <c:pt idx="2">
                  <c:v>44</c:v>
                </c:pt>
                <c:pt idx="3">
                  <c:v>44</c:v>
                </c:pt>
                <c:pt idx="4">
                  <c:v>44</c:v>
                </c:pt>
                <c:pt idx="5">
                  <c:v>43</c:v>
                </c:pt>
              </c:numCache>
            </c:numRef>
          </c:val>
          <c:extLst>
            <c:ext xmlns:c16="http://schemas.microsoft.com/office/drawing/2014/chart" uri="{C3380CC4-5D6E-409C-BE32-E72D297353CC}">
              <c16:uniqueId val="{00000000-F3A1-45D4-A008-C6985A6BB569}"/>
            </c:ext>
          </c:extLst>
        </c:ser>
        <c:ser>
          <c:idx val="1"/>
          <c:order val="1"/>
          <c:tx>
            <c:strRef>
              <c:f>'Deferreds Chart'!$C$3:$C$4</c:f>
              <c:strCache>
                <c:ptCount val="1"/>
                <c:pt idx="0">
                  <c:v>Nottinghamshire (2006 Scheme)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Sep-22</c:v>
                </c:pt>
                <c:pt idx="1">
                  <c:v>Oct-22</c:v>
                </c:pt>
                <c:pt idx="2">
                  <c:v>Nov-22</c:v>
                </c:pt>
                <c:pt idx="3">
                  <c:v>Dec-22</c:v>
                </c:pt>
                <c:pt idx="4">
                  <c:v>Jan-23</c:v>
                </c:pt>
                <c:pt idx="5">
                  <c:v>Feb-23</c:v>
                </c:pt>
              </c:strCache>
            </c:strRef>
          </c:cat>
          <c:val>
            <c:numRef>
              <c:f>'Deferreds Chart'!$C$5:$C$11</c:f>
              <c:numCache>
                <c:formatCode>General</c:formatCode>
                <c:ptCount val="6"/>
                <c:pt idx="0">
                  <c:v>161</c:v>
                </c:pt>
                <c:pt idx="1">
                  <c:v>161</c:v>
                </c:pt>
                <c:pt idx="2">
                  <c:v>160</c:v>
                </c:pt>
                <c:pt idx="3">
                  <c:v>159</c:v>
                </c:pt>
                <c:pt idx="4">
                  <c:v>159</c:v>
                </c:pt>
                <c:pt idx="5">
                  <c:v>159</c:v>
                </c:pt>
              </c:numCache>
            </c:numRef>
          </c:val>
          <c:extLst>
            <c:ext xmlns:c16="http://schemas.microsoft.com/office/drawing/2014/chart" uri="{C3380CC4-5D6E-409C-BE32-E72D297353CC}">
              <c16:uniqueId val="{00000001-F3A1-45D4-A008-C6985A6BB569}"/>
            </c:ext>
          </c:extLst>
        </c:ser>
        <c:ser>
          <c:idx val="2"/>
          <c:order val="2"/>
          <c:tx>
            <c:strRef>
              <c:f>'Deferreds Chart'!$D$3:$D$4</c:f>
              <c:strCache>
                <c:ptCount val="1"/>
                <c:pt idx="0">
                  <c:v>Nottinghamshire (2015 Scheme)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Sep-22</c:v>
                </c:pt>
                <c:pt idx="1">
                  <c:v>Oct-22</c:v>
                </c:pt>
                <c:pt idx="2">
                  <c:v>Nov-22</c:v>
                </c:pt>
                <c:pt idx="3">
                  <c:v>Dec-22</c:v>
                </c:pt>
                <c:pt idx="4">
                  <c:v>Jan-23</c:v>
                </c:pt>
                <c:pt idx="5">
                  <c:v>Feb-23</c:v>
                </c:pt>
              </c:strCache>
            </c:strRef>
          </c:cat>
          <c:val>
            <c:numRef>
              <c:f>'Deferreds Chart'!$D$5:$D$11</c:f>
              <c:numCache>
                <c:formatCode>General</c:formatCode>
                <c:ptCount val="6"/>
                <c:pt idx="0">
                  <c:v>175</c:v>
                </c:pt>
                <c:pt idx="1">
                  <c:v>175</c:v>
                </c:pt>
                <c:pt idx="2">
                  <c:v>182</c:v>
                </c:pt>
                <c:pt idx="3">
                  <c:v>185</c:v>
                </c:pt>
                <c:pt idx="4">
                  <c:v>186</c:v>
                </c:pt>
                <c:pt idx="5">
                  <c:v>188</c:v>
                </c:pt>
              </c:numCache>
            </c:numRef>
          </c:val>
          <c:extLst>
            <c:ext xmlns:c16="http://schemas.microsoft.com/office/drawing/2014/chart" uri="{C3380CC4-5D6E-409C-BE32-E72D297353CC}">
              <c16:uniqueId val="{00000002-F3A1-45D4-A008-C6985A6BB569}"/>
            </c:ext>
          </c:extLst>
        </c:ser>
        <c:ser>
          <c:idx val="3"/>
          <c:order val="3"/>
          <c:tx>
            <c:strRef>
              <c:f>'Deferreds Chart'!$E$3:$E$4</c:f>
              <c:strCache>
                <c:ptCount val="1"/>
                <c:pt idx="0">
                  <c:v>Nottinghamshire (2006/RDS Scheme)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Sep-22</c:v>
                </c:pt>
                <c:pt idx="1">
                  <c:v>Oct-22</c:v>
                </c:pt>
                <c:pt idx="2">
                  <c:v>Nov-22</c:v>
                </c:pt>
                <c:pt idx="3">
                  <c:v>Dec-22</c:v>
                </c:pt>
                <c:pt idx="4">
                  <c:v>Jan-23</c:v>
                </c:pt>
                <c:pt idx="5">
                  <c:v>Feb-23</c:v>
                </c:pt>
              </c:strCache>
            </c:strRef>
          </c:cat>
          <c:val>
            <c:numRef>
              <c:f>'Deferreds Chart'!$E$5:$E$11</c:f>
              <c:numCache>
                <c:formatCode>General</c:formatCode>
                <c:ptCount val="6"/>
                <c:pt idx="0">
                  <c:v>38</c:v>
                </c:pt>
                <c:pt idx="1">
                  <c:v>37</c:v>
                </c:pt>
                <c:pt idx="2">
                  <c:v>37</c:v>
                </c:pt>
                <c:pt idx="3">
                  <c:v>37</c:v>
                </c:pt>
                <c:pt idx="4">
                  <c:v>37</c:v>
                </c:pt>
                <c:pt idx="5">
                  <c:v>36</c:v>
                </c:pt>
              </c:numCache>
            </c:numRef>
          </c:val>
          <c:extLst>
            <c:ext xmlns:c16="http://schemas.microsoft.com/office/drawing/2014/chart" uri="{C3380CC4-5D6E-409C-BE32-E72D297353CC}">
              <c16:uniqueId val="{00000003-F3A1-45D4-A008-C6985A6BB569}"/>
            </c:ext>
          </c:extLst>
        </c:ser>
        <c:ser>
          <c:idx val="4"/>
          <c:order val="4"/>
          <c:tx>
            <c:strRef>
              <c:f>'Deferreds Chart'!$F$3:$F$4</c:f>
              <c:strCache>
                <c:ptCount val="1"/>
                <c:pt idx="0">
                  <c:v>Nottinghamshire (2015/RDS Scheme)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Sep-22</c:v>
                </c:pt>
                <c:pt idx="1">
                  <c:v>Oct-22</c:v>
                </c:pt>
                <c:pt idx="2">
                  <c:v>Nov-22</c:v>
                </c:pt>
                <c:pt idx="3">
                  <c:v>Dec-22</c:v>
                </c:pt>
                <c:pt idx="4">
                  <c:v>Jan-23</c:v>
                </c:pt>
                <c:pt idx="5">
                  <c:v>Feb-23</c:v>
                </c:pt>
              </c:strCache>
            </c:strRef>
          </c:cat>
          <c:val>
            <c:numRef>
              <c:f>'Deferreds Chart'!$F$5:$F$11</c:f>
              <c:numCache>
                <c:formatCode>General</c:formatCode>
                <c:ptCount val="6"/>
                <c:pt idx="0">
                  <c:v>4</c:v>
                </c:pt>
                <c:pt idx="1">
                  <c:v>4</c:v>
                </c:pt>
                <c:pt idx="2">
                  <c:v>4</c:v>
                </c:pt>
                <c:pt idx="3">
                  <c:v>4</c:v>
                </c:pt>
                <c:pt idx="4">
                  <c:v>4</c:v>
                </c:pt>
                <c:pt idx="5">
                  <c:v>4</c:v>
                </c:pt>
              </c:numCache>
            </c:numRef>
          </c:val>
          <c:extLst>
            <c:ext xmlns:c16="http://schemas.microsoft.com/office/drawing/2014/chart" uri="{C3380CC4-5D6E-409C-BE32-E72D297353CC}">
              <c16:uniqueId val="{00000004-F3A1-45D4-A008-C6985A6BB569}"/>
            </c:ext>
          </c:extLst>
        </c:ser>
        <c:dLbls>
          <c:dLblPos val="outEnd"/>
          <c:showLegendKey val="0"/>
          <c:showVal val="1"/>
          <c:showCatName val="0"/>
          <c:showSerName val="0"/>
          <c:showPercent val="0"/>
          <c:showBubbleSize val="0"/>
        </c:dLbls>
        <c:gapWidth val="219"/>
        <c:overlap val="-27"/>
        <c:axId val="499866544"/>
        <c:axId val="499866872"/>
      </c:barChart>
      <c:catAx>
        <c:axId val="49986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866872"/>
        <c:crosses val="autoZero"/>
        <c:auto val="1"/>
        <c:lblAlgn val="ctr"/>
        <c:lblOffset val="100"/>
        <c:noMultiLvlLbl val="0"/>
      </c:catAx>
      <c:valAx>
        <c:axId val="499866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866544"/>
        <c:crosses val="autoZero"/>
        <c:crossBetween val="between"/>
      </c:valAx>
      <c:spPr>
        <a:noFill/>
        <a:ln>
          <a:noFill/>
        </a:ln>
        <a:effectLst/>
      </c:spPr>
    </c:plotArea>
    <c:legend>
      <c:legendPos val="b"/>
      <c:layout>
        <c:manualLayout>
          <c:xMode val="edge"/>
          <c:yMode val="edge"/>
          <c:x val="1.8205726272287534E-3"/>
          <c:y val="0.88702516541149212"/>
          <c:w val="0.99817937727261785"/>
          <c:h val="0.1129747863247863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[Pensioners Membership chart.xlsx]Pensioners Chart!PivotTable4</c:name>
    <c:fmtId val="465"/>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Pensioners by Scheme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
        <c:idx val="50"/>
        <c:spPr>
          <a:solidFill>
            <a:schemeClr val="accent1"/>
          </a:solidFill>
          <a:ln>
            <a:noFill/>
          </a:ln>
          <a:effectLst/>
        </c:spPr>
        <c:marker>
          <c:symbol val="none"/>
        </c:marker>
      </c:pivotFmt>
      <c:pivotFmt>
        <c:idx val="51"/>
        <c:spPr>
          <a:solidFill>
            <a:schemeClr val="accent1"/>
          </a:solidFill>
          <a:ln>
            <a:noFill/>
          </a:ln>
          <a:effectLst/>
        </c:spPr>
        <c:marker>
          <c:symbol val="none"/>
        </c:marker>
      </c:pivotFmt>
      <c:pivotFmt>
        <c:idx val="52"/>
        <c:spPr>
          <a:solidFill>
            <a:schemeClr val="accent1"/>
          </a:solidFill>
          <a:ln>
            <a:noFill/>
          </a:ln>
          <a:effectLst/>
        </c:spPr>
        <c:marker>
          <c:symbol val="none"/>
        </c:marker>
      </c:pivotFmt>
      <c:pivotFmt>
        <c:idx val="53"/>
        <c:spPr>
          <a:solidFill>
            <a:schemeClr val="accent1"/>
          </a:solidFill>
          <a:ln>
            <a:noFill/>
          </a:ln>
          <a:effectLst/>
        </c:spPr>
        <c:marker>
          <c:symbol val="none"/>
        </c:marker>
      </c:pivotFmt>
      <c:pivotFmt>
        <c:idx val="54"/>
        <c:spPr>
          <a:solidFill>
            <a:schemeClr val="accent1"/>
          </a:solidFill>
          <a:ln>
            <a:noFill/>
          </a:ln>
          <a:effectLst/>
        </c:spPr>
        <c:marker>
          <c:symbol val="none"/>
        </c:marker>
      </c:pivotFmt>
      <c:pivotFmt>
        <c:idx val="55"/>
        <c:spPr>
          <a:solidFill>
            <a:schemeClr val="accent1"/>
          </a:solidFill>
          <a:ln>
            <a:noFill/>
          </a:ln>
          <a:effectLst/>
        </c:spPr>
        <c:marker>
          <c:symbol val="none"/>
        </c:marker>
      </c:pivotFmt>
      <c:pivotFmt>
        <c:idx val="56"/>
        <c:spPr>
          <a:solidFill>
            <a:schemeClr val="accent1"/>
          </a:solidFill>
          <a:ln>
            <a:noFill/>
          </a:ln>
          <a:effectLst/>
        </c:spPr>
        <c:marker>
          <c:symbol val="none"/>
        </c:marker>
      </c:pivotFmt>
      <c:pivotFmt>
        <c:idx val="57"/>
        <c:spPr>
          <a:solidFill>
            <a:schemeClr val="accent1"/>
          </a:solidFill>
          <a:ln>
            <a:noFill/>
          </a:ln>
          <a:effectLst/>
        </c:spPr>
        <c:marker>
          <c:symbol val="none"/>
        </c:marker>
      </c:pivotFmt>
      <c:pivotFmt>
        <c:idx val="58"/>
        <c:spPr>
          <a:solidFill>
            <a:schemeClr val="accent1"/>
          </a:solidFill>
          <a:ln>
            <a:noFill/>
          </a:ln>
          <a:effectLst/>
        </c:spPr>
        <c:marker>
          <c:symbol val="none"/>
        </c:marker>
      </c:pivotFmt>
      <c:pivotFmt>
        <c:idx val="59"/>
        <c:spPr>
          <a:solidFill>
            <a:schemeClr val="accent1"/>
          </a:solidFill>
          <a:ln>
            <a:noFill/>
          </a:ln>
          <a:effectLst/>
        </c:spPr>
        <c:marker>
          <c:symbol val="none"/>
        </c:marker>
      </c:pivotFmt>
      <c:pivotFmt>
        <c:idx val="60"/>
        <c:spPr>
          <a:solidFill>
            <a:schemeClr val="accent1"/>
          </a:solidFill>
          <a:ln>
            <a:noFill/>
          </a:ln>
          <a:effectLst/>
        </c:spPr>
        <c:marker>
          <c:symbol val="none"/>
        </c:marker>
      </c:pivotFmt>
      <c:pivotFmt>
        <c:idx val="61"/>
        <c:spPr>
          <a:solidFill>
            <a:schemeClr val="accent1"/>
          </a:solidFill>
          <a:ln>
            <a:noFill/>
          </a:ln>
          <a:effectLst/>
        </c:spPr>
        <c:marker>
          <c:symbol val="none"/>
        </c:marker>
      </c:pivotFmt>
      <c:pivotFmt>
        <c:idx val="62"/>
        <c:spPr>
          <a:solidFill>
            <a:schemeClr val="accent1"/>
          </a:solidFill>
          <a:ln>
            <a:noFill/>
          </a:ln>
          <a:effectLst/>
        </c:spPr>
        <c:marker>
          <c:symbol val="none"/>
        </c:marker>
      </c:pivotFmt>
      <c:pivotFmt>
        <c:idx val="63"/>
        <c:spPr>
          <a:solidFill>
            <a:schemeClr val="accent1"/>
          </a:solidFill>
          <a:ln>
            <a:noFill/>
          </a:ln>
          <a:effectLst/>
        </c:spPr>
        <c:marker>
          <c:symbol val="none"/>
        </c:marker>
      </c:pivotFmt>
      <c:pivotFmt>
        <c:idx val="64"/>
        <c:spPr>
          <a:solidFill>
            <a:schemeClr val="accent1"/>
          </a:solidFill>
          <a:ln>
            <a:noFill/>
          </a:ln>
          <a:effectLst/>
        </c:spPr>
        <c:marker>
          <c:symbol val="none"/>
        </c:marker>
      </c:pivotFmt>
      <c:pivotFmt>
        <c:idx val="65"/>
        <c:spPr>
          <a:solidFill>
            <a:schemeClr val="accent1"/>
          </a:solidFill>
          <a:ln>
            <a:noFill/>
          </a:ln>
          <a:effectLst/>
        </c:spPr>
        <c:marker>
          <c:symbol val="none"/>
        </c:marker>
      </c:pivotFmt>
      <c:pivotFmt>
        <c:idx val="66"/>
        <c:spPr>
          <a:solidFill>
            <a:schemeClr val="accent1"/>
          </a:solidFill>
          <a:ln>
            <a:noFill/>
          </a:ln>
          <a:effectLst/>
        </c:spPr>
        <c:marker>
          <c:symbol val="none"/>
        </c:marker>
      </c:pivotFmt>
      <c:pivotFmt>
        <c:idx val="67"/>
        <c:spPr>
          <a:solidFill>
            <a:schemeClr val="accent1"/>
          </a:solidFill>
          <a:ln>
            <a:noFill/>
          </a:ln>
          <a:effectLst/>
        </c:spPr>
        <c:marker>
          <c:symbol val="none"/>
        </c:marker>
      </c:pivotFmt>
      <c:pivotFmt>
        <c:idx val="68"/>
        <c:spPr>
          <a:solidFill>
            <a:schemeClr val="accent1"/>
          </a:solidFill>
          <a:ln>
            <a:noFill/>
          </a:ln>
          <a:effectLst/>
        </c:spPr>
        <c:marker>
          <c:symbol val="none"/>
        </c:marker>
      </c:pivotFmt>
      <c:pivotFmt>
        <c:idx val="69"/>
        <c:spPr>
          <a:solidFill>
            <a:schemeClr val="accent1"/>
          </a:solidFill>
          <a:ln>
            <a:noFill/>
          </a:ln>
          <a:effectLst/>
        </c:spPr>
        <c:marker>
          <c:symbol val="none"/>
        </c:marker>
      </c:pivotFmt>
      <c:pivotFmt>
        <c:idx val="70"/>
        <c:spPr>
          <a:solidFill>
            <a:schemeClr val="accent1"/>
          </a:solidFill>
          <a:ln>
            <a:noFill/>
          </a:ln>
          <a:effectLst/>
        </c:spPr>
        <c:marker>
          <c:symbol val="none"/>
        </c:marker>
      </c:pivotFmt>
      <c:pivotFmt>
        <c:idx val="71"/>
        <c:spPr>
          <a:solidFill>
            <a:schemeClr val="accent1"/>
          </a:solidFill>
          <a:ln>
            <a:noFill/>
          </a:ln>
          <a:effectLst/>
        </c:spPr>
        <c:marker>
          <c:symbol val="none"/>
        </c:marker>
      </c:pivotFmt>
      <c:pivotFmt>
        <c:idx val="72"/>
        <c:spPr>
          <a:solidFill>
            <a:schemeClr val="accent1"/>
          </a:solidFill>
          <a:ln>
            <a:noFill/>
          </a:ln>
          <a:effectLst/>
        </c:spPr>
        <c:marker>
          <c:symbol val="none"/>
        </c:marker>
      </c:pivotFmt>
      <c:pivotFmt>
        <c:idx val="73"/>
        <c:spPr>
          <a:solidFill>
            <a:schemeClr val="accent1"/>
          </a:solidFill>
          <a:ln>
            <a:noFill/>
          </a:ln>
          <a:effectLst/>
        </c:spPr>
        <c:marker>
          <c:symbol val="none"/>
        </c:marker>
      </c:pivotFmt>
      <c:pivotFmt>
        <c:idx val="74"/>
        <c:spPr>
          <a:solidFill>
            <a:schemeClr val="accent1"/>
          </a:solidFill>
          <a:ln>
            <a:noFill/>
          </a:ln>
          <a:effectLst/>
        </c:spPr>
        <c:marker>
          <c:symbol val="none"/>
        </c:marker>
      </c:pivotFmt>
      <c:pivotFmt>
        <c:idx val="75"/>
        <c:spPr>
          <a:solidFill>
            <a:schemeClr val="accent1"/>
          </a:solidFill>
          <a:ln>
            <a:noFill/>
          </a:ln>
          <a:effectLst/>
        </c:spPr>
        <c:marker>
          <c:symbol val="none"/>
        </c:marker>
      </c:pivotFmt>
      <c:pivotFmt>
        <c:idx val="76"/>
        <c:spPr>
          <a:solidFill>
            <a:schemeClr val="accent1"/>
          </a:solidFill>
          <a:ln>
            <a:noFill/>
          </a:ln>
          <a:effectLst/>
        </c:spPr>
        <c:marker>
          <c:symbol val="none"/>
        </c:marker>
      </c:pivotFmt>
      <c:pivotFmt>
        <c:idx val="77"/>
        <c:spPr>
          <a:solidFill>
            <a:schemeClr val="accent1"/>
          </a:solidFill>
          <a:ln>
            <a:noFill/>
          </a:ln>
          <a:effectLst/>
        </c:spPr>
        <c:marker>
          <c:symbol val="none"/>
        </c:marker>
      </c:pivotFmt>
      <c:pivotFmt>
        <c:idx val="78"/>
        <c:spPr>
          <a:solidFill>
            <a:schemeClr val="accent1"/>
          </a:solidFill>
          <a:ln>
            <a:noFill/>
          </a:ln>
          <a:effectLst/>
        </c:spPr>
        <c:marker>
          <c:symbol val="none"/>
        </c:marker>
      </c:pivotFmt>
      <c:pivotFmt>
        <c:idx val="79"/>
        <c:spPr>
          <a:solidFill>
            <a:schemeClr val="accent1"/>
          </a:solidFill>
          <a:ln>
            <a:noFill/>
          </a:ln>
          <a:effectLst/>
        </c:spPr>
        <c:marker>
          <c:symbol val="none"/>
        </c:marker>
      </c:pivotFmt>
      <c:pivotFmt>
        <c:idx val="80"/>
        <c:spPr>
          <a:solidFill>
            <a:schemeClr val="accent1"/>
          </a:solidFill>
          <a:ln>
            <a:noFill/>
          </a:ln>
          <a:effectLst/>
        </c:spPr>
        <c:marker>
          <c:symbol val="none"/>
        </c:marker>
      </c:pivotFmt>
      <c:pivotFmt>
        <c:idx val="81"/>
        <c:spPr>
          <a:solidFill>
            <a:schemeClr val="accent1"/>
          </a:solidFill>
          <a:ln>
            <a:noFill/>
          </a:ln>
          <a:effectLst/>
        </c:spPr>
        <c:marker>
          <c:symbol val="none"/>
        </c:marker>
      </c:pivotFmt>
      <c:pivotFmt>
        <c:idx val="82"/>
        <c:spPr>
          <a:solidFill>
            <a:schemeClr val="accent1"/>
          </a:solidFill>
          <a:ln>
            <a:noFill/>
          </a:ln>
          <a:effectLst/>
        </c:spPr>
        <c:marker>
          <c:symbol val="none"/>
        </c:marker>
      </c:pivotFmt>
      <c:pivotFmt>
        <c:idx val="83"/>
        <c:spPr>
          <a:solidFill>
            <a:schemeClr val="accent1"/>
          </a:solidFill>
          <a:ln>
            <a:noFill/>
          </a:ln>
          <a:effectLst/>
        </c:spPr>
        <c:marker>
          <c:symbol val="none"/>
        </c:marker>
      </c:pivotFmt>
      <c:pivotFmt>
        <c:idx val="84"/>
        <c:spPr>
          <a:solidFill>
            <a:schemeClr val="accent1"/>
          </a:solidFill>
          <a:ln>
            <a:noFill/>
          </a:ln>
          <a:effectLst/>
        </c:spPr>
        <c:marker>
          <c:symbol val="none"/>
        </c:marker>
      </c:pivotFmt>
      <c:pivotFmt>
        <c:idx val="85"/>
        <c:spPr>
          <a:solidFill>
            <a:schemeClr val="accent1"/>
          </a:solidFill>
          <a:ln>
            <a:noFill/>
          </a:ln>
          <a:effectLst/>
        </c:spPr>
        <c:marker>
          <c:symbol val="none"/>
        </c:marker>
      </c:pivotFmt>
      <c:pivotFmt>
        <c:idx val="86"/>
        <c:spPr>
          <a:solidFill>
            <a:schemeClr val="accent1"/>
          </a:solidFill>
          <a:ln>
            <a:noFill/>
          </a:ln>
          <a:effectLst/>
        </c:spPr>
        <c:marker>
          <c:symbol val="none"/>
        </c:marker>
      </c:pivotFmt>
      <c:pivotFmt>
        <c:idx val="87"/>
        <c:spPr>
          <a:solidFill>
            <a:schemeClr val="accent1"/>
          </a:solidFill>
          <a:ln>
            <a:noFill/>
          </a:ln>
          <a:effectLst/>
        </c:spPr>
        <c:marker>
          <c:symbol val="none"/>
        </c:marker>
      </c:pivotFmt>
      <c:pivotFmt>
        <c:idx val="88"/>
        <c:spPr>
          <a:solidFill>
            <a:schemeClr val="accent1"/>
          </a:solidFill>
          <a:ln>
            <a:noFill/>
          </a:ln>
          <a:effectLst/>
        </c:spPr>
        <c:marker>
          <c:symbol val="none"/>
        </c:marker>
      </c:pivotFmt>
      <c:pivotFmt>
        <c:idx val="89"/>
        <c:spPr>
          <a:solidFill>
            <a:schemeClr val="accent1"/>
          </a:solidFill>
          <a:ln>
            <a:noFill/>
          </a:ln>
          <a:effectLst/>
        </c:spPr>
        <c:marker>
          <c:symbol val="none"/>
        </c:marker>
      </c:pivotFmt>
      <c:pivotFmt>
        <c:idx val="90"/>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1"/>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7"/>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7"/>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7"/>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5"/>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0"/>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5"/>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0"/>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5"/>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8"/>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3"/>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8"/>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3"/>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8"/>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4"/>
      </c:pivotFmt>
      <c:pivotFmt>
        <c:idx val="195"/>
      </c:pivotFmt>
      <c:pivotFmt>
        <c:idx val="1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2"/>
        <c:spPr>
          <a:solidFill>
            <a:schemeClr val="accent1"/>
          </a:solidFill>
          <a:ln>
            <a:noFill/>
          </a:ln>
          <a:effectLst/>
        </c:spPr>
        <c:marker>
          <c:symbol val="none"/>
        </c:marker>
      </c:pivotFmt>
      <c:pivotFmt>
        <c:idx val="203"/>
        <c:spPr>
          <a:solidFill>
            <a:schemeClr val="accent1"/>
          </a:solidFill>
          <a:ln>
            <a:noFill/>
          </a:ln>
          <a:effectLst/>
        </c:spPr>
        <c:marker>
          <c:symbol val="none"/>
        </c:marker>
      </c:pivotFmt>
      <c:pivotFmt>
        <c:idx val="2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6"/>
        <c:spPr>
          <a:solidFill>
            <a:schemeClr val="accent1"/>
          </a:solidFill>
          <a:ln>
            <a:noFill/>
          </a:ln>
          <a:effectLst/>
        </c:spPr>
        <c:marker>
          <c:symbol val="none"/>
        </c:marker>
      </c:pivotFmt>
      <c:pivotFmt>
        <c:idx val="207"/>
        <c:spPr>
          <a:solidFill>
            <a:schemeClr val="accent1"/>
          </a:solidFill>
          <a:ln>
            <a:noFill/>
          </a:ln>
          <a:effectLst/>
        </c:spPr>
        <c:marker>
          <c:symbol val="none"/>
        </c:marker>
      </c:pivotFmt>
      <c:pivotFmt>
        <c:idx val="208"/>
        <c:spPr>
          <a:solidFill>
            <a:schemeClr val="accent1"/>
          </a:solidFill>
          <a:ln>
            <a:noFill/>
          </a:ln>
          <a:effectLst/>
        </c:spPr>
        <c:marker>
          <c:symbol val="none"/>
        </c:marker>
      </c:pivotFmt>
      <c:pivotFmt>
        <c:idx val="209"/>
        <c:spPr>
          <a:solidFill>
            <a:schemeClr val="accent1"/>
          </a:solidFill>
          <a:ln>
            <a:noFill/>
          </a:ln>
          <a:effectLst/>
        </c:spPr>
        <c:marker>
          <c:symbol val="none"/>
        </c:marker>
      </c:pivotFmt>
      <c:pivotFmt>
        <c:idx val="210"/>
        <c:spPr>
          <a:solidFill>
            <a:schemeClr val="accent1"/>
          </a:solidFill>
          <a:ln>
            <a:noFill/>
          </a:ln>
          <a:effectLst/>
        </c:spPr>
        <c:marker>
          <c:symbol val="none"/>
        </c:marker>
      </c:pivotFmt>
      <c:pivotFmt>
        <c:idx val="211"/>
        <c:spPr>
          <a:solidFill>
            <a:schemeClr val="accent1"/>
          </a:solidFill>
          <a:ln>
            <a:noFill/>
          </a:ln>
          <a:effectLst/>
        </c:spPr>
        <c:marker>
          <c:symbol val="none"/>
        </c:marker>
      </c:pivotFmt>
      <c:pivotFmt>
        <c:idx val="212"/>
        <c:spPr>
          <a:solidFill>
            <a:schemeClr val="accent1"/>
          </a:solidFill>
          <a:ln>
            <a:noFill/>
          </a:ln>
          <a:effectLst/>
        </c:spPr>
        <c:marker>
          <c:symbol val="none"/>
        </c:marker>
      </c:pivotFmt>
      <c:pivotFmt>
        <c:idx val="213"/>
        <c:spPr>
          <a:solidFill>
            <a:schemeClr val="accent1"/>
          </a:solidFill>
          <a:ln>
            <a:noFill/>
          </a:ln>
          <a:effectLst/>
        </c:spPr>
        <c:marker>
          <c:symbol val="none"/>
        </c:marker>
      </c:pivotFmt>
      <c:pivotFmt>
        <c:idx val="214"/>
        <c:spPr>
          <a:solidFill>
            <a:schemeClr val="accent1"/>
          </a:solidFill>
          <a:ln>
            <a:noFill/>
          </a:ln>
          <a:effectLst/>
        </c:spPr>
        <c:marker>
          <c:symbol val="none"/>
        </c:marker>
      </c:pivotFmt>
      <c:pivotFmt>
        <c:idx val="215"/>
        <c:spPr>
          <a:solidFill>
            <a:schemeClr val="accent1"/>
          </a:solidFill>
          <a:ln>
            <a:noFill/>
          </a:ln>
          <a:effectLst/>
        </c:spPr>
        <c:marker>
          <c:symbol val="none"/>
        </c:marker>
      </c:pivotFmt>
      <c:pivotFmt>
        <c:idx val="216"/>
        <c:spPr>
          <a:solidFill>
            <a:schemeClr val="accent1"/>
          </a:solidFill>
          <a:ln>
            <a:noFill/>
          </a:ln>
          <a:effectLst/>
        </c:spPr>
        <c:marker>
          <c:symbol val="none"/>
        </c:marker>
      </c:pivotFmt>
      <c:pivotFmt>
        <c:idx val="2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9"/>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0"/>
        <c:spPr>
          <a:solidFill>
            <a:schemeClr val="accent1"/>
          </a:solidFill>
          <a:ln>
            <a:noFill/>
          </a:ln>
          <a:effectLst/>
        </c:spPr>
        <c:marker>
          <c:symbol val="none"/>
        </c:marker>
      </c:pivotFmt>
      <c:pivotFmt>
        <c:idx val="221"/>
        <c:spPr>
          <a:solidFill>
            <a:schemeClr val="accent1"/>
          </a:solidFill>
          <a:ln>
            <a:noFill/>
          </a:ln>
          <a:effectLst/>
        </c:spPr>
        <c:marker>
          <c:symbol val="none"/>
        </c:marker>
      </c:pivotFmt>
      <c:pivotFmt>
        <c:idx val="2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4"/>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5"/>
        <c:spPr>
          <a:solidFill>
            <a:schemeClr val="accent1"/>
          </a:solidFill>
          <a:ln>
            <a:noFill/>
          </a:ln>
          <a:effectLst/>
        </c:spPr>
        <c:marker>
          <c:symbol val="none"/>
        </c:marker>
      </c:pivotFmt>
      <c:pivotFmt>
        <c:idx val="226"/>
        <c:spPr>
          <a:solidFill>
            <a:schemeClr val="accent1"/>
          </a:solidFill>
          <a:ln>
            <a:noFill/>
          </a:ln>
          <a:effectLst/>
        </c:spPr>
        <c:marker>
          <c:symbol val="none"/>
        </c:marker>
      </c:pivotFmt>
    </c:pivotFmts>
    <c:plotArea>
      <c:layout>
        <c:manualLayout>
          <c:layoutTarget val="inner"/>
          <c:xMode val="edge"/>
          <c:yMode val="edge"/>
          <c:x val="4.4062080909257798E-2"/>
          <c:y val="0.11541075794468235"/>
          <c:w val="0.92564210507690092"/>
          <c:h val="0.67566685921200287"/>
        </c:manualLayout>
      </c:layout>
      <c:barChart>
        <c:barDir val="col"/>
        <c:grouping val="clustered"/>
        <c:varyColors val="0"/>
        <c:ser>
          <c:idx val="0"/>
          <c:order val="0"/>
          <c:tx>
            <c:strRef>
              <c:f>'Pensioners Chart'!$B$3:$B$4</c:f>
              <c:strCache>
                <c:ptCount val="1"/>
                <c:pt idx="0">
                  <c:v>Nottinghamshire (1992 Scheme)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Sep-22</c:v>
                </c:pt>
                <c:pt idx="1">
                  <c:v>Oct-22</c:v>
                </c:pt>
                <c:pt idx="2">
                  <c:v>Nov-22</c:v>
                </c:pt>
                <c:pt idx="3">
                  <c:v>Dec-22</c:v>
                </c:pt>
                <c:pt idx="4">
                  <c:v>Jan-23</c:v>
                </c:pt>
                <c:pt idx="5">
                  <c:v>Feb-23</c:v>
                </c:pt>
              </c:strCache>
            </c:strRef>
          </c:cat>
          <c:val>
            <c:numRef>
              <c:f>'Pensioners Chart'!$B$5:$B$11</c:f>
              <c:numCache>
                <c:formatCode>General</c:formatCode>
                <c:ptCount val="6"/>
                <c:pt idx="0">
                  <c:v>718</c:v>
                </c:pt>
                <c:pt idx="1">
                  <c:v>717</c:v>
                </c:pt>
                <c:pt idx="2">
                  <c:v>716</c:v>
                </c:pt>
                <c:pt idx="3">
                  <c:v>717</c:v>
                </c:pt>
                <c:pt idx="4">
                  <c:v>715</c:v>
                </c:pt>
                <c:pt idx="5">
                  <c:v>713</c:v>
                </c:pt>
              </c:numCache>
            </c:numRef>
          </c:val>
          <c:extLst>
            <c:ext xmlns:c16="http://schemas.microsoft.com/office/drawing/2014/chart" uri="{C3380CC4-5D6E-409C-BE32-E72D297353CC}">
              <c16:uniqueId val="{00000000-DE3F-45FD-BD87-A54FAF244586}"/>
            </c:ext>
          </c:extLst>
        </c:ser>
        <c:ser>
          <c:idx val="1"/>
          <c:order val="1"/>
          <c:tx>
            <c:strRef>
              <c:f>'Pensioners Chart'!$C$3:$C$4</c:f>
              <c:strCache>
                <c:ptCount val="1"/>
                <c:pt idx="0">
                  <c:v>Nottinghamshire (2006 Scheme)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Sep-22</c:v>
                </c:pt>
                <c:pt idx="1">
                  <c:v>Oct-22</c:v>
                </c:pt>
                <c:pt idx="2">
                  <c:v>Nov-22</c:v>
                </c:pt>
                <c:pt idx="3">
                  <c:v>Dec-22</c:v>
                </c:pt>
                <c:pt idx="4">
                  <c:v>Jan-23</c:v>
                </c:pt>
                <c:pt idx="5">
                  <c:v>Feb-23</c:v>
                </c:pt>
              </c:strCache>
            </c:strRef>
          </c:cat>
          <c:val>
            <c:numRef>
              <c:f>'Pensioners Chart'!$C$5:$C$11</c:f>
              <c:numCache>
                <c:formatCode>General</c:formatCode>
                <c:ptCount val="6"/>
                <c:pt idx="0">
                  <c:v>28</c:v>
                </c:pt>
                <c:pt idx="1">
                  <c:v>28</c:v>
                </c:pt>
                <c:pt idx="2">
                  <c:v>29</c:v>
                </c:pt>
                <c:pt idx="3">
                  <c:v>30</c:v>
                </c:pt>
                <c:pt idx="4">
                  <c:v>30</c:v>
                </c:pt>
                <c:pt idx="5">
                  <c:v>30</c:v>
                </c:pt>
              </c:numCache>
            </c:numRef>
          </c:val>
          <c:extLst>
            <c:ext xmlns:c16="http://schemas.microsoft.com/office/drawing/2014/chart" uri="{C3380CC4-5D6E-409C-BE32-E72D297353CC}">
              <c16:uniqueId val="{00000001-DE3F-45FD-BD87-A54FAF244586}"/>
            </c:ext>
          </c:extLst>
        </c:ser>
        <c:ser>
          <c:idx val="2"/>
          <c:order val="2"/>
          <c:tx>
            <c:strRef>
              <c:f>'Pensioners Chart'!$D$3:$D$4</c:f>
              <c:strCache>
                <c:ptCount val="1"/>
                <c:pt idx="0">
                  <c:v>Nottinghamshire (2015 Scheme)</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Sep-22</c:v>
                </c:pt>
                <c:pt idx="1">
                  <c:v>Oct-22</c:v>
                </c:pt>
                <c:pt idx="2">
                  <c:v>Nov-22</c:v>
                </c:pt>
                <c:pt idx="3">
                  <c:v>Dec-22</c:v>
                </c:pt>
                <c:pt idx="4">
                  <c:v>Jan-23</c:v>
                </c:pt>
                <c:pt idx="5">
                  <c:v>Feb-23</c:v>
                </c:pt>
              </c:strCache>
            </c:strRef>
          </c:cat>
          <c:val>
            <c:numRef>
              <c:f>'Pensioners Chart'!$D$5:$D$11</c:f>
              <c:numCache>
                <c:formatCode>General</c:formatCode>
                <c:ptCount val="6"/>
                <c:pt idx="0">
                  <c:v>15</c:v>
                </c:pt>
                <c:pt idx="1">
                  <c:v>16</c:v>
                </c:pt>
                <c:pt idx="2">
                  <c:v>18</c:v>
                </c:pt>
                <c:pt idx="3">
                  <c:v>21</c:v>
                </c:pt>
                <c:pt idx="4">
                  <c:v>23</c:v>
                </c:pt>
                <c:pt idx="5">
                  <c:v>24</c:v>
                </c:pt>
              </c:numCache>
            </c:numRef>
          </c:val>
          <c:extLst>
            <c:ext xmlns:c16="http://schemas.microsoft.com/office/drawing/2014/chart" uri="{C3380CC4-5D6E-409C-BE32-E72D297353CC}">
              <c16:uniqueId val="{00000002-DE3F-45FD-BD87-A54FAF244586}"/>
            </c:ext>
          </c:extLst>
        </c:ser>
        <c:ser>
          <c:idx val="3"/>
          <c:order val="3"/>
          <c:tx>
            <c:strRef>
              <c:f>'Pensioners Chart'!$E$3:$E$4</c:f>
              <c:strCache>
                <c:ptCount val="1"/>
                <c:pt idx="0">
                  <c:v>Nottinghamshire (2006/RDS Scheme)</c:v>
                </c:pt>
              </c:strCache>
            </c:strRef>
          </c:tx>
          <c:spPr>
            <a:solidFill>
              <a:schemeClr val="accent4"/>
            </a:solidFill>
            <a:ln>
              <a:noFill/>
            </a:ln>
            <a:effectLst/>
          </c:spPr>
          <c:invertIfNegative val="0"/>
          <c:dLbls>
            <c:delete val="1"/>
          </c:dLbls>
          <c:cat>
            <c:strRef>
              <c:f>'Pensioners Chart'!$A$5:$A$11</c:f>
              <c:strCache>
                <c:ptCount val="6"/>
                <c:pt idx="0">
                  <c:v>Sep-22</c:v>
                </c:pt>
                <c:pt idx="1">
                  <c:v>Oct-22</c:v>
                </c:pt>
                <c:pt idx="2">
                  <c:v>Nov-22</c:v>
                </c:pt>
                <c:pt idx="3">
                  <c:v>Dec-22</c:v>
                </c:pt>
                <c:pt idx="4">
                  <c:v>Jan-23</c:v>
                </c:pt>
                <c:pt idx="5">
                  <c:v>Feb-23</c:v>
                </c:pt>
              </c:strCache>
            </c:strRef>
          </c:cat>
          <c:val>
            <c:numRef>
              <c:f>'Pensioners Chart'!$E$5:$E$11</c:f>
              <c:numCache>
                <c:formatCode>General</c:formatCode>
                <c:ptCount val="6"/>
                <c:pt idx="0">
                  <c:v>63</c:v>
                </c:pt>
                <c:pt idx="1">
                  <c:v>64</c:v>
                </c:pt>
                <c:pt idx="2">
                  <c:v>63</c:v>
                </c:pt>
                <c:pt idx="3">
                  <c:v>63</c:v>
                </c:pt>
                <c:pt idx="4">
                  <c:v>63</c:v>
                </c:pt>
                <c:pt idx="5">
                  <c:v>64</c:v>
                </c:pt>
              </c:numCache>
            </c:numRef>
          </c:val>
          <c:extLst>
            <c:ext xmlns:c16="http://schemas.microsoft.com/office/drawing/2014/chart" uri="{C3380CC4-5D6E-409C-BE32-E72D297353CC}">
              <c16:uniqueId val="{00000003-DE3F-45FD-BD87-A54FAF244586}"/>
            </c:ext>
          </c:extLst>
        </c:ser>
        <c:ser>
          <c:idx val="4"/>
          <c:order val="4"/>
          <c:tx>
            <c:strRef>
              <c:f>'Pensioners Chart'!$F$3:$F$4</c:f>
              <c:strCache>
                <c:ptCount val="1"/>
                <c:pt idx="0">
                  <c:v>Nottinghamshire (2015/RDS Scheme)</c:v>
                </c:pt>
              </c:strCache>
            </c:strRef>
          </c:tx>
          <c:spPr>
            <a:solidFill>
              <a:schemeClr val="accent5"/>
            </a:solidFill>
            <a:ln>
              <a:noFill/>
            </a:ln>
            <a:effectLst/>
          </c:spPr>
          <c:invertIfNegative val="0"/>
          <c:dLbls>
            <c:delete val="1"/>
          </c:dLbls>
          <c:cat>
            <c:strRef>
              <c:f>'Pensioners Chart'!$A$5:$A$11</c:f>
              <c:strCache>
                <c:ptCount val="6"/>
                <c:pt idx="0">
                  <c:v>Sep-22</c:v>
                </c:pt>
                <c:pt idx="1">
                  <c:v>Oct-22</c:v>
                </c:pt>
                <c:pt idx="2">
                  <c:v>Nov-22</c:v>
                </c:pt>
                <c:pt idx="3">
                  <c:v>Dec-22</c:v>
                </c:pt>
                <c:pt idx="4">
                  <c:v>Jan-23</c:v>
                </c:pt>
                <c:pt idx="5">
                  <c:v>Feb-23</c:v>
                </c:pt>
              </c:strCache>
            </c:strRef>
          </c:cat>
          <c:val>
            <c:numRef>
              <c:f>'Pensioners Chart'!$F$5:$F$11</c:f>
              <c:numCache>
                <c:formatCode>General</c:formatCode>
                <c:ptCount val="6"/>
                <c:pt idx="0">
                  <c:v>0</c:v>
                </c:pt>
                <c:pt idx="1">
                  <c:v>0</c:v>
                </c:pt>
                <c:pt idx="2">
                  <c:v>0</c:v>
                </c:pt>
                <c:pt idx="3">
                  <c:v>1</c:v>
                </c:pt>
                <c:pt idx="4">
                  <c:v>1</c:v>
                </c:pt>
                <c:pt idx="5">
                  <c:v>1</c:v>
                </c:pt>
              </c:numCache>
            </c:numRef>
          </c:val>
          <c:extLst>
            <c:ext xmlns:c16="http://schemas.microsoft.com/office/drawing/2014/chart" uri="{C3380CC4-5D6E-409C-BE32-E72D297353CC}">
              <c16:uniqueId val="{00000004-DE3F-45FD-BD87-A54FAF244586}"/>
            </c:ext>
          </c:extLst>
        </c:ser>
        <c:dLbls>
          <c:dLblPos val="outEnd"/>
          <c:showLegendKey val="0"/>
          <c:showVal val="1"/>
          <c:showCatName val="0"/>
          <c:showSerName val="0"/>
          <c:showPercent val="0"/>
          <c:showBubbleSize val="0"/>
        </c:dLbls>
        <c:gapWidth val="219"/>
        <c:overlap val="-27"/>
        <c:axId val="771252784"/>
        <c:axId val="771248520"/>
      </c:barChart>
      <c:catAx>
        <c:axId val="77125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248520"/>
        <c:crosses val="autoZero"/>
        <c:auto val="1"/>
        <c:lblAlgn val="ctr"/>
        <c:lblOffset val="100"/>
        <c:noMultiLvlLbl val="0"/>
      </c:catAx>
      <c:valAx>
        <c:axId val="771248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252784"/>
        <c:crosses val="autoZero"/>
        <c:crossBetween val="between"/>
      </c:valAx>
      <c:spPr>
        <a:noFill/>
        <a:ln>
          <a:noFill/>
        </a:ln>
        <a:effectLst/>
      </c:spPr>
    </c:plotArea>
    <c:legend>
      <c:legendPos val="b"/>
      <c:layout>
        <c:manualLayout>
          <c:xMode val="edge"/>
          <c:yMode val="edge"/>
          <c:x val="3.0127827301054035E-3"/>
          <c:y val="0.85868040272457558"/>
          <c:w val="0.99698716348980965"/>
          <c:h val="0.1413196581196581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0.17372</cdr:x>
      <cdr:y>0.075</cdr:y>
    </cdr:from>
    <cdr:to>
      <cdr:x>0.81994</cdr:x>
      <cdr:y>0.15</cdr:y>
    </cdr:to>
    <cdr:sp macro="" textlink="">
      <cdr:nvSpPr>
        <cdr:cNvPr id="2" name="TextBox 1"/>
        <cdr:cNvSpPr txBox="1"/>
      </cdr:nvSpPr>
      <cdr:spPr>
        <a:xfrm xmlns:a="http://schemas.openxmlformats.org/drawingml/2006/main">
          <a:off x="1031875" y="142875"/>
          <a:ext cx="3838575"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0.28917</cdr:x>
      <cdr:y>0.025</cdr:y>
    </cdr:from>
    <cdr:to>
      <cdr:x>0.77023</cdr:x>
      <cdr:y>0.175</cdr:y>
    </cdr:to>
    <cdr:sp macro="" textlink="">
      <cdr:nvSpPr>
        <cdr:cNvPr id="3" name="TextBox 2"/>
        <cdr:cNvSpPr txBox="1"/>
      </cdr:nvSpPr>
      <cdr:spPr>
        <a:xfrm xmlns:a="http://schemas.openxmlformats.org/drawingml/2006/main">
          <a:off x="1717675" y="47625"/>
          <a:ext cx="2857499"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600" baseline="0"/>
            <a:t>Completed Processes</a:t>
          </a:r>
          <a:endParaRPr lang="en-GB" sz="16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71C8F-8DCD-4BEF-9174-8DF01FEDC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20</Pages>
  <Words>3206</Words>
  <Characters>18279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21443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Butterfield</dc:creator>
  <cp:lastModifiedBy>Matthew Mott</cp:lastModifiedBy>
  <cp:revision>179</cp:revision>
  <cp:lastPrinted>2019-04-05T15:46:00Z</cp:lastPrinted>
  <dcterms:created xsi:type="dcterms:W3CDTF">2020-12-07T10:14:00Z</dcterms:created>
  <dcterms:modified xsi:type="dcterms:W3CDTF">2023-02-13T11:50:00Z</dcterms:modified>
</cp:coreProperties>
</file>