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D4F6" w14:textId="77777777" w:rsidR="006A7CC6" w:rsidRDefault="00246C18" w:rsidP="006A7CC6">
      <w:r>
        <w:rPr>
          <w:noProof/>
        </w:rPr>
        <w:drawing>
          <wp:anchor distT="0" distB="0" distL="114300" distR="114300" simplePos="0" relativeHeight="251655168" behindDoc="1" locked="0" layoutInCell="1" allowOverlap="1" wp14:anchorId="22627436" wp14:editId="3610EFEB">
            <wp:simplePos x="0" y="0"/>
            <wp:positionH relativeFrom="column">
              <wp:posOffset>-934720</wp:posOffset>
            </wp:positionH>
            <wp:positionV relativeFrom="paragraph">
              <wp:posOffset>-1163955</wp:posOffset>
            </wp:positionV>
            <wp:extent cx="7711440" cy="10931525"/>
            <wp:effectExtent l="0" t="0" r="0" b="0"/>
            <wp:wrapNone/>
            <wp:docPr id="12"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1440" cy="1093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6CB63" w14:textId="77777777" w:rsidR="006A7CC6" w:rsidRDefault="00246C18" w:rsidP="006A7CC6">
      <w:pPr>
        <w:sectPr w:rsidR="006A7CC6" w:rsidSect="00E3312E">
          <w:pgSz w:w="11900" w:h="16840"/>
          <w:pgMar w:top="1440" w:right="1440" w:bottom="1440" w:left="1440" w:header="720" w:footer="720" w:gutter="0"/>
          <w:cols w:space="720"/>
          <w:titlePg/>
          <w:docGrid w:linePitch="360"/>
        </w:sectPr>
      </w:pPr>
      <w:r>
        <w:rPr>
          <w:noProof/>
        </w:rPr>
        <mc:AlternateContent>
          <mc:Choice Requires="wps">
            <w:drawing>
              <wp:anchor distT="0" distB="0" distL="114300" distR="114300" simplePos="0" relativeHeight="251656192" behindDoc="0" locked="0" layoutInCell="1" allowOverlap="1" wp14:anchorId="42D0DBF8" wp14:editId="61938B83">
                <wp:simplePos x="0" y="0"/>
                <wp:positionH relativeFrom="column">
                  <wp:posOffset>-433070</wp:posOffset>
                </wp:positionH>
                <wp:positionV relativeFrom="paragraph">
                  <wp:posOffset>585470</wp:posOffset>
                </wp:positionV>
                <wp:extent cx="5675630" cy="203390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5630" cy="2033905"/>
                        </a:xfrm>
                        <a:prstGeom prst="rect">
                          <a:avLst/>
                        </a:prstGeom>
                        <a:noFill/>
                        <a:ln w="6350">
                          <a:noFill/>
                        </a:ln>
                      </wps:spPr>
                      <wps:txbx>
                        <w:txbxContent>
                          <w:p w14:paraId="2282C44A" w14:textId="77777777" w:rsidR="00780D79" w:rsidRPr="00562D5E" w:rsidRDefault="00780D79" w:rsidP="006A7CC6">
                            <w:pPr>
                              <w:rPr>
                                <w:b/>
                                <w:bCs/>
                                <w:color w:val="C00000"/>
                                <w:sz w:val="96"/>
                                <w:szCs w:val="96"/>
                              </w:rPr>
                            </w:pPr>
                            <w:r>
                              <w:rPr>
                                <w:b/>
                                <w:bCs/>
                                <w:color w:val="C00000"/>
                                <w:sz w:val="96"/>
                                <w:szCs w:val="96"/>
                              </w:rPr>
                              <w:t>Medium Term Financial Strategy</w:t>
                            </w:r>
                          </w:p>
                          <w:p w14:paraId="0DB10794" w14:textId="77777777" w:rsidR="00780D79" w:rsidRPr="00562D5E" w:rsidRDefault="004B6C98" w:rsidP="006A7CC6">
                            <w:pPr>
                              <w:rPr>
                                <w:rFonts w:ascii="Arial Narrow" w:hAnsi="Arial Narrow"/>
                                <w:color w:val="C00000"/>
                                <w:sz w:val="48"/>
                                <w:szCs w:val="48"/>
                              </w:rPr>
                            </w:pPr>
                            <w:r>
                              <w:rPr>
                                <w:rFonts w:ascii="Arial Narrow" w:hAnsi="Arial Narrow"/>
                                <w:color w:val="C00000"/>
                                <w:sz w:val="48"/>
                                <w:szCs w:val="48"/>
                              </w:rPr>
                              <w:t>2024/25</w:t>
                            </w:r>
                            <w:r w:rsidR="00780D79">
                              <w:rPr>
                                <w:rFonts w:ascii="Arial Narrow" w:hAnsi="Arial Narrow"/>
                                <w:color w:val="C00000"/>
                                <w:sz w:val="48"/>
                                <w:szCs w:val="48"/>
                              </w:rPr>
                              <w:t xml:space="preserve"> to </w:t>
                            </w:r>
                            <w:r>
                              <w:rPr>
                                <w:rFonts w:ascii="Arial Narrow" w:hAnsi="Arial Narrow"/>
                                <w:color w:val="C00000"/>
                                <w:sz w:val="48"/>
                                <w:szCs w:val="48"/>
                              </w:rPr>
                              <w:t>2027/28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0DBF8" id="_x0000_t202" coordsize="21600,21600" o:spt="202" path="m,l,21600r21600,l21600,xe">
                <v:stroke joinstyle="miter"/>
                <v:path gradientshapeok="t" o:connecttype="rect"/>
              </v:shapetype>
              <v:shape id="Text Box 3" o:spid="_x0000_s1026" type="#_x0000_t202" style="position:absolute;margin-left:-34.1pt;margin-top:46.1pt;width:446.9pt;height:16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" filled="f" stroked="f" strokeweight=".5pt">
                <v:textbox>
                  <w:txbxContent>
                    <w:p w14:paraId="2282C44A" w14:textId="77777777" w:rsidR="00780D79" w:rsidRPr="00562D5E" w:rsidRDefault="00780D79" w:rsidP="006A7CC6">
                      <w:pPr>
                        <w:rPr>
                          <w:b/>
                          <w:bCs/>
                          <w:color w:val="C00000"/>
                          <w:sz w:val="96"/>
                          <w:szCs w:val="96"/>
                        </w:rPr>
                      </w:pPr>
                      <w:r>
                        <w:rPr>
                          <w:b/>
                          <w:bCs/>
                          <w:color w:val="C00000"/>
                          <w:sz w:val="96"/>
                          <w:szCs w:val="96"/>
                        </w:rPr>
                        <w:t>Medium Term Financial Strategy</w:t>
                      </w:r>
                    </w:p>
                    <w:p w14:paraId="0DB10794" w14:textId="77777777" w:rsidR="00780D79" w:rsidRPr="00562D5E" w:rsidRDefault="004B6C98" w:rsidP="006A7CC6">
                      <w:pPr>
                        <w:rPr>
                          <w:rFonts w:ascii="Arial Narrow" w:hAnsi="Arial Narrow"/>
                          <w:color w:val="C00000"/>
                          <w:sz w:val="48"/>
                          <w:szCs w:val="48"/>
                        </w:rPr>
                      </w:pPr>
                      <w:r>
                        <w:rPr>
                          <w:rFonts w:ascii="Arial Narrow" w:hAnsi="Arial Narrow"/>
                          <w:color w:val="C00000"/>
                          <w:sz w:val="48"/>
                          <w:szCs w:val="48"/>
                        </w:rPr>
                        <w:t>2024/25</w:t>
                      </w:r>
                      <w:r w:rsidR="00780D79">
                        <w:rPr>
                          <w:rFonts w:ascii="Arial Narrow" w:hAnsi="Arial Narrow"/>
                          <w:color w:val="C00000"/>
                          <w:sz w:val="48"/>
                          <w:szCs w:val="48"/>
                        </w:rPr>
                        <w:t xml:space="preserve"> to </w:t>
                      </w:r>
                      <w:r>
                        <w:rPr>
                          <w:rFonts w:ascii="Arial Narrow" w:hAnsi="Arial Narrow"/>
                          <w:color w:val="C00000"/>
                          <w:sz w:val="48"/>
                          <w:szCs w:val="48"/>
                        </w:rPr>
                        <w:t>2027/28</w:t>
                      </w:r>
                    </w:p>
                  </w:txbxContent>
                </v:textbox>
              </v:shape>
            </w:pict>
          </mc:Fallback>
        </mc:AlternateContent>
      </w:r>
    </w:p>
    <w:p w14:paraId="32D59611" w14:textId="77777777" w:rsidR="00E43F68" w:rsidRDefault="00E43F68" w:rsidP="00E43F68"/>
    <w:tbl>
      <w:tblPr>
        <w:tblW w:w="9322" w:type="dxa"/>
        <w:tblLayout w:type="fixed"/>
        <w:tblLook w:val="0000" w:firstRow="0" w:lastRow="0" w:firstColumn="0" w:lastColumn="0" w:noHBand="0" w:noVBand="0"/>
      </w:tblPr>
      <w:tblGrid>
        <w:gridCol w:w="9322"/>
      </w:tblGrid>
      <w:tr w:rsidR="00E43F68" w14:paraId="3C0C4132" w14:textId="77777777" w:rsidTr="00373A8A">
        <w:tc>
          <w:tcPr>
            <w:tcW w:w="9322" w:type="dxa"/>
          </w:tcPr>
          <w:p w14:paraId="46EAE2D1" w14:textId="77777777" w:rsidR="00E43F68" w:rsidRDefault="00E43F68" w:rsidP="00373A8A">
            <w:pPr>
              <w:tabs>
                <w:tab w:val="left" w:pos="1348"/>
              </w:tabs>
            </w:pPr>
          </w:p>
        </w:tc>
      </w:tr>
      <w:tr w:rsidR="00E43F68" w14:paraId="256DCC70" w14:textId="77777777" w:rsidTr="00373A8A">
        <w:tc>
          <w:tcPr>
            <w:tcW w:w="9322" w:type="dxa"/>
          </w:tcPr>
          <w:p w14:paraId="3D2DE9C4" w14:textId="77777777" w:rsidR="00E43F68" w:rsidRDefault="00E43F68" w:rsidP="00373A8A"/>
        </w:tc>
      </w:tr>
      <w:tr w:rsidR="00E43F68" w14:paraId="7C97CE34" w14:textId="77777777" w:rsidTr="00373A8A">
        <w:tc>
          <w:tcPr>
            <w:tcW w:w="9322" w:type="dxa"/>
          </w:tcPr>
          <w:p w14:paraId="00489C10" w14:textId="77777777" w:rsidR="00E43F68" w:rsidRDefault="00E43F68" w:rsidP="00373A8A">
            <w:pPr>
              <w:rPr>
                <w:sz w:val="24"/>
              </w:rPr>
            </w:pPr>
          </w:p>
        </w:tc>
      </w:tr>
    </w:tbl>
    <w:p w14:paraId="66CE8A2A" w14:textId="77777777" w:rsidR="00E43F68" w:rsidRDefault="00E43F68" w:rsidP="00E43F68">
      <w:pPr>
        <w:rPr>
          <w:b/>
          <w:bCs/>
          <w:sz w:val="24"/>
          <w:szCs w:val="24"/>
        </w:rPr>
      </w:pPr>
    </w:p>
    <w:p w14:paraId="1C975D6E" w14:textId="77777777" w:rsidR="00E43F68" w:rsidRPr="000D062E" w:rsidRDefault="00E43F68" w:rsidP="00E43F68">
      <w:pPr>
        <w:pStyle w:val="Style1"/>
        <w:jc w:val="center"/>
        <w:rPr>
          <w:rFonts w:ascii="Arial" w:hAnsi="Arial" w:cs="Arial"/>
          <w:b/>
          <w:sz w:val="24"/>
        </w:rPr>
      </w:pPr>
    </w:p>
    <w:p w14:paraId="75E7F536" w14:textId="77777777" w:rsidR="00E43F68" w:rsidRPr="007935F1" w:rsidRDefault="00E43F68" w:rsidP="00E43F68">
      <w:pPr>
        <w:jc w:val="both"/>
        <w:rPr>
          <w:b/>
          <w:sz w:val="24"/>
        </w:rPr>
      </w:pPr>
    </w:p>
    <w:p w14:paraId="5EB717EB" w14:textId="77777777" w:rsidR="00E43F68" w:rsidRPr="007935F1" w:rsidRDefault="00E43F68" w:rsidP="00E43F68">
      <w:pPr>
        <w:jc w:val="both"/>
        <w:rPr>
          <w:b/>
          <w:sz w:val="24"/>
        </w:rPr>
      </w:pPr>
    </w:p>
    <w:p w14:paraId="311D8397" w14:textId="77777777" w:rsidR="00E43F68" w:rsidRDefault="00E43F68" w:rsidP="00E43F68">
      <w:pPr>
        <w:jc w:val="both"/>
        <w:rPr>
          <w:b/>
          <w:sz w:val="24"/>
        </w:rPr>
      </w:pPr>
    </w:p>
    <w:p w14:paraId="544DFCF0" w14:textId="77777777" w:rsidR="00E43F68" w:rsidRPr="007935F1" w:rsidRDefault="00E43F68" w:rsidP="00E43F68">
      <w:pPr>
        <w:jc w:val="both"/>
        <w:rPr>
          <w:b/>
          <w:sz w:val="24"/>
        </w:rPr>
      </w:pPr>
    </w:p>
    <w:p w14:paraId="4EED6F29" w14:textId="77777777" w:rsidR="00E43F68" w:rsidRPr="007935F1" w:rsidRDefault="00E43F68" w:rsidP="00E43F68">
      <w:pPr>
        <w:jc w:val="both"/>
        <w:rPr>
          <w:b/>
          <w:sz w:val="24"/>
        </w:rPr>
      </w:pPr>
    </w:p>
    <w:p w14:paraId="05CE47EC" w14:textId="77777777" w:rsidR="00E43F68" w:rsidRDefault="00E43F68" w:rsidP="00E43F68">
      <w:pPr>
        <w:jc w:val="both"/>
        <w:rPr>
          <w:b/>
          <w:sz w:val="24"/>
        </w:rPr>
      </w:pPr>
    </w:p>
    <w:p w14:paraId="55A9DBE9" w14:textId="77777777" w:rsidR="00E43F68" w:rsidRPr="007935F1" w:rsidRDefault="00E43F68" w:rsidP="00E43F68">
      <w:pPr>
        <w:jc w:val="both"/>
        <w:rPr>
          <w:b/>
          <w:sz w:val="24"/>
        </w:rPr>
      </w:pPr>
    </w:p>
    <w:p w14:paraId="706655CE" w14:textId="77777777" w:rsidR="00E43F68" w:rsidRPr="007935F1" w:rsidRDefault="00E43F68" w:rsidP="00E43F68">
      <w:pPr>
        <w:jc w:val="both"/>
        <w:rPr>
          <w:b/>
          <w:sz w:val="24"/>
        </w:rPr>
      </w:pPr>
    </w:p>
    <w:p w14:paraId="20F6A9B6" w14:textId="77777777" w:rsidR="00E43F68" w:rsidRPr="007935F1" w:rsidRDefault="00E43F68" w:rsidP="00E43F68">
      <w:pPr>
        <w:jc w:val="both"/>
        <w:rPr>
          <w:b/>
          <w:sz w:val="24"/>
        </w:rPr>
      </w:pPr>
    </w:p>
    <w:p w14:paraId="31D977EB" w14:textId="77777777" w:rsidR="00E43F68" w:rsidRPr="007935F1" w:rsidRDefault="00246C18" w:rsidP="00E43F68">
      <w:pPr>
        <w:jc w:val="both"/>
        <w:rPr>
          <w:b/>
          <w:sz w:val="24"/>
        </w:rPr>
      </w:pPr>
      <w:r>
        <w:rPr>
          <w:noProof/>
        </w:rPr>
        <mc:AlternateContent>
          <mc:Choice Requires="wps">
            <w:drawing>
              <wp:anchor distT="0" distB="0" distL="114300" distR="114300" simplePos="0" relativeHeight="251657216" behindDoc="0" locked="0" layoutInCell="1" allowOverlap="1" wp14:anchorId="745C194C" wp14:editId="0C436A5B">
                <wp:simplePos x="0" y="0"/>
                <wp:positionH relativeFrom="column">
                  <wp:posOffset>-209550</wp:posOffset>
                </wp:positionH>
                <wp:positionV relativeFrom="paragraph">
                  <wp:posOffset>150495</wp:posOffset>
                </wp:positionV>
                <wp:extent cx="6079490" cy="2859405"/>
                <wp:effectExtent l="0" t="0" r="0" b="0"/>
                <wp:wrapNone/>
                <wp:docPr id="7358079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9490" cy="285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0FA9" w14:textId="77777777" w:rsidR="00780D79" w:rsidRDefault="00780D79" w:rsidP="00E43F68">
                            <w:pPr>
                              <w:rPr>
                                <w:b/>
                                <w:sz w:val="80"/>
                                <w:szCs w:val="80"/>
                              </w:rPr>
                            </w:pPr>
                            <w:r w:rsidRPr="00EC3F89">
                              <w:rPr>
                                <w:b/>
                                <w:sz w:val="80"/>
                                <w:szCs w:val="80"/>
                              </w:rPr>
                              <w:t>MEDIUM TERM FINANCIAL STRATEGY</w:t>
                            </w:r>
                          </w:p>
                          <w:p w14:paraId="6CD89C56" w14:textId="77777777" w:rsidR="00780D79" w:rsidRDefault="00780D79" w:rsidP="00E43F68">
                            <w:pPr>
                              <w:rPr>
                                <w:b/>
                                <w:sz w:val="80"/>
                                <w:szCs w:val="80"/>
                              </w:rPr>
                            </w:pPr>
                          </w:p>
                          <w:p w14:paraId="4CF27631" w14:textId="77777777" w:rsidR="00780D79" w:rsidRPr="00EC3F89" w:rsidRDefault="004B6C98" w:rsidP="00E43F68">
                            <w:pPr>
                              <w:rPr>
                                <w:b/>
                                <w:sz w:val="70"/>
                                <w:szCs w:val="70"/>
                              </w:rPr>
                            </w:pPr>
                            <w:r>
                              <w:rPr>
                                <w:b/>
                                <w:sz w:val="70"/>
                                <w:szCs w:val="70"/>
                              </w:rPr>
                              <w:t>2024/25</w:t>
                            </w:r>
                            <w:r w:rsidR="00780D79" w:rsidRPr="00EC3F89">
                              <w:rPr>
                                <w:b/>
                                <w:sz w:val="70"/>
                                <w:szCs w:val="70"/>
                              </w:rPr>
                              <w:t xml:space="preserve"> to </w:t>
                            </w:r>
                            <w:r>
                              <w:rPr>
                                <w:b/>
                                <w:sz w:val="70"/>
                                <w:szCs w:val="70"/>
                              </w:rPr>
                              <w:t>2027/28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94C" id="Text Box 35" o:spid="_x0000_s1027" type="#_x0000_t202" style="position:absolute;left:0;text-align:left;margin-left:-16.5pt;margin-top:11.85pt;width:478.7pt;height:22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" filled="f" stroked="f">
                <v:path arrowok="t"/>
                <v:textbox>
                  <w:txbxContent>
                    <w:p w14:paraId="500F0FA9" w14:textId="77777777" w:rsidR="00780D79" w:rsidRDefault="00780D79" w:rsidP="00E43F68">
                      <w:pPr>
                        <w:rPr>
                          <w:b/>
                          <w:sz w:val="80"/>
                          <w:szCs w:val="80"/>
                        </w:rPr>
                      </w:pPr>
                      <w:r w:rsidRPr="00EC3F89">
                        <w:rPr>
                          <w:b/>
                          <w:sz w:val="80"/>
                          <w:szCs w:val="80"/>
                        </w:rPr>
                        <w:t>MEDIUM TERM FINANCIAL STRATEGY</w:t>
                      </w:r>
                    </w:p>
                    <w:p w14:paraId="6CD89C56" w14:textId="77777777" w:rsidR="00780D79" w:rsidRDefault="00780D79" w:rsidP="00E43F68">
                      <w:pPr>
                        <w:rPr>
                          <w:b/>
                          <w:sz w:val="80"/>
                          <w:szCs w:val="80"/>
                        </w:rPr>
                      </w:pPr>
                    </w:p>
                    <w:p w14:paraId="4CF27631" w14:textId="77777777" w:rsidR="00780D79" w:rsidRPr="00EC3F89" w:rsidRDefault="004B6C98" w:rsidP="00E43F68">
                      <w:pPr>
                        <w:rPr>
                          <w:b/>
                          <w:sz w:val="70"/>
                          <w:szCs w:val="70"/>
                        </w:rPr>
                      </w:pPr>
                      <w:r>
                        <w:rPr>
                          <w:b/>
                          <w:sz w:val="70"/>
                          <w:szCs w:val="70"/>
                        </w:rPr>
                        <w:t>2024/25</w:t>
                      </w:r>
                      <w:r w:rsidR="00780D79" w:rsidRPr="00EC3F89">
                        <w:rPr>
                          <w:b/>
                          <w:sz w:val="70"/>
                          <w:szCs w:val="70"/>
                        </w:rPr>
                        <w:t xml:space="preserve"> to </w:t>
                      </w:r>
                      <w:r>
                        <w:rPr>
                          <w:b/>
                          <w:sz w:val="70"/>
                          <w:szCs w:val="70"/>
                        </w:rPr>
                        <w:t>2027/28</w:t>
                      </w:r>
                    </w:p>
                  </w:txbxContent>
                </v:textbox>
              </v:shape>
            </w:pict>
          </mc:Fallback>
        </mc:AlternateContent>
      </w:r>
    </w:p>
    <w:p w14:paraId="7EDA532D" w14:textId="77777777" w:rsidR="00E43F68" w:rsidRPr="007935F1" w:rsidRDefault="00E43F68" w:rsidP="00E43F68">
      <w:pPr>
        <w:jc w:val="both"/>
        <w:rPr>
          <w:b/>
          <w:sz w:val="24"/>
        </w:rPr>
      </w:pPr>
    </w:p>
    <w:p w14:paraId="18B5D944" w14:textId="77777777" w:rsidR="00E43F68" w:rsidRPr="007935F1" w:rsidRDefault="00E43F68" w:rsidP="00E43F68">
      <w:pPr>
        <w:jc w:val="both"/>
        <w:rPr>
          <w:b/>
          <w:sz w:val="24"/>
        </w:rPr>
      </w:pPr>
    </w:p>
    <w:p w14:paraId="135CB92F" w14:textId="77777777" w:rsidR="00E43F68" w:rsidRPr="007935F1" w:rsidRDefault="00E43F68" w:rsidP="00E43F68">
      <w:pPr>
        <w:jc w:val="both"/>
        <w:rPr>
          <w:b/>
          <w:sz w:val="24"/>
        </w:rPr>
      </w:pPr>
    </w:p>
    <w:p w14:paraId="6738EB61" w14:textId="77777777" w:rsidR="00E43F68" w:rsidRPr="007935F1" w:rsidRDefault="00E43F68" w:rsidP="00E43F68">
      <w:pPr>
        <w:jc w:val="both"/>
        <w:rPr>
          <w:b/>
          <w:sz w:val="24"/>
        </w:rPr>
      </w:pPr>
    </w:p>
    <w:p w14:paraId="0DAAE7FF" w14:textId="77777777" w:rsidR="00E43F68" w:rsidRPr="007935F1" w:rsidRDefault="00E43F68" w:rsidP="00E43F68">
      <w:pPr>
        <w:jc w:val="both"/>
        <w:rPr>
          <w:b/>
          <w:sz w:val="24"/>
        </w:rPr>
      </w:pPr>
    </w:p>
    <w:p w14:paraId="7092C97F" w14:textId="77777777" w:rsidR="00E43F68" w:rsidRPr="007935F1" w:rsidRDefault="00E43F68" w:rsidP="00E43F68">
      <w:pPr>
        <w:jc w:val="both"/>
        <w:rPr>
          <w:b/>
          <w:sz w:val="24"/>
        </w:rPr>
      </w:pPr>
    </w:p>
    <w:p w14:paraId="4A48FF41" w14:textId="77777777" w:rsidR="00E43F68" w:rsidRPr="007935F1" w:rsidRDefault="00E43F68" w:rsidP="00E43F68">
      <w:pPr>
        <w:jc w:val="both"/>
        <w:rPr>
          <w:b/>
          <w:sz w:val="24"/>
        </w:rPr>
      </w:pPr>
    </w:p>
    <w:p w14:paraId="6D752CAA" w14:textId="77777777" w:rsidR="00E43F68" w:rsidRPr="007935F1" w:rsidRDefault="00E43F68" w:rsidP="00E43F68">
      <w:pPr>
        <w:jc w:val="both"/>
        <w:rPr>
          <w:b/>
          <w:sz w:val="24"/>
        </w:rPr>
      </w:pPr>
    </w:p>
    <w:p w14:paraId="433F5D9C" w14:textId="77777777" w:rsidR="00E43F68" w:rsidRPr="007935F1" w:rsidRDefault="00E43F68" w:rsidP="00E43F68">
      <w:pPr>
        <w:jc w:val="both"/>
        <w:rPr>
          <w:b/>
          <w:sz w:val="24"/>
        </w:rPr>
      </w:pPr>
    </w:p>
    <w:p w14:paraId="70F6FA38" w14:textId="77777777" w:rsidR="00E43F68" w:rsidRPr="007935F1" w:rsidRDefault="00E43F68" w:rsidP="00E43F68">
      <w:pPr>
        <w:jc w:val="both"/>
        <w:rPr>
          <w:b/>
          <w:sz w:val="24"/>
        </w:rPr>
      </w:pPr>
    </w:p>
    <w:p w14:paraId="4DEA1A4C" w14:textId="77777777" w:rsidR="00E43F68" w:rsidRPr="007935F1" w:rsidRDefault="00E43F68" w:rsidP="00E43F68">
      <w:pPr>
        <w:jc w:val="both"/>
        <w:rPr>
          <w:b/>
          <w:sz w:val="24"/>
        </w:rPr>
      </w:pPr>
    </w:p>
    <w:p w14:paraId="28FFBB70" w14:textId="77777777" w:rsidR="00E43F68" w:rsidRPr="007935F1" w:rsidRDefault="00E43F68" w:rsidP="00E43F68">
      <w:pPr>
        <w:jc w:val="both"/>
        <w:rPr>
          <w:b/>
          <w:sz w:val="24"/>
        </w:rPr>
      </w:pPr>
    </w:p>
    <w:p w14:paraId="75C68BC1" w14:textId="77777777" w:rsidR="00E43F68" w:rsidRPr="007935F1" w:rsidRDefault="00E43F68" w:rsidP="00E43F68">
      <w:pPr>
        <w:jc w:val="both"/>
        <w:rPr>
          <w:b/>
          <w:sz w:val="24"/>
        </w:rPr>
      </w:pPr>
    </w:p>
    <w:p w14:paraId="5CEC63AC" w14:textId="77777777" w:rsidR="00E43F68" w:rsidRPr="007935F1" w:rsidRDefault="00E43F68" w:rsidP="00E43F68">
      <w:pPr>
        <w:jc w:val="both"/>
        <w:rPr>
          <w:b/>
          <w:sz w:val="24"/>
        </w:rPr>
      </w:pPr>
    </w:p>
    <w:p w14:paraId="73B8A15C" w14:textId="77777777" w:rsidR="00E43F68" w:rsidRPr="007935F1" w:rsidRDefault="00E43F68" w:rsidP="00E43F68">
      <w:pPr>
        <w:jc w:val="both"/>
        <w:rPr>
          <w:b/>
          <w:sz w:val="24"/>
        </w:rPr>
      </w:pPr>
    </w:p>
    <w:p w14:paraId="0D134B7F" w14:textId="77777777" w:rsidR="00E43F68" w:rsidRPr="007935F1" w:rsidRDefault="00E43F68" w:rsidP="00E43F68">
      <w:pPr>
        <w:jc w:val="both"/>
        <w:rPr>
          <w:b/>
          <w:sz w:val="24"/>
        </w:rPr>
      </w:pPr>
    </w:p>
    <w:p w14:paraId="38441164" w14:textId="77777777" w:rsidR="00E43F68" w:rsidRDefault="00E43F68" w:rsidP="00E43F68">
      <w:pPr>
        <w:jc w:val="both"/>
        <w:rPr>
          <w:b/>
          <w:sz w:val="24"/>
        </w:rPr>
      </w:pPr>
    </w:p>
    <w:p w14:paraId="265C0365" w14:textId="77777777" w:rsidR="00E43F68" w:rsidRDefault="00E43F68" w:rsidP="00E43F68">
      <w:pPr>
        <w:jc w:val="both"/>
        <w:rPr>
          <w:b/>
          <w:sz w:val="24"/>
        </w:rPr>
      </w:pPr>
    </w:p>
    <w:p w14:paraId="32FAF9E8" w14:textId="77777777" w:rsidR="00E43F68" w:rsidRDefault="00E43F68" w:rsidP="00E43F68">
      <w:pPr>
        <w:jc w:val="both"/>
        <w:rPr>
          <w:b/>
          <w:sz w:val="24"/>
        </w:rPr>
      </w:pPr>
    </w:p>
    <w:p w14:paraId="6152064E" w14:textId="77777777" w:rsidR="00E43F68" w:rsidRDefault="00E43F68" w:rsidP="00E43F68">
      <w:pPr>
        <w:rPr>
          <w:b/>
          <w:sz w:val="28"/>
        </w:rPr>
      </w:pPr>
      <w:r>
        <w:rPr>
          <w:b/>
          <w:sz w:val="28"/>
        </w:rPr>
        <w:br w:type="page"/>
      </w:r>
    </w:p>
    <w:p w14:paraId="22C8D40D" w14:textId="77777777" w:rsidR="00E43F68" w:rsidRDefault="00E43F68" w:rsidP="00E43F68">
      <w:pPr>
        <w:jc w:val="center"/>
        <w:rPr>
          <w:b/>
          <w:sz w:val="28"/>
        </w:rPr>
      </w:pPr>
      <w:r w:rsidRPr="007935F1">
        <w:rPr>
          <w:b/>
          <w:sz w:val="28"/>
        </w:rPr>
        <w:lastRenderedPageBreak/>
        <w:t>CONTENTS</w:t>
      </w:r>
    </w:p>
    <w:p w14:paraId="0D7BB7EA" w14:textId="77777777" w:rsidR="00E43F68" w:rsidRDefault="00E43F68" w:rsidP="00E43F68">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E43F68" w14:paraId="3E25BBB4" w14:textId="77777777" w:rsidTr="00373A8A">
        <w:tc>
          <w:tcPr>
            <w:tcW w:w="2405" w:type="dxa"/>
            <w:shd w:val="clear" w:color="auto" w:fill="auto"/>
          </w:tcPr>
          <w:p w14:paraId="5E4B4088" w14:textId="77777777" w:rsidR="00E43F68" w:rsidRPr="00373A8A" w:rsidRDefault="00E43F68" w:rsidP="00373A8A">
            <w:pPr>
              <w:spacing w:before="160" w:after="160"/>
              <w:rPr>
                <w:b/>
                <w:sz w:val="24"/>
                <w:szCs w:val="24"/>
              </w:rPr>
            </w:pPr>
            <w:r w:rsidRPr="00373A8A">
              <w:rPr>
                <w:b/>
                <w:sz w:val="24"/>
                <w:szCs w:val="24"/>
              </w:rPr>
              <w:t>Section 1</w:t>
            </w:r>
          </w:p>
        </w:tc>
        <w:tc>
          <w:tcPr>
            <w:tcW w:w="6655" w:type="dxa"/>
            <w:shd w:val="clear" w:color="auto" w:fill="auto"/>
          </w:tcPr>
          <w:p w14:paraId="07F787E9" w14:textId="77777777" w:rsidR="00E43F68" w:rsidRPr="00373A8A" w:rsidRDefault="00E43F68" w:rsidP="00373A8A">
            <w:pPr>
              <w:spacing w:before="160" w:after="160"/>
              <w:jc w:val="both"/>
              <w:rPr>
                <w:sz w:val="24"/>
                <w:szCs w:val="24"/>
              </w:rPr>
            </w:pPr>
            <w:r w:rsidRPr="00373A8A">
              <w:rPr>
                <w:sz w:val="24"/>
                <w:szCs w:val="24"/>
              </w:rPr>
              <w:t>Purpose and Objectives of the Strategy</w:t>
            </w:r>
          </w:p>
        </w:tc>
      </w:tr>
      <w:tr w:rsidR="00E43F68" w14:paraId="0384737F" w14:textId="77777777" w:rsidTr="00373A8A">
        <w:tc>
          <w:tcPr>
            <w:tcW w:w="2405" w:type="dxa"/>
            <w:shd w:val="clear" w:color="auto" w:fill="auto"/>
          </w:tcPr>
          <w:p w14:paraId="489EBBDC" w14:textId="77777777" w:rsidR="00E43F68" w:rsidRPr="00373A8A" w:rsidRDefault="00E43F68" w:rsidP="00373A8A">
            <w:pPr>
              <w:spacing w:before="160" w:after="160"/>
              <w:rPr>
                <w:b/>
                <w:sz w:val="24"/>
                <w:szCs w:val="24"/>
              </w:rPr>
            </w:pPr>
            <w:r w:rsidRPr="00373A8A">
              <w:rPr>
                <w:b/>
                <w:sz w:val="24"/>
                <w:szCs w:val="24"/>
              </w:rPr>
              <w:t>Section 2</w:t>
            </w:r>
          </w:p>
        </w:tc>
        <w:tc>
          <w:tcPr>
            <w:tcW w:w="6655" w:type="dxa"/>
            <w:shd w:val="clear" w:color="auto" w:fill="auto"/>
          </w:tcPr>
          <w:p w14:paraId="0C99CE1A" w14:textId="77777777" w:rsidR="00E43F68" w:rsidRPr="00373A8A" w:rsidRDefault="00E43F68" w:rsidP="00373A8A">
            <w:pPr>
              <w:spacing w:before="160" w:after="160"/>
              <w:jc w:val="both"/>
              <w:rPr>
                <w:sz w:val="24"/>
                <w:szCs w:val="24"/>
              </w:rPr>
            </w:pPr>
            <w:r w:rsidRPr="00373A8A">
              <w:rPr>
                <w:sz w:val="24"/>
                <w:szCs w:val="24"/>
              </w:rPr>
              <w:t>Economic Context</w:t>
            </w:r>
          </w:p>
        </w:tc>
      </w:tr>
      <w:tr w:rsidR="00E43F68" w14:paraId="241EE295" w14:textId="77777777" w:rsidTr="00373A8A">
        <w:tc>
          <w:tcPr>
            <w:tcW w:w="2405" w:type="dxa"/>
            <w:shd w:val="clear" w:color="auto" w:fill="auto"/>
          </w:tcPr>
          <w:p w14:paraId="0B4F7D85" w14:textId="77777777" w:rsidR="00E43F68" w:rsidRPr="00373A8A" w:rsidRDefault="00E43F68" w:rsidP="00373A8A">
            <w:pPr>
              <w:spacing w:before="160" w:after="160"/>
              <w:rPr>
                <w:b/>
                <w:sz w:val="24"/>
                <w:szCs w:val="24"/>
              </w:rPr>
            </w:pPr>
            <w:r w:rsidRPr="00373A8A">
              <w:rPr>
                <w:b/>
                <w:sz w:val="24"/>
                <w:szCs w:val="24"/>
              </w:rPr>
              <w:t>Section 3</w:t>
            </w:r>
          </w:p>
        </w:tc>
        <w:tc>
          <w:tcPr>
            <w:tcW w:w="6655" w:type="dxa"/>
            <w:shd w:val="clear" w:color="auto" w:fill="auto"/>
          </w:tcPr>
          <w:p w14:paraId="038F1B81" w14:textId="77777777" w:rsidR="00E43F68" w:rsidRPr="00373A8A" w:rsidRDefault="00A9355B" w:rsidP="00373A8A">
            <w:pPr>
              <w:spacing w:before="160" w:after="160"/>
              <w:jc w:val="both"/>
              <w:rPr>
                <w:sz w:val="24"/>
                <w:szCs w:val="24"/>
              </w:rPr>
            </w:pPr>
            <w:r>
              <w:rPr>
                <w:sz w:val="24"/>
                <w:szCs w:val="24"/>
              </w:rPr>
              <w:t>Issues Impacting on the Budget</w:t>
            </w:r>
          </w:p>
        </w:tc>
      </w:tr>
      <w:tr w:rsidR="00E43F68" w14:paraId="226F66B7" w14:textId="77777777" w:rsidTr="00373A8A">
        <w:tc>
          <w:tcPr>
            <w:tcW w:w="2405" w:type="dxa"/>
            <w:shd w:val="clear" w:color="auto" w:fill="auto"/>
          </w:tcPr>
          <w:p w14:paraId="4FE722E1" w14:textId="77777777" w:rsidR="00E43F68" w:rsidRPr="00373A8A" w:rsidRDefault="00E43F68" w:rsidP="00373A8A">
            <w:pPr>
              <w:spacing w:before="160" w:after="160"/>
              <w:rPr>
                <w:b/>
                <w:sz w:val="24"/>
                <w:szCs w:val="24"/>
              </w:rPr>
            </w:pPr>
            <w:r w:rsidRPr="00373A8A">
              <w:rPr>
                <w:b/>
                <w:sz w:val="24"/>
                <w:szCs w:val="24"/>
              </w:rPr>
              <w:t>Section 4</w:t>
            </w:r>
          </w:p>
        </w:tc>
        <w:tc>
          <w:tcPr>
            <w:tcW w:w="6655" w:type="dxa"/>
            <w:shd w:val="clear" w:color="auto" w:fill="auto"/>
          </w:tcPr>
          <w:p w14:paraId="7131E6C7" w14:textId="77777777" w:rsidR="00E43F68" w:rsidRPr="00373A8A" w:rsidRDefault="00E16B59" w:rsidP="00373A8A">
            <w:pPr>
              <w:spacing w:before="160" w:after="160"/>
              <w:jc w:val="both"/>
              <w:rPr>
                <w:sz w:val="24"/>
                <w:szCs w:val="24"/>
              </w:rPr>
            </w:pPr>
            <w:r>
              <w:rPr>
                <w:sz w:val="24"/>
                <w:szCs w:val="24"/>
              </w:rPr>
              <w:t>Unpredictability of Future Years Funding</w:t>
            </w:r>
          </w:p>
        </w:tc>
      </w:tr>
      <w:tr w:rsidR="00E43F68" w14:paraId="70B52AB0" w14:textId="77777777" w:rsidTr="00373A8A">
        <w:tc>
          <w:tcPr>
            <w:tcW w:w="2405" w:type="dxa"/>
            <w:shd w:val="clear" w:color="auto" w:fill="auto"/>
          </w:tcPr>
          <w:p w14:paraId="26C44F3A" w14:textId="77777777" w:rsidR="00E43F68" w:rsidRPr="00373A8A" w:rsidRDefault="00E43F68" w:rsidP="00373A8A">
            <w:pPr>
              <w:spacing w:before="160" w:after="160"/>
              <w:rPr>
                <w:b/>
                <w:sz w:val="24"/>
                <w:szCs w:val="24"/>
              </w:rPr>
            </w:pPr>
            <w:r w:rsidRPr="00373A8A">
              <w:rPr>
                <w:b/>
                <w:sz w:val="24"/>
                <w:szCs w:val="24"/>
              </w:rPr>
              <w:t>Section 5</w:t>
            </w:r>
          </w:p>
        </w:tc>
        <w:tc>
          <w:tcPr>
            <w:tcW w:w="6655" w:type="dxa"/>
            <w:shd w:val="clear" w:color="auto" w:fill="auto"/>
          </w:tcPr>
          <w:p w14:paraId="54202841" w14:textId="77777777" w:rsidR="00E43F68" w:rsidRPr="00373A8A" w:rsidRDefault="00A9355B" w:rsidP="00373A8A">
            <w:pPr>
              <w:spacing w:before="160" w:after="160"/>
              <w:jc w:val="both"/>
              <w:rPr>
                <w:sz w:val="24"/>
                <w:szCs w:val="24"/>
              </w:rPr>
            </w:pPr>
            <w:r>
              <w:rPr>
                <w:sz w:val="24"/>
                <w:szCs w:val="24"/>
              </w:rPr>
              <w:t>Reserves</w:t>
            </w:r>
          </w:p>
        </w:tc>
      </w:tr>
      <w:tr w:rsidR="00E43F68" w14:paraId="559C775B" w14:textId="77777777" w:rsidTr="00373A8A">
        <w:tc>
          <w:tcPr>
            <w:tcW w:w="2405" w:type="dxa"/>
            <w:shd w:val="clear" w:color="auto" w:fill="auto"/>
          </w:tcPr>
          <w:p w14:paraId="7133A369" w14:textId="77777777" w:rsidR="00E43F68" w:rsidRPr="00373A8A" w:rsidRDefault="00E43F68" w:rsidP="00373A8A">
            <w:pPr>
              <w:spacing w:before="160" w:after="160"/>
              <w:rPr>
                <w:b/>
                <w:sz w:val="24"/>
                <w:szCs w:val="24"/>
              </w:rPr>
            </w:pPr>
            <w:r w:rsidRPr="00373A8A">
              <w:rPr>
                <w:b/>
                <w:sz w:val="24"/>
                <w:szCs w:val="24"/>
              </w:rPr>
              <w:t>Section 6</w:t>
            </w:r>
          </w:p>
        </w:tc>
        <w:tc>
          <w:tcPr>
            <w:tcW w:w="6655" w:type="dxa"/>
            <w:shd w:val="clear" w:color="auto" w:fill="auto"/>
          </w:tcPr>
          <w:p w14:paraId="6510EE8D" w14:textId="77777777" w:rsidR="00E43F68" w:rsidRPr="00373A8A" w:rsidRDefault="00E16B59" w:rsidP="00373A8A">
            <w:pPr>
              <w:spacing w:before="160" w:after="160"/>
              <w:jc w:val="both"/>
              <w:rPr>
                <w:sz w:val="24"/>
                <w:szCs w:val="24"/>
              </w:rPr>
            </w:pPr>
            <w:r w:rsidRPr="00373A8A">
              <w:rPr>
                <w:sz w:val="24"/>
                <w:szCs w:val="24"/>
              </w:rPr>
              <w:t xml:space="preserve">Outlook for </w:t>
            </w:r>
            <w:r w:rsidR="004B6C98">
              <w:rPr>
                <w:sz w:val="24"/>
                <w:szCs w:val="24"/>
              </w:rPr>
              <w:t>2024/25</w:t>
            </w:r>
            <w:r w:rsidRPr="00373A8A">
              <w:rPr>
                <w:sz w:val="24"/>
                <w:szCs w:val="24"/>
              </w:rPr>
              <w:t xml:space="preserve">, </w:t>
            </w:r>
            <w:r w:rsidR="004B6C98">
              <w:rPr>
                <w:sz w:val="24"/>
                <w:szCs w:val="24"/>
              </w:rPr>
              <w:t>2025/26</w:t>
            </w:r>
            <w:r w:rsidRPr="00373A8A">
              <w:rPr>
                <w:sz w:val="24"/>
                <w:szCs w:val="24"/>
              </w:rPr>
              <w:t xml:space="preserve"> and Beyond</w:t>
            </w:r>
          </w:p>
        </w:tc>
      </w:tr>
      <w:tr w:rsidR="00E43F68" w14:paraId="3FCA4205" w14:textId="77777777" w:rsidTr="00373A8A">
        <w:tc>
          <w:tcPr>
            <w:tcW w:w="2405" w:type="dxa"/>
            <w:shd w:val="clear" w:color="auto" w:fill="auto"/>
          </w:tcPr>
          <w:p w14:paraId="6E9BB99E" w14:textId="77777777" w:rsidR="00E43F68" w:rsidRPr="00373A8A" w:rsidRDefault="00E43F68" w:rsidP="00373A8A">
            <w:pPr>
              <w:spacing w:before="160" w:after="160"/>
              <w:rPr>
                <w:b/>
                <w:sz w:val="24"/>
                <w:szCs w:val="24"/>
              </w:rPr>
            </w:pPr>
            <w:r w:rsidRPr="00373A8A">
              <w:rPr>
                <w:b/>
                <w:sz w:val="24"/>
                <w:szCs w:val="24"/>
              </w:rPr>
              <w:t xml:space="preserve">Section </w:t>
            </w:r>
            <w:r w:rsidR="00251DF2">
              <w:rPr>
                <w:b/>
                <w:sz w:val="24"/>
                <w:szCs w:val="24"/>
              </w:rPr>
              <w:t>7</w:t>
            </w:r>
          </w:p>
        </w:tc>
        <w:tc>
          <w:tcPr>
            <w:tcW w:w="6655" w:type="dxa"/>
            <w:shd w:val="clear" w:color="auto" w:fill="auto"/>
          </w:tcPr>
          <w:p w14:paraId="672CE140" w14:textId="77777777" w:rsidR="00E43F68" w:rsidRPr="00373A8A" w:rsidRDefault="00FB6797" w:rsidP="00373A8A">
            <w:pPr>
              <w:spacing w:before="160" w:after="160"/>
              <w:jc w:val="both"/>
              <w:rPr>
                <w:sz w:val="24"/>
                <w:szCs w:val="24"/>
              </w:rPr>
            </w:pPr>
            <w:r>
              <w:rPr>
                <w:sz w:val="24"/>
                <w:szCs w:val="24"/>
              </w:rPr>
              <w:t>Summary</w:t>
            </w:r>
          </w:p>
        </w:tc>
      </w:tr>
      <w:tr w:rsidR="00E43F68" w:rsidRPr="000D062E" w14:paraId="07626FFD" w14:textId="77777777" w:rsidTr="00373A8A">
        <w:tc>
          <w:tcPr>
            <w:tcW w:w="2405" w:type="dxa"/>
            <w:shd w:val="clear" w:color="auto" w:fill="auto"/>
          </w:tcPr>
          <w:p w14:paraId="4D5397A0" w14:textId="77777777" w:rsidR="00E43F68" w:rsidRPr="00373A8A" w:rsidRDefault="00E43F68" w:rsidP="00373A8A">
            <w:pPr>
              <w:spacing w:before="160" w:after="160"/>
              <w:rPr>
                <w:b/>
                <w:sz w:val="24"/>
                <w:szCs w:val="24"/>
              </w:rPr>
            </w:pPr>
            <w:r w:rsidRPr="00373A8A">
              <w:rPr>
                <w:b/>
                <w:sz w:val="24"/>
                <w:szCs w:val="24"/>
              </w:rPr>
              <w:t>Appendix 1</w:t>
            </w:r>
          </w:p>
        </w:tc>
        <w:tc>
          <w:tcPr>
            <w:tcW w:w="6655" w:type="dxa"/>
            <w:shd w:val="clear" w:color="auto" w:fill="auto"/>
          </w:tcPr>
          <w:p w14:paraId="1AECBEDA" w14:textId="77777777" w:rsidR="00E43F68" w:rsidRPr="00373A8A" w:rsidRDefault="001B0391" w:rsidP="00373A8A">
            <w:pPr>
              <w:spacing w:before="160" w:after="160"/>
              <w:jc w:val="both"/>
              <w:rPr>
                <w:sz w:val="24"/>
                <w:szCs w:val="24"/>
              </w:rPr>
            </w:pPr>
            <w:r w:rsidRPr="00373A8A">
              <w:rPr>
                <w:sz w:val="24"/>
                <w:szCs w:val="24"/>
              </w:rPr>
              <w:t xml:space="preserve">Capital Strategy </w:t>
            </w:r>
            <w:r w:rsidR="004B6C98">
              <w:rPr>
                <w:sz w:val="24"/>
                <w:szCs w:val="24"/>
              </w:rPr>
              <w:t>2024/25</w:t>
            </w:r>
          </w:p>
        </w:tc>
      </w:tr>
      <w:tr w:rsidR="00E43F68" w:rsidRPr="000D062E" w14:paraId="5586E194" w14:textId="77777777" w:rsidTr="00373A8A">
        <w:tc>
          <w:tcPr>
            <w:tcW w:w="2405" w:type="dxa"/>
            <w:shd w:val="clear" w:color="auto" w:fill="auto"/>
          </w:tcPr>
          <w:p w14:paraId="666EF8A0" w14:textId="77777777" w:rsidR="00E43F68" w:rsidRPr="00373A8A" w:rsidRDefault="00E43F68" w:rsidP="00373A8A">
            <w:pPr>
              <w:spacing w:before="160" w:after="160"/>
              <w:rPr>
                <w:b/>
                <w:sz w:val="24"/>
                <w:szCs w:val="24"/>
              </w:rPr>
            </w:pPr>
            <w:r w:rsidRPr="00373A8A">
              <w:rPr>
                <w:b/>
                <w:sz w:val="24"/>
                <w:szCs w:val="24"/>
              </w:rPr>
              <w:t>Appendix 2</w:t>
            </w:r>
          </w:p>
        </w:tc>
        <w:tc>
          <w:tcPr>
            <w:tcW w:w="6655" w:type="dxa"/>
            <w:shd w:val="clear" w:color="auto" w:fill="auto"/>
          </w:tcPr>
          <w:p w14:paraId="4A450969" w14:textId="77777777" w:rsidR="00E43F68" w:rsidRPr="00373A8A" w:rsidRDefault="001B0391" w:rsidP="00373A8A">
            <w:pPr>
              <w:spacing w:before="160" w:after="160"/>
              <w:jc w:val="both"/>
              <w:rPr>
                <w:sz w:val="24"/>
                <w:szCs w:val="24"/>
              </w:rPr>
            </w:pPr>
            <w:r w:rsidRPr="00373A8A">
              <w:rPr>
                <w:sz w:val="24"/>
                <w:szCs w:val="24"/>
              </w:rPr>
              <w:t xml:space="preserve">Ten Year Capital Plan </w:t>
            </w:r>
            <w:r w:rsidR="004B6C98">
              <w:rPr>
                <w:sz w:val="24"/>
                <w:szCs w:val="24"/>
              </w:rPr>
              <w:t>2024/25</w:t>
            </w:r>
            <w:r w:rsidRPr="00373A8A">
              <w:rPr>
                <w:sz w:val="24"/>
                <w:szCs w:val="24"/>
              </w:rPr>
              <w:t xml:space="preserve"> – 20</w:t>
            </w:r>
            <w:r w:rsidR="00AE21C4">
              <w:rPr>
                <w:sz w:val="24"/>
                <w:szCs w:val="24"/>
              </w:rPr>
              <w:t>30</w:t>
            </w:r>
            <w:r w:rsidRPr="00373A8A">
              <w:rPr>
                <w:sz w:val="24"/>
                <w:szCs w:val="24"/>
              </w:rPr>
              <w:t>/3</w:t>
            </w:r>
            <w:r w:rsidR="00AE21C4">
              <w:rPr>
                <w:sz w:val="24"/>
                <w:szCs w:val="24"/>
              </w:rPr>
              <w:t>1</w:t>
            </w:r>
          </w:p>
        </w:tc>
      </w:tr>
      <w:tr w:rsidR="00E43F68" w:rsidRPr="000D062E" w14:paraId="4CD3F45D" w14:textId="77777777" w:rsidTr="00373A8A">
        <w:tc>
          <w:tcPr>
            <w:tcW w:w="2405" w:type="dxa"/>
            <w:shd w:val="clear" w:color="auto" w:fill="auto"/>
          </w:tcPr>
          <w:p w14:paraId="3288BBD7" w14:textId="77777777" w:rsidR="00E43F68" w:rsidRPr="00373A8A" w:rsidRDefault="00E43F68" w:rsidP="00373A8A">
            <w:pPr>
              <w:spacing w:before="160" w:after="160"/>
              <w:rPr>
                <w:b/>
                <w:sz w:val="24"/>
                <w:szCs w:val="24"/>
              </w:rPr>
            </w:pPr>
            <w:r w:rsidRPr="00373A8A">
              <w:rPr>
                <w:b/>
                <w:sz w:val="24"/>
                <w:szCs w:val="24"/>
              </w:rPr>
              <w:t xml:space="preserve">Appendix </w:t>
            </w:r>
            <w:r w:rsidR="007A6D02">
              <w:rPr>
                <w:b/>
                <w:sz w:val="24"/>
                <w:szCs w:val="24"/>
              </w:rPr>
              <w:t>3</w:t>
            </w:r>
          </w:p>
        </w:tc>
        <w:tc>
          <w:tcPr>
            <w:tcW w:w="6655" w:type="dxa"/>
            <w:shd w:val="clear" w:color="auto" w:fill="auto"/>
          </w:tcPr>
          <w:p w14:paraId="429AEF1D" w14:textId="77777777" w:rsidR="00E43F68" w:rsidRPr="00373A8A" w:rsidRDefault="001B0391" w:rsidP="00373A8A">
            <w:pPr>
              <w:spacing w:before="160" w:after="160"/>
              <w:jc w:val="both"/>
              <w:rPr>
                <w:sz w:val="24"/>
                <w:szCs w:val="24"/>
              </w:rPr>
            </w:pPr>
            <w:r>
              <w:rPr>
                <w:sz w:val="24"/>
                <w:szCs w:val="24"/>
              </w:rPr>
              <w:t>Reserves Strategy</w:t>
            </w:r>
          </w:p>
        </w:tc>
      </w:tr>
      <w:tr w:rsidR="00E43F68" w:rsidRPr="00E05E60" w14:paraId="5617927A" w14:textId="77777777" w:rsidTr="00373A8A">
        <w:tc>
          <w:tcPr>
            <w:tcW w:w="2405" w:type="dxa"/>
            <w:shd w:val="clear" w:color="auto" w:fill="auto"/>
          </w:tcPr>
          <w:p w14:paraId="7A5282E7" w14:textId="77777777" w:rsidR="00E43F68" w:rsidRPr="00E05E60" w:rsidRDefault="00E43F68" w:rsidP="00373A8A">
            <w:pPr>
              <w:spacing w:before="160" w:after="160"/>
              <w:rPr>
                <w:b/>
                <w:sz w:val="24"/>
                <w:szCs w:val="24"/>
              </w:rPr>
            </w:pPr>
            <w:r w:rsidRPr="00E05E60">
              <w:rPr>
                <w:b/>
                <w:sz w:val="24"/>
                <w:szCs w:val="24"/>
              </w:rPr>
              <w:t>Other References</w:t>
            </w:r>
          </w:p>
        </w:tc>
        <w:tc>
          <w:tcPr>
            <w:tcW w:w="6655" w:type="dxa"/>
            <w:shd w:val="clear" w:color="auto" w:fill="auto"/>
          </w:tcPr>
          <w:p w14:paraId="4A74C011" w14:textId="77777777" w:rsidR="00E43F68" w:rsidRPr="00E05E60" w:rsidRDefault="007A0FF5" w:rsidP="0068184B">
            <w:pPr>
              <w:pStyle w:val="ListParagraph"/>
              <w:numPr>
                <w:ilvl w:val="0"/>
                <w:numId w:val="10"/>
              </w:numPr>
              <w:spacing w:before="160"/>
              <w:ind w:left="357" w:hanging="357"/>
              <w:contextualSpacing/>
              <w:rPr>
                <w:sz w:val="24"/>
                <w:szCs w:val="24"/>
              </w:rPr>
            </w:pPr>
            <w:r w:rsidRPr="00E05E60">
              <w:rPr>
                <w:sz w:val="24"/>
              </w:rPr>
              <w:t>C</w:t>
            </w:r>
            <w:r w:rsidR="00FA75D9">
              <w:rPr>
                <w:sz w:val="24"/>
              </w:rPr>
              <w:t>ommunity Risk Management Plan</w:t>
            </w:r>
          </w:p>
          <w:p w14:paraId="7BF93898" w14:textId="77777777" w:rsidR="001B0391" w:rsidRPr="00E05E60" w:rsidRDefault="001B0391" w:rsidP="0068184B">
            <w:pPr>
              <w:pStyle w:val="ListParagraph"/>
              <w:numPr>
                <w:ilvl w:val="0"/>
                <w:numId w:val="10"/>
              </w:numPr>
              <w:spacing w:before="160"/>
              <w:ind w:left="357" w:hanging="357"/>
              <w:contextualSpacing/>
              <w:rPr>
                <w:sz w:val="24"/>
                <w:szCs w:val="24"/>
              </w:rPr>
            </w:pPr>
            <w:r w:rsidRPr="00E05E60">
              <w:rPr>
                <w:sz w:val="24"/>
                <w:szCs w:val="24"/>
              </w:rPr>
              <w:t>Treasury Management Strategy</w:t>
            </w:r>
          </w:p>
          <w:p w14:paraId="22FD190E" w14:textId="77777777" w:rsidR="001B0391" w:rsidRPr="00E05E60" w:rsidRDefault="00E05E60" w:rsidP="0068184B">
            <w:pPr>
              <w:pStyle w:val="ListParagraph"/>
              <w:numPr>
                <w:ilvl w:val="0"/>
                <w:numId w:val="10"/>
              </w:numPr>
              <w:spacing w:before="160"/>
              <w:ind w:left="357" w:hanging="357"/>
              <w:contextualSpacing/>
              <w:rPr>
                <w:sz w:val="24"/>
                <w:szCs w:val="24"/>
              </w:rPr>
            </w:pPr>
            <w:r>
              <w:rPr>
                <w:sz w:val="24"/>
                <w:szCs w:val="24"/>
              </w:rPr>
              <w:t>Futures 25</w:t>
            </w:r>
            <w:r w:rsidR="001B0391" w:rsidRPr="00E05E60">
              <w:rPr>
                <w:sz w:val="24"/>
                <w:szCs w:val="24"/>
              </w:rPr>
              <w:t xml:space="preserve"> Efficiency Strategy</w:t>
            </w:r>
          </w:p>
          <w:p w14:paraId="62B6EF0C" w14:textId="77777777" w:rsidR="00E43F68" w:rsidRPr="00E05E60" w:rsidRDefault="001B0391" w:rsidP="0068184B">
            <w:pPr>
              <w:pStyle w:val="ListParagraph"/>
              <w:numPr>
                <w:ilvl w:val="0"/>
                <w:numId w:val="10"/>
              </w:numPr>
              <w:spacing w:before="160"/>
              <w:ind w:left="357" w:hanging="357"/>
              <w:contextualSpacing/>
              <w:rPr>
                <w:sz w:val="24"/>
                <w:szCs w:val="24"/>
              </w:rPr>
            </w:pPr>
            <w:r w:rsidRPr="00E05E60">
              <w:rPr>
                <w:sz w:val="24"/>
              </w:rPr>
              <w:t>Estates</w:t>
            </w:r>
            <w:r w:rsidR="00E43F68" w:rsidRPr="00E05E60">
              <w:rPr>
                <w:sz w:val="24"/>
                <w:szCs w:val="24"/>
              </w:rPr>
              <w:t xml:space="preserve"> Strategy</w:t>
            </w:r>
          </w:p>
          <w:p w14:paraId="1EFD8BB5" w14:textId="77777777" w:rsidR="00E43F68" w:rsidRPr="00E05E60" w:rsidRDefault="00E43F68" w:rsidP="0068184B">
            <w:pPr>
              <w:pStyle w:val="ListParagraph"/>
              <w:numPr>
                <w:ilvl w:val="0"/>
                <w:numId w:val="10"/>
              </w:numPr>
              <w:spacing w:before="160"/>
              <w:contextualSpacing/>
              <w:rPr>
                <w:sz w:val="24"/>
                <w:szCs w:val="24"/>
              </w:rPr>
            </w:pPr>
            <w:r w:rsidRPr="00E05E60">
              <w:rPr>
                <w:sz w:val="24"/>
                <w:szCs w:val="24"/>
              </w:rPr>
              <w:t>Fleet Strategy</w:t>
            </w:r>
          </w:p>
          <w:p w14:paraId="7FE56B41" w14:textId="77777777" w:rsidR="00E43F68" w:rsidRPr="00E05E60" w:rsidRDefault="00E43F68" w:rsidP="0068184B">
            <w:pPr>
              <w:pStyle w:val="ListParagraph"/>
              <w:numPr>
                <w:ilvl w:val="0"/>
                <w:numId w:val="10"/>
              </w:numPr>
              <w:spacing w:before="160"/>
              <w:contextualSpacing/>
              <w:rPr>
                <w:sz w:val="24"/>
                <w:szCs w:val="24"/>
              </w:rPr>
            </w:pPr>
            <w:r w:rsidRPr="00E05E60">
              <w:rPr>
                <w:sz w:val="24"/>
                <w:szCs w:val="24"/>
              </w:rPr>
              <w:t>ICT Strategy</w:t>
            </w:r>
          </w:p>
          <w:p w14:paraId="1F5087EA" w14:textId="77777777" w:rsidR="00E43F68" w:rsidRPr="00E05E60" w:rsidRDefault="00E43F68" w:rsidP="0068184B">
            <w:pPr>
              <w:pStyle w:val="ListParagraph"/>
              <w:numPr>
                <w:ilvl w:val="0"/>
                <w:numId w:val="10"/>
              </w:numPr>
              <w:spacing w:before="160"/>
              <w:contextualSpacing/>
              <w:rPr>
                <w:sz w:val="24"/>
                <w:szCs w:val="24"/>
              </w:rPr>
            </w:pPr>
            <w:r w:rsidRPr="00E05E60">
              <w:rPr>
                <w:sz w:val="24"/>
                <w:szCs w:val="24"/>
              </w:rPr>
              <w:t xml:space="preserve">Community Safety </w:t>
            </w:r>
            <w:r w:rsidR="00E05E60">
              <w:rPr>
                <w:sz w:val="24"/>
                <w:szCs w:val="24"/>
              </w:rPr>
              <w:t>Strategy</w:t>
            </w:r>
          </w:p>
          <w:p w14:paraId="6F7AD3AD" w14:textId="77777777" w:rsidR="001B0391" w:rsidRPr="00E05E60" w:rsidRDefault="00E43F68" w:rsidP="001B0391">
            <w:pPr>
              <w:pStyle w:val="ListParagraph"/>
              <w:numPr>
                <w:ilvl w:val="0"/>
                <w:numId w:val="10"/>
              </w:numPr>
              <w:spacing w:before="160" w:after="160"/>
              <w:ind w:left="357" w:hanging="357"/>
              <w:contextualSpacing/>
              <w:rPr>
                <w:b/>
                <w:sz w:val="24"/>
                <w:szCs w:val="24"/>
              </w:rPr>
            </w:pPr>
            <w:r w:rsidRPr="00E05E60">
              <w:rPr>
                <w:sz w:val="24"/>
                <w:szCs w:val="24"/>
              </w:rPr>
              <w:t>Workforce Plan</w:t>
            </w:r>
          </w:p>
        </w:tc>
      </w:tr>
    </w:tbl>
    <w:p w14:paraId="615B2B42" w14:textId="77777777" w:rsidR="00E43F68" w:rsidRPr="00E05E60" w:rsidRDefault="00E43F68" w:rsidP="00E43F68">
      <w:pPr>
        <w:rPr>
          <w:sz w:val="24"/>
          <w:szCs w:val="24"/>
        </w:rPr>
      </w:pPr>
      <w:r w:rsidRPr="00E05E60">
        <w:rPr>
          <w:b/>
        </w:rPr>
        <w:br w:type="page"/>
      </w:r>
      <w:r w:rsidRPr="00E05E60">
        <w:rPr>
          <w:b/>
          <w:sz w:val="24"/>
          <w:szCs w:val="24"/>
        </w:rPr>
        <w:lastRenderedPageBreak/>
        <w:t xml:space="preserve">SECTION 1: </w:t>
      </w:r>
      <w:r w:rsidRPr="00E05E60">
        <w:rPr>
          <w:b/>
          <w:sz w:val="24"/>
          <w:szCs w:val="24"/>
        </w:rPr>
        <w:tab/>
        <w:t>PURPOSE AND OBJECTIVES OF THE STRATEGY</w:t>
      </w:r>
    </w:p>
    <w:p w14:paraId="0197741F" w14:textId="77777777" w:rsidR="00E43F68" w:rsidRPr="00E05E60" w:rsidRDefault="00E43F68" w:rsidP="00E43F68">
      <w:pPr>
        <w:rPr>
          <w:sz w:val="24"/>
          <w:szCs w:val="24"/>
        </w:rPr>
      </w:pPr>
    </w:p>
    <w:p w14:paraId="2A4E8761" w14:textId="77777777" w:rsidR="00E43F68" w:rsidRPr="00E05E60" w:rsidRDefault="00E43F68" w:rsidP="00E43F68">
      <w:pPr>
        <w:rPr>
          <w:b/>
          <w:sz w:val="24"/>
          <w:szCs w:val="24"/>
        </w:rPr>
      </w:pPr>
      <w:r w:rsidRPr="00E05E60">
        <w:rPr>
          <w:b/>
          <w:sz w:val="24"/>
          <w:szCs w:val="24"/>
        </w:rPr>
        <w:t>PURPOSE OF THE STRATEGY</w:t>
      </w:r>
    </w:p>
    <w:p w14:paraId="21AC5DF9" w14:textId="77777777" w:rsidR="00E43F68" w:rsidRPr="00E05E60" w:rsidRDefault="00E43F68" w:rsidP="00E43F68">
      <w:pPr>
        <w:rPr>
          <w:sz w:val="24"/>
          <w:szCs w:val="24"/>
        </w:rPr>
      </w:pPr>
    </w:p>
    <w:p w14:paraId="6C9DCE3E" w14:textId="77777777" w:rsidR="00E43F68" w:rsidRPr="00022D0C" w:rsidRDefault="00E43F68" w:rsidP="00E43F68">
      <w:pPr>
        <w:ind w:left="709" w:hanging="709"/>
        <w:rPr>
          <w:sz w:val="24"/>
          <w:szCs w:val="24"/>
        </w:rPr>
      </w:pPr>
      <w:r w:rsidRPr="00022D0C">
        <w:rPr>
          <w:sz w:val="24"/>
          <w:szCs w:val="24"/>
        </w:rPr>
        <w:t>1.1</w:t>
      </w:r>
      <w:r w:rsidRPr="00022D0C">
        <w:rPr>
          <w:sz w:val="24"/>
          <w:szCs w:val="24"/>
        </w:rPr>
        <w:tab/>
        <w:t xml:space="preserve">The purpose of the Authority’s financial strategy is to provide clear and understandable information on actions which are needed to ensure the </w:t>
      </w:r>
      <w:r w:rsidR="00A876B2" w:rsidRPr="00022D0C">
        <w:rPr>
          <w:sz w:val="24"/>
          <w:szCs w:val="24"/>
        </w:rPr>
        <w:t>long-term</w:t>
      </w:r>
      <w:r w:rsidRPr="00022D0C">
        <w:rPr>
          <w:sz w:val="24"/>
          <w:szCs w:val="24"/>
        </w:rPr>
        <w:t xml:space="preserve"> financial sustainability of the Authority.  It supports affordable, sustainable service delivery through</w:t>
      </w:r>
      <w:r w:rsidR="00AE21C4" w:rsidRPr="00022D0C">
        <w:rPr>
          <w:sz w:val="24"/>
          <w:szCs w:val="24"/>
        </w:rPr>
        <w:t>out</w:t>
      </w:r>
      <w:r w:rsidRPr="00022D0C">
        <w:rPr>
          <w:sz w:val="24"/>
          <w:szCs w:val="24"/>
        </w:rPr>
        <w:t xml:space="preserve"> the planned use of revenue budgets, capital budgets and reserves.</w:t>
      </w:r>
    </w:p>
    <w:p w14:paraId="7CFE0C3B" w14:textId="77777777" w:rsidR="00E43F68" w:rsidRPr="00022D0C" w:rsidRDefault="00E43F68" w:rsidP="00E43F68">
      <w:pPr>
        <w:ind w:left="709" w:hanging="709"/>
        <w:rPr>
          <w:sz w:val="24"/>
          <w:szCs w:val="24"/>
        </w:rPr>
      </w:pPr>
    </w:p>
    <w:p w14:paraId="392824A7" w14:textId="77777777" w:rsidR="00E43F68" w:rsidRPr="00022D0C" w:rsidRDefault="00E43F68" w:rsidP="00E43F68">
      <w:pPr>
        <w:ind w:left="709" w:hanging="709"/>
        <w:rPr>
          <w:sz w:val="24"/>
          <w:szCs w:val="24"/>
        </w:rPr>
      </w:pPr>
      <w:r w:rsidRPr="00022D0C">
        <w:rPr>
          <w:sz w:val="24"/>
          <w:szCs w:val="24"/>
        </w:rPr>
        <w:t>1.2</w:t>
      </w:r>
      <w:r w:rsidRPr="00022D0C">
        <w:rPr>
          <w:sz w:val="24"/>
          <w:szCs w:val="24"/>
        </w:rPr>
        <w:tab/>
        <w:t xml:space="preserve">A </w:t>
      </w:r>
      <w:r w:rsidR="00FA75D9">
        <w:rPr>
          <w:sz w:val="24"/>
          <w:szCs w:val="24"/>
        </w:rPr>
        <w:t>M</w:t>
      </w:r>
      <w:r w:rsidRPr="00022D0C">
        <w:rPr>
          <w:sz w:val="24"/>
          <w:szCs w:val="24"/>
        </w:rPr>
        <w:t>edium-</w:t>
      </w:r>
      <w:r w:rsidR="00FA75D9">
        <w:rPr>
          <w:sz w:val="24"/>
          <w:szCs w:val="24"/>
        </w:rPr>
        <w:t>T</w:t>
      </w:r>
      <w:r w:rsidRPr="00022D0C">
        <w:rPr>
          <w:sz w:val="24"/>
          <w:szCs w:val="24"/>
        </w:rPr>
        <w:t xml:space="preserve">erm </w:t>
      </w:r>
      <w:r w:rsidR="00FA75D9">
        <w:rPr>
          <w:sz w:val="24"/>
          <w:szCs w:val="24"/>
        </w:rPr>
        <w:t>F</w:t>
      </w:r>
      <w:r w:rsidRPr="00022D0C">
        <w:rPr>
          <w:sz w:val="24"/>
          <w:szCs w:val="24"/>
        </w:rPr>
        <w:t xml:space="preserve">inancial </w:t>
      </w:r>
      <w:r w:rsidR="00FA75D9">
        <w:rPr>
          <w:sz w:val="24"/>
          <w:szCs w:val="24"/>
        </w:rPr>
        <w:t>S</w:t>
      </w:r>
      <w:r w:rsidRPr="00022D0C">
        <w:rPr>
          <w:sz w:val="24"/>
          <w:szCs w:val="24"/>
        </w:rPr>
        <w:t xml:space="preserve">trategy (MTFS) sets out how finances are to be managed in such a way as to manage levels of </w:t>
      </w:r>
      <w:r w:rsidR="00AC2003">
        <w:rPr>
          <w:sz w:val="24"/>
          <w:szCs w:val="24"/>
        </w:rPr>
        <w:t>c</w:t>
      </w:r>
      <w:r w:rsidRPr="00022D0C">
        <w:rPr>
          <w:sz w:val="24"/>
          <w:szCs w:val="24"/>
        </w:rPr>
        <w:t xml:space="preserve">ouncil </w:t>
      </w:r>
      <w:r w:rsidR="00AC2003">
        <w:rPr>
          <w:sz w:val="24"/>
          <w:szCs w:val="24"/>
        </w:rPr>
        <w:t>t</w:t>
      </w:r>
      <w:r w:rsidRPr="00022D0C">
        <w:rPr>
          <w:sz w:val="24"/>
          <w:szCs w:val="24"/>
        </w:rPr>
        <w:t>ax</w:t>
      </w:r>
      <w:r w:rsidR="006644F3" w:rsidRPr="00022D0C">
        <w:rPr>
          <w:sz w:val="24"/>
          <w:szCs w:val="24"/>
        </w:rPr>
        <w:t xml:space="preserve"> and</w:t>
      </w:r>
      <w:r w:rsidRPr="00022D0C">
        <w:rPr>
          <w:sz w:val="24"/>
          <w:szCs w:val="24"/>
        </w:rPr>
        <w:t xml:space="preserve"> reserves. In simple terms, it will set out how a stable and robust financial platform can be created such that developments and improvements in services set out in the </w:t>
      </w:r>
      <w:r w:rsidR="00AF236F" w:rsidRPr="00022D0C">
        <w:rPr>
          <w:sz w:val="24"/>
          <w:szCs w:val="24"/>
        </w:rPr>
        <w:t xml:space="preserve">Community Risk Management Plan </w:t>
      </w:r>
      <w:r w:rsidR="00FA75D9">
        <w:rPr>
          <w:sz w:val="24"/>
          <w:szCs w:val="24"/>
        </w:rPr>
        <w:t>(</w:t>
      </w:r>
      <w:r w:rsidR="00AF236F" w:rsidRPr="00022D0C">
        <w:rPr>
          <w:sz w:val="24"/>
          <w:szCs w:val="24"/>
        </w:rPr>
        <w:t xml:space="preserve">CRMP) </w:t>
      </w:r>
      <w:r w:rsidRPr="00022D0C">
        <w:rPr>
          <w:sz w:val="24"/>
          <w:szCs w:val="24"/>
        </w:rPr>
        <w:t>can both be achieved and sustained over time.</w:t>
      </w:r>
    </w:p>
    <w:p w14:paraId="5412DFD3" w14:textId="77777777" w:rsidR="00E43F68" w:rsidRPr="00022D0C" w:rsidRDefault="00E43F68" w:rsidP="00E43F68">
      <w:pPr>
        <w:ind w:left="709" w:hanging="709"/>
        <w:rPr>
          <w:sz w:val="24"/>
          <w:szCs w:val="24"/>
        </w:rPr>
      </w:pPr>
    </w:p>
    <w:p w14:paraId="73219497" w14:textId="77777777" w:rsidR="00E43F68" w:rsidRPr="00022D0C" w:rsidRDefault="00E43F68" w:rsidP="00E43F68">
      <w:pPr>
        <w:ind w:left="709" w:hanging="709"/>
        <w:rPr>
          <w:sz w:val="24"/>
          <w:szCs w:val="24"/>
        </w:rPr>
      </w:pPr>
      <w:r w:rsidRPr="00022D0C">
        <w:rPr>
          <w:sz w:val="24"/>
          <w:szCs w:val="24"/>
        </w:rPr>
        <w:t>1.3</w:t>
      </w:r>
      <w:r w:rsidRPr="00022D0C">
        <w:rPr>
          <w:sz w:val="24"/>
          <w:szCs w:val="24"/>
        </w:rPr>
        <w:tab/>
        <w:t xml:space="preserve">The Strategy should reflect the priorities outlined in the </w:t>
      </w:r>
      <w:r w:rsidR="007A0FF5" w:rsidRPr="00022D0C">
        <w:rPr>
          <w:sz w:val="24"/>
          <w:szCs w:val="24"/>
        </w:rPr>
        <w:t>CRMP</w:t>
      </w:r>
      <w:r w:rsidR="00717FF3" w:rsidRPr="00022D0C">
        <w:rPr>
          <w:sz w:val="24"/>
          <w:szCs w:val="24"/>
        </w:rPr>
        <w:t xml:space="preserve"> </w:t>
      </w:r>
      <w:r w:rsidRPr="00022D0C">
        <w:rPr>
          <w:sz w:val="24"/>
          <w:szCs w:val="24"/>
        </w:rPr>
        <w:t>and link together with all other strategies of the organisation such as the Capital Strategy, Treasury Management Strategy and Reserves Strategy.</w:t>
      </w:r>
    </w:p>
    <w:p w14:paraId="6A4E571E" w14:textId="77777777" w:rsidR="00E43F68" w:rsidRPr="00022D0C" w:rsidRDefault="00E43F68" w:rsidP="00E43F68">
      <w:pPr>
        <w:rPr>
          <w:sz w:val="24"/>
          <w:szCs w:val="24"/>
        </w:rPr>
      </w:pPr>
    </w:p>
    <w:p w14:paraId="5A711A40" w14:textId="77777777" w:rsidR="00E43F68" w:rsidRPr="00022D0C" w:rsidRDefault="00E43F68" w:rsidP="00373A8A">
      <w:pPr>
        <w:pStyle w:val="ListParagraph"/>
        <w:numPr>
          <w:ilvl w:val="1"/>
          <w:numId w:val="5"/>
        </w:numPr>
        <w:ind w:left="709" w:hanging="709"/>
        <w:contextualSpacing/>
        <w:rPr>
          <w:sz w:val="24"/>
          <w:szCs w:val="24"/>
        </w:rPr>
      </w:pPr>
      <w:r w:rsidRPr="00022D0C">
        <w:rPr>
          <w:sz w:val="24"/>
          <w:szCs w:val="24"/>
        </w:rPr>
        <w:tab/>
        <w:t>The objectives of the Authority’s financial strategy are as follows:</w:t>
      </w:r>
    </w:p>
    <w:p w14:paraId="4008E8DC" w14:textId="77777777" w:rsidR="00E43F68" w:rsidRPr="00022D0C" w:rsidRDefault="00E43F68" w:rsidP="00E43F68">
      <w:pPr>
        <w:rPr>
          <w:sz w:val="24"/>
          <w:szCs w:val="24"/>
        </w:rPr>
      </w:pPr>
    </w:p>
    <w:p w14:paraId="30DA1112"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provide a stable financial foundation to assist in decision making.</w:t>
      </w:r>
    </w:p>
    <w:p w14:paraId="38CDAE84"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 xml:space="preserve">To be fully cognisant of other supporting plans and strategies such as the </w:t>
      </w:r>
      <w:r w:rsidR="00F77FF2" w:rsidRPr="00022D0C">
        <w:rPr>
          <w:sz w:val="24"/>
          <w:szCs w:val="24"/>
        </w:rPr>
        <w:t>CRMP</w:t>
      </w:r>
      <w:r w:rsidRPr="00022D0C">
        <w:rPr>
          <w:sz w:val="24"/>
          <w:szCs w:val="24"/>
        </w:rPr>
        <w:t xml:space="preserve">, Workforce Plan, equalities objectives and ICT strategies to provide a cohesive framework.  </w:t>
      </w:r>
    </w:p>
    <w:p w14:paraId="45ACC2AA"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enable the Authority to be proactive rather than reactive in terms of financing.</w:t>
      </w:r>
    </w:p>
    <w:p w14:paraId="0FB4BCE4"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support the continuance of the Authority’s core service strategies.</w:t>
      </w:r>
    </w:p>
    <w:p w14:paraId="23BF3518"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support sustainable service delivery using revenue budgets and reserves.</w:t>
      </w:r>
    </w:p>
    <w:p w14:paraId="7964B162"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 xml:space="preserve">To seek to minimise the impacts on the </w:t>
      </w:r>
      <w:r w:rsidR="00AC2003">
        <w:rPr>
          <w:sz w:val="24"/>
          <w:szCs w:val="24"/>
        </w:rPr>
        <w:t>c</w:t>
      </w:r>
      <w:r w:rsidR="00AC2003" w:rsidRPr="00022D0C">
        <w:rPr>
          <w:sz w:val="24"/>
          <w:szCs w:val="24"/>
        </w:rPr>
        <w:t xml:space="preserve">ouncil </w:t>
      </w:r>
      <w:r w:rsidR="00AC2003">
        <w:rPr>
          <w:sz w:val="24"/>
          <w:szCs w:val="24"/>
        </w:rPr>
        <w:t>t</w:t>
      </w:r>
      <w:r w:rsidR="00AC2003" w:rsidRPr="00022D0C">
        <w:rPr>
          <w:sz w:val="24"/>
          <w:szCs w:val="24"/>
        </w:rPr>
        <w:t xml:space="preserve">ax </w:t>
      </w:r>
      <w:r w:rsidRPr="00022D0C">
        <w:rPr>
          <w:sz w:val="24"/>
          <w:szCs w:val="24"/>
        </w:rPr>
        <w:t>payer of fluctuations in demand for resources.</w:t>
      </w:r>
    </w:p>
    <w:p w14:paraId="26F5EA60"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hold a working balance of cash and reserves sufficient to respond to unexpected events and/or opportunities.</w:t>
      </w:r>
    </w:p>
    <w:p w14:paraId="432D1C66"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be flexible and responsive to changes in needs and legislation.</w:t>
      </w:r>
    </w:p>
    <w:p w14:paraId="34A73F62"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take account of the wider economic climate and local influences.</w:t>
      </w:r>
    </w:p>
    <w:p w14:paraId="0F3773A3" w14:textId="77777777" w:rsidR="00E43F68" w:rsidRPr="00022D0C" w:rsidRDefault="00E43F68" w:rsidP="00332C87">
      <w:pPr>
        <w:numPr>
          <w:ilvl w:val="0"/>
          <w:numId w:val="15"/>
        </w:numPr>
        <w:tabs>
          <w:tab w:val="clear" w:pos="1440"/>
        </w:tabs>
        <w:spacing w:after="240"/>
        <w:ind w:left="1276" w:hanging="556"/>
        <w:rPr>
          <w:sz w:val="24"/>
          <w:szCs w:val="24"/>
        </w:rPr>
      </w:pPr>
      <w:r w:rsidRPr="00022D0C">
        <w:rPr>
          <w:sz w:val="24"/>
          <w:szCs w:val="24"/>
        </w:rPr>
        <w:t>To ensure that the capital base of the Authority can be maintained within affordable and sustainable limits.</w:t>
      </w:r>
    </w:p>
    <w:p w14:paraId="5D5BF04E" w14:textId="77777777" w:rsidR="00E43F68" w:rsidRPr="00022D0C" w:rsidRDefault="00E43F68" w:rsidP="00332C87">
      <w:pPr>
        <w:numPr>
          <w:ilvl w:val="0"/>
          <w:numId w:val="15"/>
        </w:numPr>
        <w:tabs>
          <w:tab w:val="clear" w:pos="1440"/>
        </w:tabs>
        <w:ind w:left="1276" w:hanging="556"/>
        <w:rPr>
          <w:sz w:val="24"/>
          <w:szCs w:val="24"/>
        </w:rPr>
      </w:pPr>
      <w:r w:rsidRPr="00022D0C">
        <w:rPr>
          <w:sz w:val="24"/>
          <w:szCs w:val="24"/>
        </w:rPr>
        <w:t xml:space="preserve">To provide forward looking indications of </w:t>
      </w:r>
      <w:r w:rsidR="00AC2003">
        <w:rPr>
          <w:sz w:val="24"/>
          <w:szCs w:val="24"/>
        </w:rPr>
        <w:t>c</w:t>
      </w:r>
      <w:r w:rsidR="00AC2003" w:rsidRPr="00022D0C">
        <w:rPr>
          <w:sz w:val="24"/>
          <w:szCs w:val="24"/>
        </w:rPr>
        <w:t xml:space="preserve">ouncil </w:t>
      </w:r>
      <w:r w:rsidR="00AC2003">
        <w:rPr>
          <w:sz w:val="24"/>
          <w:szCs w:val="24"/>
        </w:rPr>
        <w:t>t</w:t>
      </w:r>
      <w:r w:rsidR="00AC2003" w:rsidRPr="00022D0C">
        <w:rPr>
          <w:sz w:val="24"/>
          <w:szCs w:val="24"/>
        </w:rPr>
        <w:t xml:space="preserve">ax </w:t>
      </w:r>
      <w:r w:rsidRPr="00022D0C">
        <w:rPr>
          <w:sz w:val="24"/>
          <w:szCs w:val="24"/>
        </w:rPr>
        <w:t>levels.</w:t>
      </w:r>
    </w:p>
    <w:p w14:paraId="2B1ED41A" w14:textId="77777777" w:rsidR="00E43F68" w:rsidRPr="00022D0C" w:rsidRDefault="00E43F68" w:rsidP="00E43F68">
      <w:pPr>
        <w:rPr>
          <w:sz w:val="24"/>
          <w:szCs w:val="24"/>
        </w:rPr>
      </w:pPr>
    </w:p>
    <w:p w14:paraId="58BBB546" w14:textId="77777777" w:rsidR="00E43F68" w:rsidRPr="00022D0C" w:rsidRDefault="00E43F68" w:rsidP="00E43F68">
      <w:pPr>
        <w:pStyle w:val="ListParagraph"/>
        <w:ind w:hanging="720"/>
        <w:rPr>
          <w:sz w:val="24"/>
          <w:szCs w:val="24"/>
        </w:rPr>
      </w:pPr>
      <w:r w:rsidRPr="00022D0C">
        <w:rPr>
          <w:sz w:val="24"/>
          <w:szCs w:val="24"/>
        </w:rPr>
        <w:t>1.</w:t>
      </w:r>
      <w:r w:rsidR="00D338F1" w:rsidRPr="00022D0C">
        <w:rPr>
          <w:sz w:val="24"/>
          <w:szCs w:val="24"/>
        </w:rPr>
        <w:t>5</w:t>
      </w:r>
      <w:r w:rsidRPr="00022D0C">
        <w:rPr>
          <w:sz w:val="24"/>
          <w:szCs w:val="24"/>
        </w:rPr>
        <w:tab/>
        <w:t>A number of principles have been developed to underpin these objectives:</w:t>
      </w:r>
    </w:p>
    <w:p w14:paraId="34261160" w14:textId="77777777" w:rsidR="00E43F68" w:rsidRPr="0088187C" w:rsidRDefault="00E43F68" w:rsidP="00E43F68">
      <w:pPr>
        <w:rPr>
          <w:sz w:val="24"/>
          <w:szCs w:val="24"/>
          <w:highlight w:val="green"/>
        </w:rPr>
      </w:pPr>
    </w:p>
    <w:p w14:paraId="33756CA3"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lastRenderedPageBreak/>
        <w:t xml:space="preserve">Resources will be prioritised to meet the core aims of the Service as set out in the </w:t>
      </w:r>
      <w:r w:rsidR="00F77FF2" w:rsidRPr="00022D0C">
        <w:rPr>
          <w:sz w:val="24"/>
          <w:szCs w:val="24"/>
        </w:rPr>
        <w:t>CRMP</w:t>
      </w:r>
      <w:r w:rsidRPr="00022D0C">
        <w:rPr>
          <w:sz w:val="24"/>
          <w:szCs w:val="24"/>
        </w:rPr>
        <w:t xml:space="preserve"> and other strategies which flow from th</w:t>
      </w:r>
      <w:r w:rsidR="007A0FF5" w:rsidRPr="00022D0C">
        <w:rPr>
          <w:sz w:val="24"/>
          <w:szCs w:val="24"/>
        </w:rPr>
        <w:t xml:space="preserve">e CRMP. </w:t>
      </w:r>
    </w:p>
    <w:p w14:paraId="3AD57E1C"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Priorities will be reviewed in the light of available resources and financial performance.</w:t>
      </w:r>
    </w:p>
    <w:p w14:paraId="2B53CA4B" w14:textId="77777777" w:rsidR="007A0FF5" w:rsidRPr="00022D0C" w:rsidRDefault="007A0FF5" w:rsidP="00332C87">
      <w:pPr>
        <w:numPr>
          <w:ilvl w:val="0"/>
          <w:numId w:val="16"/>
        </w:numPr>
        <w:tabs>
          <w:tab w:val="clear" w:pos="1440"/>
        </w:tabs>
        <w:spacing w:after="240"/>
        <w:ind w:left="1276" w:hanging="556"/>
        <w:rPr>
          <w:sz w:val="24"/>
          <w:szCs w:val="24"/>
        </w:rPr>
      </w:pPr>
      <w:r w:rsidRPr="00022D0C">
        <w:rPr>
          <w:sz w:val="24"/>
          <w:szCs w:val="24"/>
        </w:rPr>
        <w:t xml:space="preserve">Priorities will be influenced by the Corporate Risk Register. </w:t>
      </w:r>
    </w:p>
    <w:p w14:paraId="48847C15"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Capital will be financed using the most advantageous method prevailing at the time finance is required</w:t>
      </w:r>
      <w:r w:rsidR="00AC2003">
        <w:rPr>
          <w:sz w:val="24"/>
          <w:szCs w:val="24"/>
        </w:rPr>
        <w:t>,</w:t>
      </w:r>
      <w:r w:rsidRPr="00022D0C">
        <w:rPr>
          <w:sz w:val="24"/>
          <w:szCs w:val="24"/>
        </w:rPr>
        <w:t xml:space="preserve"> within the requirements of the Prudential Code. A full options appraisal will be carried out before financing decisions are taken.</w:t>
      </w:r>
    </w:p>
    <w:p w14:paraId="1D990D7E"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Investment decisions will be based on a balance of risk and return, remain biased towards low risk activity and follow the CIPFA principles of security, liquidity, and yield in that order.</w:t>
      </w:r>
    </w:p>
    <w:p w14:paraId="13A768C7"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 xml:space="preserve">Council </w:t>
      </w:r>
      <w:r w:rsidR="00AC2003">
        <w:rPr>
          <w:sz w:val="24"/>
          <w:szCs w:val="24"/>
        </w:rPr>
        <w:t>tax</w:t>
      </w:r>
      <w:r w:rsidR="00AC2003" w:rsidRPr="00022D0C">
        <w:rPr>
          <w:sz w:val="24"/>
          <w:szCs w:val="24"/>
        </w:rPr>
        <w:t xml:space="preserve"> </w:t>
      </w:r>
      <w:r w:rsidRPr="00022D0C">
        <w:rPr>
          <w:sz w:val="24"/>
          <w:szCs w:val="24"/>
        </w:rPr>
        <w:t>rates will be transparent and sustainable. This means that budgets will not be lowered and supported by reserves unless this is part of a long-term sustainable strategy and approved by Members.</w:t>
      </w:r>
    </w:p>
    <w:p w14:paraId="186B5125"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Charging for services will remain sensitive to the needs of communities and their expectations of the Service.</w:t>
      </w:r>
    </w:p>
    <w:p w14:paraId="6814AA6B"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Sponsorship funding will not be sought to underpin front line or core service delivery unless a long-term plan for sustainability has been developed.</w:t>
      </w:r>
    </w:p>
    <w:p w14:paraId="7BDAAAA0"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The Authority will continue to direct resources to the areas of greatest need within communities and seek to address the wider safety agenda.  This will be influenced by the</w:t>
      </w:r>
      <w:r w:rsidR="00AF236F" w:rsidRPr="00022D0C">
        <w:rPr>
          <w:sz w:val="24"/>
          <w:szCs w:val="24"/>
        </w:rPr>
        <w:t xml:space="preserve"> latest</w:t>
      </w:r>
      <w:r w:rsidRPr="00022D0C">
        <w:rPr>
          <w:sz w:val="24"/>
          <w:szCs w:val="24"/>
        </w:rPr>
        <w:t xml:space="preserve"> Fire Cover Review.</w:t>
      </w:r>
    </w:p>
    <w:p w14:paraId="0ED0C193"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The Authority will actively seek to collaborate with partner organisations in both setting and delivering priorities, as set out in the Collaboration Strategy.</w:t>
      </w:r>
    </w:p>
    <w:p w14:paraId="799EEB35" w14:textId="77777777" w:rsidR="00E43F68" w:rsidRPr="00022D0C" w:rsidRDefault="00E43F68" w:rsidP="00332C87">
      <w:pPr>
        <w:numPr>
          <w:ilvl w:val="0"/>
          <w:numId w:val="16"/>
        </w:numPr>
        <w:tabs>
          <w:tab w:val="clear" w:pos="1440"/>
        </w:tabs>
        <w:spacing w:after="240"/>
        <w:ind w:left="1276" w:hanging="556"/>
        <w:rPr>
          <w:sz w:val="24"/>
          <w:szCs w:val="24"/>
        </w:rPr>
      </w:pPr>
      <w:r w:rsidRPr="00022D0C">
        <w:rPr>
          <w:sz w:val="24"/>
          <w:szCs w:val="24"/>
        </w:rPr>
        <w:t>The Authority will apply any year end surpluses</w:t>
      </w:r>
      <w:r w:rsidR="00531495" w:rsidRPr="00022D0C">
        <w:rPr>
          <w:sz w:val="24"/>
          <w:szCs w:val="24"/>
        </w:rPr>
        <w:t xml:space="preserve"> / deficits</w:t>
      </w:r>
      <w:r w:rsidRPr="00022D0C">
        <w:rPr>
          <w:sz w:val="24"/>
          <w:szCs w:val="24"/>
        </w:rPr>
        <w:t xml:space="preserve"> to general fund reserves</w:t>
      </w:r>
      <w:r w:rsidR="00AF236F" w:rsidRPr="00022D0C">
        <w:rPr>
          <w:sz w:val="24"/>
          <w:szCs w:val="24"/>
        </w:rPr>
        <w:t xml:space="preserve"> once any allocations to earmarked reserves have been made</w:t>
      </w:r>
      <w:r w:rsidRPr="00022D0C">
        <w:rPr>
          <w:sz w:val="24"/>
          <w:szCs w:val="24"/>
        </w:rPr>
        <w:t>.</w:t>
      </w:r>
    </w:p>
    <w:p w14:paraId="60B2430B" w14:textId="77777777" w:rsidR="00E43F68" w:rsidRPr="00022D0C" w:rsidRDefault="00E43F68" w:rsidP="00332C87">
      <w:pPr>
        <w:numPr>
          <w:ilvl w:val="0"/>
          <w:numId w:val="16"/>
        </w:numPr>
        <w:tabs>
          <w:tab w:val="clear" w:pos="1440"/>
        </w:tabs>
        <w:ind w:left="1276" w:hanging="556"/>
        <w:rPr>
          <w:sz w:val="24"/>
          <w:szCs w:val="24"/>
        </w:rPr>
      </w:pPr>
      <w:r w:rsidRPr="00022D0C">
        <w:rPr>
          <w:sz w:val="24"/>
          <w:szCs w:val="24"/>
        </w:rPr>
        <w:t>Longer term financial planning will take account of the possible use of reserves to minimise the effect of reductions in funding as a means of transition, but not of permanent support.</w:t>
      </w:r>
    </w:p>
    <w:p w14:paraId="31C2E154" w14:textId="77777777" w:rsidR="001B5853" w:rsidRPr="0088187C" w:rsidRDefault="001B5853" w:rsidP="001B5853">
      <w:pPr>
        <w:rPr>
          <w:sz w:val="24"/>
          <w:szCs w:val="24"/>
          <w:highlight w:val="green"/>
        </w:rPr>
      </w:pPr>
    </w:p>
    <w:p w14:paraId="1C4B0F50" w14:textId="77777777" w:rsidR="00FE29B7" w:rsidRPr="00022D0C" w:rsidRDefault="00FE29B7" w:rsidP="001B5853">
      <w:pPr>
        <w:rPr>
          <w:b/>
          <w:sz w:val="24"/>
          <w:szCs w:val="24"/>
        </w:rPr>
      </w:pPr>
      <w:r w:rsidRPr="00022D0C">
        <w:rPr>
          <w:b/>
          <w:sz w:val="24"/>
          <w:szCs w:val="24"/>
        </w:rPr>
        <w:t>FINANCIAL MANAGEMENT</w:t>
      </w:r>
    </w:p>
    <w:p w14:paraId="06972198" w14:textId="77777777" w:rsidR="00FE29B7" w:rsidRPr="00022D0C" w:rsidRDefault="00FE29B7" w:rsidP="001B5853">
      <w:pPr>
        <w:rPr>
          <w:sz w:val="24"/>
          <w:szCs w:val="24"/>
        </w:rPr>
      </w:pPr>
    </w:p>
    <w:p w14:paraId="6EF07A2A" w14:textId="77777777" w:rsidR="005F4FB5" w:rsidRPr="00022D0C" w:rsidRDefault="001B5853" w:rsidP="00332C87">
      <w:pPr>
        <w:numPr>
          <w:ilvl w:val="1"/>
          <w:numId w:val="20"/>
        </w:numPr>
        <w:ind w:left="709" w:hanging="709"/>
        <w:rPr>
          <w:sz w:val="24"/>
          <w:szCs w:val="24"/>
        </w:rPr>
      </w:pPr>
      <w:r w:rsidRPr="00022D0C">
        <w:rPr>
          <w:sz w:val="24"/>
          <w:szCs w:val="24"/>
        </w:rPr>
        <w:t xml:space="preserve">The process for the preparation of </w:t>
      </w:r>
      <w:r w:rsidR="008872C4" w:rsidRPr="00022D0C">
        <w:rPr>
          <w:sz w:val="24"/>
          <w:szCs w:val="24"/>
        </w:rPr>
        <w:t xml:space="preserve">the </w:t>
      </w:r>
      <w:r w:rsidRPr="00022D0C">
        <w:rPr>
          <w:sz w:val="24"/>
          <w:szCs w:val="24"/>
        </w:rPr>
        <w:t xml:space="preserve">revenue budget </w:t>
      </w:r>
      <w:r w:rsidR="00AF236F" w:rsidRPr="00022D0C">
        <w:rPr>
          <w:sz w:val="24"/>
          <w:szCs w:val="24"/>
        </w:rPr>
        <w:t>is strongly linked to the</w:t>
      </w:r>
      <w:r w:rsidRPr="00022D0C">
        <w:rPr>
          <w:sz w:val="24"/>
          <w:szCs w:val="24"/>
        </w:rPr>
        <w:t xml:space="preserve"> </w:t>
      </w:r>
      <w:r w:rsidR="00531495" w:rsidRPr="00022D0C">
        <w:rPr>
          <w:sz w:val="24"/>
          <w:szCs w:val="24"/>
        </w:rPr>
        <w:t>priorities outlined in the CRMP</w:t>
      </w:r>
      <w:r w:rsidRPr="00022D0C">
        <w:rPr>
          <w:sz w:val="24"/>
          <w:szCs w:val="24"/>
        </w:rPr>
        <w:t>.</w:t>
      </w:r>
    </w:p>
    <w:p w14:paraId="1A8B9512" w14:textId="77777777" w:rsidR="005F4FB5" w:rsidRPr="00022D0C" w:rsidRDefault="005F4FB5" w:rsidP="0091632D">
      <w:pPr>
        <w:ind w:left="709" w:hanging="709"/>
        <w:rPr>
          <w:sz w:val="24"/>
          <w:szCs w:val="24"/>
        </w:rPr>
      </w:pPr>
    </w:p>
    <w:p w14:paraId="77E29818" w14:textId="77777777" w:rsidR="005F4FB5" w:rsidRPr="00022D0C" w:rsidRDefault="005F4FB5" w:rsidP="00332C87">
      <w:pPr>
        <w:numPr>
          <w:ilvl w:val="1"/>
          <w:numId w:val="21"/>
        </w:numPr>
        <w:ind w:left="709" w:hanging="709"/>
        <w:rPr>
          <w:sz w:val="24"/>
          <w:szCs w:val="24"/>
        </w:rPr>
      </w:pPr>
      <w:r w:rsidRPr="00022D0C">
        <w:rPr>
          <w:sz w:val="24"/>
          <w:szCs w:val="24"/>
        </w:rPr>
        <w:t>Budget managers are fully involved in developing revenue and capital budgets to ensure that annual budgets accurately reflect demand levels and cost pressures.  Inflation is built in where necessary and not applied at a flat rate across the board.</w:t>
      </w:r>
    </w:p>
    <w:p w14:paraId="4AF1D8A3" w14:textId="77777777" w:rsidR="005F4FB5" w:rsidRPr="00022D0C" w:rsidRDefault="005F4FB5" w:rsidP="005F4FB5">
      <w:pPr>
        <w:pStyle w:val="ListParagraph"/>
        <w:rPr>
          <w:sz w:val="24"/>
          <w:szCs w:val="24"/>
        </w:rPr>
      </w:pPr>
    </w:p>
    <w:p w14:paraId="3B10D23C" w14:textId="77777777" w:rsidR="001B5853" w:rsidRPr="00022D0C" w:rsidRDefault="005F4FB5" w:rsidP="00332C87">
      <w:pPr>
        <w:numPr>
          <w:ilvl w:val="1"/>
          <w:numId w:val="22"/>
        </w:numPr>
        <w:ind w:left="709" w:hanging="709"/>
        <w:rPr>
          <w:sz w:val="24"/>
          <w:szCs w:val="24"/>
        </w:rPr>
      </w:pPr>
      <w:r w:rsidRPr="00022D0C">
        <w:rPr>
          <w:sz w:val="24"/>
          <w:szCs w:val="24"/>
        </w:rPr>
        <w:t xml:space="preserve">Salary budgets reflect staffing levels outlined in the workforce plan and pay inflation is </w:t>
      </w:r>
      <w:r w:rsidR="00A67833" w:rsidRPr="00022D0C">
        <w:rPr>
          <w:sz w:val="24"/>
          <w:szCs w:val="24"/>
        </w:rPr>
        <w:t>estimated at the time of setting the budget</w:t>
      </w:r>
      <w:r w:rsidR="001B5853" w:rsidRPr="00022D0C">
        <w:rPr>
          <w:sz w:val="24"/>
          <w:szCs w:val="24"/>
        </w:rPr>
        <w:t>.</w:t>
      </w:r>
    </w:p>
    <w:p w14:paraId="0F5E2CA7" w14:textId="77777777" w:rsidR="001B5853" w:rsidRPr="00022D0C" w:rsidRDefault="001B5853" w:rsidP="001B5853">
      <w:pPr>
        <w:ind w:left="709" w:hanging="709"/>
        <w:rPr>
          <w:sz w:val="24"/>
          <w:szCs w:val="24"/>
        </w:rPr>
      </w:pPr>
    </w:p>
    <w:p w14:paraId="2AE3C8E1" w14:textId="77777777" w:rsidR="001B5853" w:rsidRPr="00022D0C" w:rsidRDefault="001B5853" w:rsidP="001B5853">
      <w:pPr>
        <w:ind w:left="709" w:hanging="709"/>
        <w:rPr>
          <w:sz w:val="24"/>
          <w:szCs w:val="24"/>
        </w:rPr>
      </w:pPr>
      <w:r w:rsidRPr="00022D0C">
        <w:rPr>
          <w:sz w:val="24"/>
          <w:szCs w:val="24"/>
        </w:rPr>
        <w:t>1.</w:t>
      </w:r>
      <w:r w:rsidR="0091632D" w:rsidRPr="00022D0C">
        <w:rPr>
          <w:sz w:val="24"/>
          <w:szCs w:val="24"/>
        </w:rPr>
        <w:t>9</w:t>
      </w:r>
      <w:r w:rsidRPr="00022D0C">
        <w:rPr>
          <w:sz w:val="24"/>
          <w:szCs w:val="24"/>
        </w:rPr>
        <w:tab/>
        <w:t>The Finance and Resources Committee has full involvement in the process and the Chair of the Finance and Resources Committee plays an active part in understand</w:t>
      </w:r>
      <w:r w:rsidR="005C5046" w:rsidRPr="00022D0C">
        <w:rPr>
          <w:sz w:val="24"/>
          <w:szCs w:val="24"/>
        </w:rPr>
        <w:t>ing</w:t>
      </w:r>
      <w:r w:rsidRPr="00022D0C">
        <w:rPr>
          <w:sz w:val="24"/>
          <w:szCs w:val="24"/>
        </w:rPr>
        <w:t xml:space="preserve"> the underlying detail within the budgets. The Finance and Resources Committee makes</w:t>
      </w:r>
      <w:r w:rsidR="00AF12F0" w:rsidRPr="00022D0C">
        <w:rPr>
          <w:sz w:val="24"/>
          <w:szCs w:val="24"/>
        </w:rPr>
        <w:t xml:space="preserve"> budget and precept level</w:t>
      </w:r>
      <w:r w:rsidRPr="00022D0C">
        <w:rPr>
          <w:sz w:val="24"/>
          <w:szCs w:val="24"/>
        </w:rPr>
        <w:t xml:space="preserve"> recommendations to the Authority.   </w:t>
      </w:r>
    </w:p>
    <w:p w14:paraId="7F9E1AC7" w14:textId="77777777" w:rsidR="00E43F68" w:rsidRPr="00022D0C" w:rsidRDefault="00E43F68" w:rsidP="00E43F68">
      <w:pPr>
        <w:rPr>
          <w:sz w:val="24"/>
          <w:szCs w:val="24"/>
        </w:rPr>
      </w:pPr>
    </w:p>
    <w:p w14:paraId="6F764996" w14:textId="77777777" w:rsidR="008872C4" w:rsidRPr="00022D0C" w:rsidRDefault="00FE29B7" w:rsidP="00E05E60">
      <w:pPr>
        <w:pStyle w:val="BodyTextIndent"/>
        <w:numPr>
          <w:ilvl w:val="1"/>
          <w:numId w:val="34"/>
        </w:numPr>
        <w:spacing w:after="0"/>
        <w:ind w:left="709" w:hanging="709"/>
        <w:rPr>
          <w:sz w:val="24"/>
          <w:szCs w:val="24"/>
        </w:rPr>
      </w:pPr>
      <w:r w:rsidRPr="00022D0C">
        <w:rPr>
          <w:sz w:val="24"/>
          <w:szCs w:val="24"/>
        </w:rPr>
        <w:t xml:space="preserve">The </w:t>
      </w:r>
      <w:r w:rsidR="008872C4" w:rsidRPr="00022D0C">
        <w:rPr>
          <w:sz w:val="24"/>
          <w:szCs w:val="24"/>
        </w:rPr>
        <w:t>e</w:t>
      </w:r>
      <w:r w:rsidRPr="00022D0C">
        <w:rPr>
          <w:sz w:val="24"/>
          <w:szCs w:val="24"/>
        </w:rPr>
        <w:t xml:space="preserve">xternal </w:t>
      </w:r>
      <w:r w:rsidR="008872C4" w:rsidRPr="00022D0C">
        <w:rPr>
          <w:sz w:val="24"/>
          <w:szCs w:val="24"/>
        </w:rPr>
        <w:t>a</w:t>
      </w:r>
      <w:r w:rsidRPr="00022D0C">
        <w:rPr>
          <w:sz w:val="24"/>
          <w:szCs w:val="24"/>
        </w:rPr>
        <w:t xml:space="preserve">uditors of the Authority have consistently issued unqualified audit reports and positive management letters to the Authority in respect of their audit of accounts and their conclusion on the effective arrangements in place to achieve value for money. </w:t>
      </w:r>
      <w:r w:rsidR="008872C4" w:rsidRPr="00022D0C">
        <w:rPr>
          <w:sz w:val="24"/>
          <w:szCs w:val="24"/>
        </w:rPr>
        <w:t>However, it should be noted that, a</w:t>
      </w:r>
      <w:r w:rsidR="00A67833" w:rsidRPr="00022D0C">
        <w:rPr>
          <w:sz w:val="24"/>
          <w:szCs w:val="24"/>
        </w:rPr>
        <w:t xml:space="preserve">t the time of writing this MTFS, </w:t>
      </w:r>
      <w:r w:rsidR="008872C4" w:rsidRPr="00022D0C">
        <w:rPr>
          <w:sz w:val="24"/>
          <w:szCs w:val="24"/>
        </w:rPr>
        <w:t>the audit of the 2021/22 has not yet been concluded and the</w:t>
      </w:r>
      <w:r w:rsidR="00A67833" w:rsidRPr="00022D0C">
        <w:rPr>
          <w:sz w:val="24"/>
          <w:szCs w:val="24"/>
        </w:rPr>
        <w:t xml:space="preserve"> </w:t>
      </w:r>
      <w:r w:rsidR="00B168E6" w:rsidRPr="00022D0C">
        <w:rPr>
          <w:sz w:val="24"/>
          <w:szCs w:val="24"/>
        </w:rPr>
        <w:t xml:space="preserve">audit of the </w:t>
      </w:r>
      <w:r w:rsidR="004B6C98" w:rsidRPr="00022D0C">
        <w:rPr>
          <w:sz w:val="24"/>
          <w:szCs w:val="24"/>
        </w:rPr>
        <w:t>202</w:t>
      </w:r>
      <w:r w:rsidR="008872C4" w:rsidRPr="00022D0C">
        <w:rPr>
          <w:sz w:val="24"/>
          <w:szCs w:val="24"/>
        </w:rPr>
        <w:t>2</w:t>
      </w:r>
      <w:r w:rsidR="004B6C98" w:rsidRPr="00022D0C">
        <w:rPr>
          <w:sz w:val="24"/>
          <w:szCs w:val="24"/>
        </w:rPr>
        <w:t>/2</w:t>
      </w:r>
      <w:r w:rsidR="008872C4" w:rsidRPr="00022D0C">
        <w:rPr>
          <w:sz w:val="24"/>
          <w:szCs w:val="24"/>
        </w:rPr>
        <w:t>3</w:t>
      </w:r>
      <w:r w:rsidR="00A67833" w:rsidRPr="00022D0C">
        <w:rPr>
          <w:sz w:val="24"/>
          <w:szCs w:val="24"/>
        </w:rPr>
        <w:t xml:space="preserve"> Statement of Accounts ha</w:t>
      </w:r>
      <w:r w:rsidR="00B168E6" w:rsidRPr="00022D0C">
        <w:rPr>
          <w:sz w:val="24"/>
          <w:szCs w:val="24"/>
        </w:rPr>
        <w:t>s yet to be started due to a</w:t>
      </w:r>
      <w:r w:rsidR="008872C4" w:rsidRPr="00022D0C">
        <w:rPr>
          <w:sz w:val="24"/>
          <w:szCs w:val="24"/>
        </w:rPr>
        <w:t xml:space="preserve"> lack of resources available to the external auditors</w:t>
      </w:r>
      <w:r w:rsidR="00A67833" w:rsidRPr="00022D0C">
        <w:rPr>
          <w:sz w:val="24"/>
          <w:szCs w:val="24"/>
        </w:rPr>
        <w:t>.</w:t>
      </w:r>
    </w:p>
    <w:p w14:paraId="27F20517" w14:textId="77777777" w:rsidR="008872C4" w:rsidRPr="00022D0C" w:rsidRDefault="008872C4" w:rsidP="00B168E6">
      <w:pPr>
        <w:pStyle w:val="BodyTextIndent"/>
        <w:spacing w:after="0"/>
        <w:ind w:left="709"/>
        <w:rPr>
          <w:sz w:val="24"/>
          <w:szCs w:val="24"/>
        </w:rPr>
      </w:pPr>
    </w:p>
    <w:p w14:paraId="0ABA181A" w14:textId="77777777" w:rsidR="008872C4" w:rsidRPr="00022D0C" w:rsidRDefault="008872C4" w:rsidP="00E05E60">
      <w:pPr>
        <w:pStyle w:val="BodyTextIndent"/>
        <w:numPr>
          <w:ilvl w:val="1"/>
          <w:numId w:val="34"/>
        </w:numPr>
        <w:spacing w:after="0"/>
        <w:ind w:left="709" w:hanging="709"/>
        <w:rPr>
          <w:sz w:val="24"/>
          <w:szCs w:val="24"/>
        </w:rPr>
      </w:pPr>
      <w:r w:rsidRPr="00022D0C">
        <w:rPr>
          <w:sz w:val="24"/>
          <w:szCs w:val="24"/>
        </w:rPr>
        <w:t>The Internal Annual Audit Report for 2022/23 provided a view on the internal control environment and concluded that:</w:t>
      </w:r>
    </w:p>
    <w:p w14:paraId="203B61A2" w14:textId="77777777" w:rsidR="008872C4" w:rsidRPr="00022D0C" w:rsidRDefault="008872C4" w:rsidP="008872C4">
      <w:pPr>
        <w:pStyle w:val="BodyTextIndent"/>
        <w:spacing w:after="0"/>
        <w:rPr>
          <w:sz w:val="24"/>
          <w:szCs w:val="24"/>
        </w:rPr>
      </w:pPr>
    </w:p>
    <w:p w14:paraId="211D4292" w14:textId="77777777" w:rsidR="00AF12F0" w:rsidRPr="00022D0C" w:rsidRDefault="00AF12F0" w:rsidP="008872C4">
      <w:pPr>
        <w:pStyle w:val="BodyTextIndent"/>
        <w:spacing w:after="0"/>
        <w:ind w:left="851"/>
        <w:rPr>
          <w:i/>
          <w:iCs/>
          <w:sz w:val="24"/>
          <w:szCs w:val="24"/>
        </w:rPr>
      </w:pPr>
      <w:r w:rsidRPr="00022D0C">
        <w:rPr>
          <w:i/>
          <w:iCs/>
          <w:sz w:val="24"/>
          <w:szCs w:val="24"/>
        </w:rPr>
        <w:t xml:space="preserve"> </w:t>
      </w:r>
      <w:r w:rsidR="008872C4" w:rsidRPr="00022D0C">
        <w:rPr>
          <w:i/>
          <w:iCs/>
          <w:sz w:val="24"/>
          <w:szCs w:val="24"/>
        </w:rPr>
        <w:t xml:space="preserve">“Based on the coverage and detailed outcomes, overall, we consider the collective evidence provides substantial assurance concerning the arrangements in place for corporate governance, risk management and the control environment.” </w:t>
      </w:r>
    </w:p>
    <w:p w14:paraId="7A8F8FC9" w14:textId="77777777" w:rsidR="00AF12F0" w:rsidRPr="00022D0C" w:rsidRDefault="00AF12F0" w:rsidP="00AF12F0">
      <w:pPr>
        <w:pStyle w:val="BodyTextIndent"/>
        <w:spacing w:after="0"/>
        <w:ind w:left="709"/>
        <w:rPr>
          <w:sz w:val="24"/>
          <w:szCs w:val="24"/>
        </w:rPr>
      </w:pPr>
    </w:p>
    <w:p w14:paraId="708C0D6C" w14:textId="77777777" w:rsidR="00FE29B7" w:rsidRPr="00022D0C" w:rsidRDefault="00AF12F0" w:rsidP="00B168E6">
      <w:pPr>
        <w:pStyle w:val="BodyTextIndent"/>
        <w:numPr>
          <w:ilvl w:val="1"/>
          <w:numId w:val="35"/>
        </w:numPr>
        <w:spacing w:after="0"/>
        <w:ind w:left="709" w:hanging="709"/>
        <w:rPr>
          <w:sz w:val="24"/>
          <w:szCs w:val="24"/>
        </w:rPr>
      </w:pPr>
      <w:r w:rsidRPr="00022D0C">
        <w:rPr>
          <w:sz w:val="24"/>
          <w:szCs w:val="24"/>
        </w:rPr>
        <w:t xml:space="preserve">The </w:t>
      </w:r>
      <w:r w:rsidR="00FA75D9">
        <w:rPr>
          <w:sz w:val="24"/>
          <w:szCs w:val="24"/>
        </w:rPr>
        <w:t>S</w:t>
      </w:r>
      <w:r w:rsidRPr="00022D0C">
        <w:rPr>
          <w:sz w:val="24"/>
          <w:szCs w:val="24"/>
        </w:rPr>
        <w:t>ervice received a rating of Good in its 2022 inspection by His Majesty’s Inspectorate of Constabulary and Fire &amp; Rescue Services</w:t>
      </w:r>
      <w:r w:rsidR="008C59C2">
        <w:rPr>
          <w:sz w:val="24"/>
          <w:szCs w:val="24"/>
        </w:rPr>
        <w:t xml:space="preserve"> (</w:t>
      </w:r>
      <w:r w:rsidR="008C59C2" w:rsidRPr="00022D0C">
        <w:rPr>
          <w:sz w:val="24"/>
          <w:szCs w:val="24"/>
        </w:rPr>
        <w:t>HMICFRS</w:t>
      </w:r>
      <w:r w:rsidRPr="00022D0C">
        <w:rPr>
          <w:sz w:val="24"/>
          <w:szCs w:val="24"/>
        </w:rPr>
        <w:t>) in all three areas of Effectiveness, Efficiency and People.</w:t>
      </w:r>
      <w:r w:rsidR="00B168E6" w:rsidRPr="00022D0C">
        <w:rPr>
          <w:sz w:val="24"/>
          <w:szCs w:val="24"/>
        </w:rPr>
        <w:t xml:space="preserve">  </w:t>
      </w:r>
      <w:bookmarkStart w:id="0" w:name="_Hlk148967828"/>
      <w:r w:rsidR="00B168E6" w:rsidRPr="00022D0C">
        <w:rPr>
          <w:sz w:val="24"/>
          <w:szCs w:val="24"/>
        </w:rPr>
        <w:t>The Service is due to receive its next inspection in early 2024.</w:t>
      </w:r>
    </w:p>
    <w:bookmarkEnd w:id="0"/>
    <w:p w14:paraId="47EBEEBB" w14:textId="77777777" w:rsidR="00FE29B7" w:rsidRPr="0088187C" w:rsidRDefault="00FE29B7" w:rsidP="00FE29B7">
      <w:pPr>
        <w:pStyle w:val="BodyTextIndent"/>
        <w:ind w:left="709" w:hanging="709"/>
        <w:rPr>
          <w:sz w:val="24"/>
          <w:szCs w:val="24"/>
          <w:highlight w:val="green"/>
        </w:rPr>
      </w:pPr>
    </w:p>
    <w:p w14:paraId="41325792" w14:textId="77777777" w:rsidR="00FE29B7" w:rsidRPr="00022D0C" w:rsidRDefault="00D338F1" w:rsidP="00FE29B7">
      <w:pPr>
        <w:ind w:left="709" w:hanging="709"/>
        <w:rPr>
          <w:sz w:val="24"/>
          <w:szCs w:val="24"/>
        </w:rPr>
      </w:pPr>
      <w:r w:rsidRPr="00022D0C">
        <w:rPr>
          <w:sz w:val="24"/>
          <w:szCs w:val="24"/>
        </w:rPr>
        <w:t>1.</w:t>
      </w:r>
      <w:r w:rsidR="0091632D" w:rsidRPr="00022D0C">
        <w:rPr>
          <w:sz w:val="24"/>
          <w:szCs w:val="24"/>
        </w:rPr>
        <w:t>1</w:t>
      </w:r>
      <w:r w:rsidR="0088187C" w:rsidRPr="00022D0C">
        <w:rPr>
          <w:sz w:val="24"/>
          <w:szCs w:val="24"/>
        </w:rPr>
        <w:t>3</w:t>
      </w:r>
      <w:r w:rsidR="00FE29B7" w:rsidRPr="00022D0C">
        <w:rPr>
          <w:sz w:val="24"/>
          <w:szCs w:val="24"/>
        </w:rPr>
        <w:tab/>
        <w:t xml:space="preserve">The prevailing economic climate has caused increased financial pressures to be placed upon all public sector bodies and the </w:t>
      </w:r>
      <w:r w:rsidR="008C59C2">
        <w:rPr>
          <w:sz w:val="24"/>
          <w:szCs w:val="24"/>
        </w:rPr>
        <w:t>f</w:t>
      </w:r>
      <w:r w:rsidR="00FE29B7" w:rsidRPr="00022D0C">
        <w:rPr>
          <w:sz w:val="24"/>
          <w:szCs w:val="24"/>
        </w:rPr>
        <w:t xml:space="preserve">ire </w:t>
      </w:r>
      <w:r w:rsidR="008C59C2">
        <w:rPr>
          <w:sz w:val="24"/>
          <w:szCs w:val="24"/>
        </w:rPr>
        <w:t>se</w:t>
      </w:r>
      <w:r w:rsidR="00FE29B7" w:rsidRPr="00022D0C">
        <w:rPr>
          <w:sz w:val="24"/>
          <w:szCs w:val="24"/>
        </w:rPr>
        <w:t xml:space="preserve">rvice is no exception. </w:t>
      </w:r>
      <w:r w:rsidR="00E85687" w:rsidRPr="00022D0C">
        <w:rPr>
          <w:sz w:val="24"/>
          <w:szCs w:val="24"/>
        </w:rPr>
        <w:t>The</w:t>
      </w:r>
      <w:r w:rsidR="00FE29B7" w:rsidRPr="00022D0C">
        <w:rPr>
          <w:sz w:val="24"/>
          <w:szCs w:val="24"/>
        </w:rPr>
        <w:t xml:space="preserve"> overall funding position remains uncertain over the next three years.</w:t>
      </w:r>
    </w:p>
    <w:p w14:paraId="43565B7F" w14:textId="77777777" w:rsidR="00FE29B7" w:rsidRPr="00022D0C" w:rsidRDefault="00FE29B7" w:rsidP="00FE29B7">
      <w:pPr>
        <w:pStyle w:val="ListParagraph"/>
        <w:ind w:left="709" w:hanging="709"/>
        <w:rPr>
          <w:sz w:val="24"/>
          <w:szCs w:val="24"/>
        </w:rPr>
      </w:pPr>
    </w:p>
    <w:p w14:paraId="630100B5" w14:textId="77777777" w:rsidR="00FE29B7" w:rsidRPr="00022D0C" w:rsidRDefault="00D338F1" w:rsidP="00FE29B7">
      <w:pPr>
        <w:ind w:left="709" w:hanging="709"/>
        <w:rPr>
          <w:sz w:val="24"/>
          <w:szCs w:val="24"/>
        </w:rPr>
      </w:pPr>
      <w:r w:rsidRPr="00022D0C">
        <w:rPr>
          <w:sz w:val="24"/>
          <w:szCs w:val="24"/>
        </w:rPr>
        <w:t>1.1</w:t>
      </w:r>
      <w:r w:rsidR="0088187C" w:rsidRPr="00022D0C">
        <w:rPr>
          <w:sz w:val="24"/>
          <w:szCs w:val="24"/>
        </w:rPr>
        <w:t>4</w:t>
      </w:r>
      <w:r w:rsidR="00FE29B7" w:rsidRPr="00022D0C">
        <w:rPr>
          <w:sz w:val="24"/>
          <w:szCs w:val="24"/>
        </w:rPr>
        <w:tab/>
        <w:t>The challenge to the organisation is not how to survive in this period of uncertainty but how to continue to both provide and develop high quality services for the communities it serves. Finance is a clear enabler in this context and sound financial management is essential to ensure that maximum value can be achieved with the resources available.</w:t>
      </w:r>
    </w:p>
    <w:p w14:paraId="38851D56" w14:textId="77777777" w:rsidR="00FE29B7" w:rsidRPr="00022D0C" w:rsidRDefault="00FE29B7" w:rsidP="00FE29B7">
      <w:pPr>
        <w:pStyle w:val="ListParagraph"/>
        <w:ind w:left="709" w:hanging="709"/>
        <w:rPr>
          <w:sz w:val="24"/>
          <w:szCs w:val="24"/>
        </w:rPr>
      </w:pPr>
    </w:p>
    <w:p w14:paraId="65C33033" w14:textId="77777777" w:rsidR="00FE29B7" w:rsidRPr="00022D0C" w:rsidRDefault="00D338F1" w:rsidP="00FE29B7">
      <w:pPr>
        <w:ind w:left="709" w:hanging="709"/>
        <w:rPr>
          <w:sz w:val="24"/>
          <w:szCs w:val="24"/>
        </w:rPr>
      </w:pPr>
      <w:r w:rsidRPr="00022D0C">
        <w:rPr>
          <w:sz w:val="24"/>
          <w:szCs w:val="24"/>
        </w:rPr>
        <w:t>1.1</w:t>
      </w:r>
      <w:r w:rsidR="0088187C" w:rsidRPr="00022D0C">
        <w:rPr>
          <w:sz w:val="24"/>
          <w:szCs w:val="24"/>
        </w:rPr>
        <w:t>5</w:t>
      </w:r>
      <w:r w:rsidR="00FE29B7" w:rsidRPr="00022D0C">
        <w:rPr>
          <w:sz w:val="24"/>
          <w:szCs w:val="24"/>
        </w:rPr>
        <w:tab/>
        <w:t>The organisation will continue to manage its financial resources to the highest professional standards and back this up with a strong governance framework which will include scrutiny by the Finance and Resources Committee (both generally and as an Audit Committee)</w:t>
      </w:r>
      <w:r w:rsidR="0063018E" w:rsidRPr="00022D0C">
        <w:rPr>
          <w:sz w:val="24"/>
          <w:szCs w:val="24"/>
        </w:rPr>
        <w:t xml:space="preserve"> and</w:t>
      </w:r>
      <w:r w:rsidR="00FE29B7" w:rsidRPr="00022D0C">
        <w:rPr>
          <w:sz w:val="24"/>
          <w:szCs w:val="24"/>
        </w:rPr>
        <w:t xml:space="preserve"> regular reporting to elected members and the Strategic Leadership Team. In addition, an independent </w:t>
      </w:r>
      <w:r w:rsidR="008C59C2">
        <w:rPr>
          <w:sz w:val="24"/>
          <w:szCs w:val="24"/>
        </w:rPr>
        <w:t>i</w:t>
      </w:r>
      <w:r w:rsidR="00FE29B7" w:rsidRPr="00022D0C">
        <w:rPr>
          <w:sz w:val="24"/>
          <w:szCs w:val="24"/>
        </w:rPr>
        <w:t xml:space="preserve">nternal </w:t>
      </w:r>
      <w:r w:rsidR="008C59C2">
        <w:rPr>
          <w:sz w:val="24"/>
          <w:szCs w:val="24"/>
        </w:rPr>
        <w:t>a</w:t>
      </w:r>
      <w:r w:rsidR="00FE29B7" w:rsidRPr="00022D0C">
        <w:rPr>
          <w:sz w:val="24"/>
          <w:szCs w:val="24"/>
        </w:rPr>
        <w:t xml:space="preserve">udit function is maintained to give additional assurances to both </w:t>
      </w:r>
      <w:r w:rsidR="008C59C2">
        <w:rPr>
          <w:sz w:val="24"/>
          <w:szCs w:val="24"/>
        </w:rPr>
        <w:t>elected m</w:t>
      </w:r>
      <w:r w:rsidR="00FE29B7" w:rsidRPr="00022D0C">
        <w:rPr>
          <w:sz w:val="24"/>
          <w:szCs w:val="24"/>
        </w:rPr>
        <w:t xml:space="preserve">embers and </w:t>
      </w:r>
      <w:r w:rsidR="008C59C2">
        <w:rPr>
          <w:sz w:val="24"/>
          <w:szCs w:val="24"/>
        </w:rPr>
        <w:t>s</w:t>
      </w:r>
      <w:r w:rsidR="00FE29B7" w:rsidRPr="00022D0C">
        <w:rPr>
          <w:sz w:val="24"/>
          <w:szCs w:val="24"/>
        </w:rPr>
        <w:t xml:space="preserve">enior </w:t>
      </w:r>
      <w:r w:rsidR="008C59C2">
        <w:rPr>
          <w:sz w:val="24"/>
          <w:szCs w:val="24"/>
        </w:rPr>
        <w:t>o</w:t>
      </w:r>
      <w:r w:rsidR="00FE29B7" w:rsidRPr="00022D0C">
        <w:rPr>
          <w:sz w:val="24"/>
          <w:szCs w:val="24"/>
        </w:rPr>
        <w:t xml:space="preserve">fficers.  </w:t>
      </w:r>
      <w:r w:rsidR="00A67833" w:rsidRPr="00022D0C">
        <w:rPr>
          <w:sz w:val="24"/>
          <w:szCs w:val="24"/>
        </w:rPr>
        <w:t xml:space="preserve">The </w:t>
      </w:r>
      <w:r w:rsidR="009A773B">
        <w:rPr>
          <w:sz w:val="24"/>
          <w:szCs w:val="24"/>
        </w:rPr>
        <w:t>S</w:t>
      </w:r>
      <w:r w:rsidR="00A67833" w:rsidRPr="00022D0C">
        <w:rPr>
          <w:sz w:val="24"/>
          <w:szCs w:val="24"/>
        </w:rPr>
        <w:t xml:space="preserve">ervice </w:t>
      </w:r>
      <w:r w:rsidR="0091632D" w:rsidRPr="00022D0C">
        <w:rPr>
          <w:sz w:val="24"/>
          <w:szCs w:val="24"/>
        </w:rPr>
        <w:t>follows the Financial Management Code published by the Chartered Institute of Public Finance and Accountancy</w:t>
      </w:r>
      <w:r w:rsidR="00A67833" w:rsidRPr="00022D0C">
        <w:rPr>
          <w:sz w:val="24"/>
          <w:szCs w:val="24"/>
        </w:rPr>
        <w:t xml:space="preserve"> </w:t>
      </w:r>
      <w:r w:rsidR="0091632D" w:rsidRPr="00022D0C">
        <w:rPr>
          <w:sz w:val="24"/>
          <w:szCs w:val="24"/>
        </w:rPr>
        <w:t>(CIPFA).</w:t>
      </w:r>
      <w:r w:rsidR="00A67833" w:rsidRPr="00022D0C">
        <w:rPr>
          <w:sz w:val="24"/>
          <w:szCs w:val="24"/>
        </w:rPr>
        <w:t xml:space="preserve"> </w:t>
      </w:r>
    </w:p>
    <w:p w14:paraId="0C1D0B11" w14:textId="77777777" w:rsidR="00FE29B7" w:rsidRPr="00022D0C" w:rsidRDefault="00FE29B7" w:rsidP="00FE29B7">
      <w:pPr>
        <w:pStyle w:val="ListParagraph"/>
        <w:ind w:left="709" w:hanging="709"/>
        <w:rPr>
          <w:sz w:val="24"/>
          <w:szCs w:val="24"/>
        </w:rPr>
      </w:pPr>
    </w:p>
    <w:p w14:paraId="513E4C4A" w14:textId="77777777" w:rsidR="00FE29B7" w:rsidRPr="00E05E60" w:rsidRDefault="00D338F1" w:rsidP="00FE29B7">
      <w:pPr>
        <w:ind w:left="709" w:hanging="709"/>
        <w:rPr>
          <w:sz w:val="24"/>
          <w:szCs w:val="24"/>
        </w:rPr>
      </w:pPr>
      <w:r w:rsidRPr="00022D0C">
        <w:rPr>
          <w:sz w:val="24"/>
          <w:szCs w:val="24"/>
        </w:rPr>
        <w:t>1.1</w:t>
      </w:r>
      <w:r w:rsidR="0088187C" w:rsidRPr="00022D0C">
        <w:rPr>
          <w:sz w:val="24"/>
          <w:szCs w:val="24"/>
        </w:rPr>
        <w:t>6</w:t>
      </w:r>
      <w:r w:rsidR="00FE29B7" w:rsidRPr="00022D0C">
        <w:rPr>
          <w:sz w:val="24"/>
          <w:szCs w:val="24"/>
        </w:rPr>
        <w:tab/>
        <w:t>The post of Head of Finance</w:t>
      </w:r>
      <w:r w:rsidR="0091632D" w:rsidRPr="00022D0C">
        <w:rPr>
          <w:sz w:val="24"/>
          <w:szCs w:val="24"/>
        </w:rPr>
        <w:t xml:space="preserve"> and Treasurer</w:t>
      </w:r>
      <w:r w:rsidR="00FE29B7" w:rsidRPr="00022D0C">
        <w:rPr>
          <w:sz w:val="24"/>
          <w:szCs w:val="24"/>
        </w:rPr>
        <w:t xml:space="preserve"> is responsible for developing and maintaining the </w:t>
      </w:r>
      <w:r w:rsidR="009A773B">
        <w:rPr>
          <w:sz w:val="24"/>
          <w:szCs w:val="24"/>
        </w:rPr>
        <w:t>MTFS and</w:t>
      </w:r>
      <w:r w:rsidR="00FE29B7" w:rsidRPr="00022D0C">
        <w:rPr>
          <w:sz w:val="24"/>
          <w:szCs w:val="24"/>
        </w:rPr>
        <w:t xml:space="preserve"> this post reports directly to the Chief Fire Officer.</w:t>
      </w:r>
      <w:r w:rsidR="00FE29B7" w:rsidRPr="00E05E60">
        <w:rPr>
          <w:sz w:val="24"/>
          <w:szCs w:val="24"/>
        </w:rPr>
        <w:t xml:space="preserve"> </w:t>
      </w:r>
    </w:p>
    <w:p w14:paraId="5E0186CD" w14:textId="77777777" w:rsidR="00E43F68" w:rsidRPr="00E05E60" w:rsidRDefault="00E43F68" w:rsidP="00E43F68">
      <w:pPr>
        <w:ind w:left="1440"/>
        <w:jc w:val="both"/>
        <w:rPr>
          <w:sz w:val="24"/>
          <w:szCs w:val="24"/>
        </w:rPr>
      </w:pPr>
    </w:p>
    <w:p w14:paraId="7B9D5118" w14:textId="77777777" w:rsidR="00E43F68" w:rsidRPr="00E05E60" w:rsidRDefault="009A773B" w:rsidP="00E43F68">
      <w:pPr>
        <w:jc w:val="both"/>
        <w:rPr>
          <w:b/>
          <w:sz w:val="24"/>
          <w:szCs w:val="24"/>
        </w:rPr>
      </w:pPr>
      <w:r>
        <w:rPr>
          <w:b/>
          <w:sz w:val="24"/>
          <w:szCs w:val="24"/>
        </w:rPr>
        <w:br w:type="page"/>
      </w:r>
      <w:r w:rsidR="00E43F68" w:rsidRPr="00E05E60">
        <w:rPr>
          <w:b/>
          <w:sz w:val="24"/>
          <w:szCs w:val="24"/>
        </w:rPr>
        <w:lastRenderedPageBreak/>
        <w:t>SECTION 2: ECONOMIC CONTEXT OF THE STRATEGY</w:t>
      </w:r>
    </w:p>
    <w:p w14:paraId="5D3CF1C4" w14:textId="77777777" w:rsidR="00557892" w:rsidRPr="00E05E60" w:rsidRDefault="00557892" w:rsidP="00E43F68">
      <w:pPr>
        <w:jc w:val="both"/>
        <w:rPr>
          <w:b/>
          <w:sz w:val="24"/>
          <w:szCs w:val="24"/>
        </w:rPr>
      </w:pPr>
    </w:p>
    <w:p w14:paraId="0613C359" w14:textId="77777777" w:rsidR="00DD06FD" w:rsidRPr="00613ED4" w:rsidRDefault="00557892" w:rsidP="00332C87">
      <w:pPr>
        <w:pStyle w:val="BodyTextIndent"/>
        <w:numPr>
          <w:ilvl w:val="1"/>
          <w:numId w:val="27"/>
        </w:numPr>
        <w:spacing w:after="0"/>
        <w:ind w:hanging="643"/>
        <w:rPr>
          <w:bCs/>
          <w:sz w:val="24"/>
          <w:szCs w:val="24"/>
        </w:rPr>
      </w:pPr>
      <w:r w:rsidRPr="00613ED4">
        <w:rPr>
          <w:bCs/>
          <w:sz w:val="24"/>
          <w:szCs w:val="24"/>
        </w:rPr>
        <w:t xml:space="preserve">The current economic climate </w:t>
      </w:r>
      <w:r w:rsidR="00E0057A" w:rsidRPr="00613ED4">
        <w:rPr>
          <w:bCs/>
          <w:sz w:val="24"/>
          <w:szCs w:val="24"/>
        </w:rPr>
        <w:t>remains uncertain with many external influences</w:t>
      </w:r>
      <w:r w:rsidR="007D429B" w:rsidRPr="00613ED4">
        <w:rPr>
          <w:bCs/>
          <w:sz w:val="24"/>
          <w:szCs w:val="24"/>
        </w:rPr>
        <w:t>.</w:t>
      </w:r>
      <w:r w:rsidR="00E0057A" w:rsidRPr="00613ED4">
        <w:rPr>
          <w:bCs/>
          <w:sz w:val="24"/>
          <w:szCs w:val="24"/>
        </w:rPr>
        <w:t xml:space="preserve">  </w:t>
      </w:r>
      <w:r w:rsidR="0088187C" w:rsidRPr="00613ED4">
        <w:rPr>
          <w:bCs/>
          <w:sz w:val="24"/>
          <w:szCs w:val="24"/>
        </w:rPr>
        <w:t xml:space="preserve">Local Government is expected to receive a </w:t>
      </w:r>
      <w:r w:rsidR="008A7D13" w:rsidRPr="00613ED4">
        <w:rPr>
          <w:bCs/>
          <w:sz w:val="24"/>
          <w:szCs w:val="24"/>
        </w:rPr>
        <w:t>one-year</w:t>
      </w:r>
      <w:r w:rsidR="0088187C" w:rsidRPr="00613ED4">
        <w:rPr>
          <w:bCs/>
          <w:sz w:val="24"/>
          <w:szCs w:val="24"/>
        </w:rPr>
        <w:t xml:space="preserve"> funding settlement for 2024/25.  With a general election due to be held in 2024</w:t>
      </w:r>
      <w:r w:rsidR="00AC5065">
        <w:rPr>
          <w:bCs/>
          <w:sz w:val="24"/>
          <w:szCs w:val="24"/>
        </w:rPr>
        <w:t>,</w:t>
      </w:r>
      <w:r w:rsidR="0088187C" w:rsidRPr="00613ED4">
        <w:rPr>
          <w:bCs/>
          <w:sz w:val="24"/>
          <w:szCs w:val="24"/>
        </w:rPr>
        <w:t xml:space="preserve"> there remains significant uncertainty around Local Government funding beyond 2024/25. </w:t>
      </w:r>
    </w:p>
    <w:p w14:paraId="3F39EA53" w14:textId="77777777" w:rsidR="00DD06FD" w:rsidRPr="00613ED4" w:rsidRDefault="00557892" w:rsidP="00DD06FD">
      <w:pPr>
        <w:pStyle w:val="BodyTextIndent"/>
        <w:spacing w:after="0"/>
        <w:ind w:left="643"/>
        <w:rPr>
          <w:bCs/>
          <w:sz w:val="24"/>
          <w:szCs w:val="24"/>
        </w:rPr>
      </w:pPr>
      <w:r w:rsidRPr="00613ED4">
        <w:rPr>
          <w:bCs/>
          <w:sz w:val="24"/>
          <w:szCs w:val="24"/>
        </w:rPr>
        <w:t xml:space="preserve">  </w:t>
      </w:r>
    </w:p>
    <w:p w14:paraId="2BDF4673" w14:textId="77777777" w:rsidR="00557892" w:rsidRPr="00613ED4" w:rsidRDefault="007D429B" w:rsidP="00332C87">
      <w:pPr>
        <w:pStyle w:val="BodyTextIndent"/>
        <w:numPr>
          <w:ilvl w:val="1"/>
          <w:numId w:val="27"/>
        </w:numPr>
        <w:spacing w:after="0"/>
        <w:ind w:hanging="643"/>
        <w:rPr>
          <w:bCs/>
          <w:sz w:val="24"/>
          <w:szCs w:val="24"/>
        </w:rPr>
      </w:pPr>
      <w:bookmarkStart w:id="1" w:name="_Hlk89801921"/>
      <w:r w:rsidRPr="00613ED4">
        <w:rPr>
          <w:bCs/>
          <w:sz w:val="24"/>
          <w:szCs w:val="24"/>
        </w:rPr>
        <w:t xml:space="preserve">In October </w:t>
      </w:r>
      <w:r w:rsidR="00AC5065">
        <w:rPr>
          <w:bCs/>
          <w:sz w:val="24"/>
          <w:szCs w:val="24"/>
        </w:rPr>
        <w:t>20</w:t>
      </w:r>
      <w:r w:rsidRPr="00613ED4">
        <w:rPr>
          <w:bCs/>
          <w:sz w:val="24"/>
          <w:szCs w:val="24"/>
        </w:rPr>
        <w:t>2</w:t>
      </w:r>
      <w:r w:rsidR="0088187C" w:rsidRPr="00613ED4">
        <w:rPr>
          <w:bCs/>
          <w:sz w:val="24"/>
          <w:szCs w:val="24"/>
        </w:rPr>
        <w:t>3</w:t>
      </w:r>
      <w:r w:rsidRPr="00613ED4">
        <w:rPr>
          <w:bCs/>
          <w:sz w:val="24"/>
          <w:szCs w:val="24"/>
        </w:rPr>
        <w:t xml:space="preserve">, </w:t>
      </w:r>
      <w:r w:rsidR="00FE453A" w:rsidRPr="00613ED4">
        <w:rPr>
          <w:bCs/>
          <w:sz w:val="24"/>
          <w:szCs w:val="24"/>
        </w:rPr>
        <w:t xml:space="preserve">CPI (Consumer Price Index) </w:t>
      </w:r>
      <w:r w:rsidRPr="00613ED4">
        <w:rPr>
          <w:bCs/>
          <w:sz w:val="24"/>
          <w:szCs w:val="24"/>
        </w:rPr>
        <w:t>i</w:t>
      </w:r>
      <w:r w:rsidR="00557892" w:rsidRPr="00613ED4">
        <w:rPr>
          <w:bCs/>
          <w:sz w:val="24"/>
          <w:szCs w:val="24"/>
        </w:rPr>
        <w:t xml:space="preserve">nflation </w:t>
      </w:r>
      <w:r w:rsidR="002C7F1C">
        <w:rPr>
          <w:bCs/>
          <w:sz w:val="24"/>
          <w:szCs w:val="24"/>
        </w:rPr>
        <w:t>decreased to 4.6% from 6.7% the previous month. T</w:t>
      </w:r>
      <w:r w:rsidR="002564B3" w:rsidRPr="00613ED4">
        <w:rPr>
          <w:sz w:val="24"/>
          <w:szCs w:val="24"/>
        </w:rPr>
        <w:t>he</w:t>
      </w:r>
      <w:r w:rsidR="002C141A" w:rsidRPr="00613ED4">
        <w:rPr>
          <w:sz w:val="24"/>
          <w:szCs w:val="24"/>
        </w:rPr>
        <w:t xml:space="preserve"> </w:t>
      </w:r>
      <w:r w:rsidR="002564B3" w:rsidRPr="00613ED4">
        <w:rPr>
          <w:sz w:val="24"/>
          <w:szCs w:val="24"/>
        </w:rPr>
        <w:t xml:space="preserve">Bank of England </w:t>
      </w:r>
      <w:r w:rsidR="002C141A" w:rsidRPr="00613ED4">
        <w:rPr>
          <w:sz w:val="24"/>
          <w:szCs w:val="24"/>
        </w:rPr>
        <w:t xml:space="preserve">inflation forecast expects inflation to fall to around </w:t>
      </w:r>
      <w:r w:rsidR="00A23424">
        <w:rPr>
          <w:sz w:val="24"/>
          <w:szCs w:val="24"/>
        </w:rPr>
        <w:t>3.1</w:t>
      </w:r>
      <w:r w:rsidR="002C141A" w:rsidRPr="00613ED4">
        <w:rPr>
          <w:sz w:val="24"/>
          <w:szCs w:val="24"/>
        </w:rPr>
        <w:t xml:space="preserve">% by the end of 2023 and to carry on falling to reach the target of 2% by </w:t>
      </w:r>
      <w:r w:rsidR="008A7D13" w:rsidRPr="00613ED4">
        <w:rPr>
          <w:sz w:val="24"/>
          <w:szCs w:val="24"/>
        </w:rPr>
        <w:t>mid-2025</w:t>
      </w:r>
      <w:r w:rsidR="002C141A" w:rsidRPr="00613ED4">
        <w:rPr>
          <w:sz w:val="24"/>
          <w:szCs w:val="24"/>
        </w:rPr>
        <w:t xml:space="preserve">.  </w:t>
      </w:r>
      <w:bookmarkEnd w:id="1"/>
    </w:p>
    <w:p w14:paraId="2F9E6A84" w14:textId="77777777" w:rsidR="00557892" w:rsidRPr="00613ED4" w:rsidRDefault="00557892" w:rsidP="00557892">
      <w:pPr>
        <w:pStyle w:val="BodyTextIndent"/>
        <w:spacing w:after="0"/>
        <w:ind w:left="643"/>
        <w:rPr>
          <w:bCs/>
          <w:sz w:val="24"/>
          <w:szCs w:val="24"/>
        </w:rPr>
      </w:pPr>
    </w:p>
    <w:p w14:paraId="6B692164" w14:textId="77777777" w:rsidR="00FE453A" w:rsidRPr="00613ED4" w:rsidRDefault="00FE453A" w:rsidP="00FE453A">
      <w:pPr>
        <w:pStyle w:val="BodyTextIndent"/>
        <w:numPr>
          <w:ilvl w:val="1"/>
          <w:numId w:val="27"/>
        </w:numPr>
        <w:spacing w:after="0"/>
        <w:ind w:hanging="643"/>
        <w:rPr>
          <w:sz w:val="24"/>
          <w:szCs w:val="24"/>
        </w:rPr>
      </w:pPr>
      <w:r w:rsidRPr="00613ED4">
        <w:rPr>
          <w:sz w:val="24"/>
          <w:szCs w:val="24"/>
        </w:rPr>
        <w:t xml:space="preserve">Bank rate has increased from 0.75% in April 2022 to </w:t>
      </w:r>
      <w:r w:rsidR="000B1F7D" w:rsidRPr="00613ED4">
        <w:rPr>
          <w:sz w:val="24"/>
          <w:szCs w:val="24"/>
        </w:rPr>
        <w:t>5.25</w:t>
      </w:r>
      <w:r w:rsidRPr="00613ED4">
        <w:rPr>
          <w:sz w:val="24"/>
          <w:szCs w:val="24"/>
        </w:rPr>
        <w:t xml:space="preserve">% in </w:t>
      </w:r>
      <w:r w:rsidR="000B1F7D" w:rsidRPr="00613ED4">
        <w:rPr>
          <w:sz w:val="24"/>
          <w:szCs w:val="24"/>
        </w:rPr>
        <w:t xml:space="preserve">September </w:t>
      </w:r>
      <w:r w:rsidR="00EF725F">
        <w:rPr>
          <w:sz w:val="24"/>
          <w:szCs w:val="24"/>
        </w:rPr>
        <w:t>20</w:t>
      </w:r>
      <w:r w:rsidR="000B1F7D" w:rsidRPr="00613ED4">
        <w:rPr>
          <w:sz w:val="24"/>
          <w:szCs w:val="24"/>
        </w:rPr>
        <w:t>23</w:t>
      </w:r>
      <w:r w:rsidRPr="00613ED4">
        <w:rPr>
          <w:sz w:val="24"/>
          <w:szCs w:val="24"/>
        </w:rPr>
        <w:t xml:space="preserve">, its highest level since </w:t>
      </w:r>
      <w:r w:rsidR="007640EE" w:rsidRPr="00613ED4">
        <w:rPr>
          <w:sz w:val="24"/>
          <w:szCs w:val="24"/>
        </w:rPr>
        <w:t>February</w:t>
      </w:r>
      <w:r w:rsidRPr="00613ED4">
        <w:rPr>
          <w:sz w:val="24"/>
          <w:szCs w:val="24"/>
        </w:rPr>
        <w:t xml:space="preserve"> 2008. </w:t>
      </w:r>
      <w:r w:rsidR="007640EE" w:rsidRPr="00613ED4">
        <w:rPr>
          <w:sz w:val="24"/>
          <w:szCs w:val="24"/>
        </w:rPr>
        <w:t xml:space="preserve">Interest rates are expected to peak at either the current rate or </w:t>
      </w:r>
      <w:r w:rsidR="00EF725F">
        <w:rPr>
          <w:sz w:val="24"/>
          <w:szCs w:val="24"/>
        </w:rPr>
        <w:t xml:space="preserve">possibly at </w:t>
      </w:r>
      <w:r w:rsidR="007640EE" w:rsidRPr="00613ED4">
        <w:rPr>
          <w:sz w:val="24"/>
          <w:szCs w:val="24"/>
        </w:rPr>
        <w:t>5.5% by the end of 2023.  The increase in base rates has a significant impact on the Authority's ability to borrow to fund the Capital Programme.</w:t>
      </w:r>
    </w:p>
    <w:p w14:paraId="3B32F88F" w14:textId="77777777" w:rsidR="00557892" w:rsidRPr="00613ED4" w:rsidRDefault="00557892" w:rsidP="00557892">
      <w:pPr>
        <w:pStyle w:val="BodyTextIndent"/>
        <w:spacing w:after="0"/>
        <w:ind w:left="540"/>
        <w:rPr>
          <w:bCs/>
          <w:sz w:val="24"/>
          <w:szCs w:val="24"/>
        </w:rPr>
      </w:pPr>
    </w:p>
    <w:p w14:paraId="2D7649E9" w14:textId="77777777" w:rsidR="000B404C" w:rsidRPr="00613ED4" w:rsidRDefault="000B404C" w:rsidP="00332C87">
      <w:pPr>
        <w:pStyle w:val="ListParagraph"/>
        <w:numPr>
          <w:ilvl w:val="0"/>
          <w:numId w:val="26"/>
        </w:numPr>
        <w:rPr>
          <w:vanish/>
          <w:sz w:val="24"/>
          <w:szCs w:val="24"/>
        </w:rPr>
      </w:pPr>
    </w:p>
    <w:p w14:paraId="2DFE3FD2" w14:textId="77777777" w:rsidR="000B404C" w:rsidRPr="00613ED4" w:rsidRDefault="000B404C" w:rsidP="00332C87">
      <w:pPr>
        <w:pStyle w:val="ListParagraph"/>
        <w:numPr>
          <w:ilvl w:val="0"/>
          <w:numId w:val="26"/>
        </w:numPr>
        <w:rPr>
          <w:vanish/>
          <w:sz w:val="24"/>
          <w:szCs w:val="24"/>
        </w:rPr>
      </w:pPr>
    </w:p>
    <w:p w14:paraId="0DE31C68" w14:textId="77777777" w:rsidR="000B404C" w:rsidRPr="00613ED4" w:rsidRDefault="000B404C" w:rsidP="00332C87">
      <w:pPr>
        <w:pStyle w:val="ListParagraph"/>
        <w:numPr>
          <w:ilvl w:val="1"/>
          <w:numId w:val="26"/>
        </w:numPr>
        <w:rPr>
          <w:vanish/>
          <w:sz w:val="24"/>
          <w:szCs w:val="24"/>
        </w:rPr>
      </w:pPr>
    </w:p>
    <w:p w14:paraId="5CC56F56" w14:textId="77777777" w:rsidR="000B404C" w:rsidRPr="00613ED4" w:rsidRDefault="000B404C" w:rsidP="00332C87">
      <w:pPr>
        <w:pStyle w:val="ListParagraph"/>
        <w:numPr>
          <w:ilvl w:val="1"/>
          <w:numId w:val="26"/>
        </w:numPr>
        <w:rPr>
          <w:vanish/>
          <w:sz w:val="24"/>
          <w:szCs w:val="24"/>
        </w:rPr>
      </w:pPr>
    </w:p>
    <w:p w14:paraId="1D4D20DE" w14:textId="77777777" w:rsidR="000B404C" w:rsidRPr="00613ED4" w:rsidRDefault="000B404C" w:rsidP="00332C87">
      <w:pPr>
        <w:pStyle w:val="ListParagraph"/>
        <w:numPr>
          <w:ilvl w:val="1"/>
          <w:numId w:val="26"/>
        </w:numPr>
        <w:rPr>
          <w:vanish/>
          <w:sz w:val="24"/>
          <w:szCs w:val="24"/>
        </w:rPr>
      </w:pPr>
    </w:p>
    <w:p w14:paraId="32F2AA55" w14:textId="77777777" w:rsidR="00FE453A" w:rsidRPr="00613ED4" w:rsidRDefault="00557892" w:rsidP="00332C87">
      <w:pPr>
        <w:pStyle w:val="BodyTextIndent"/>
        <w:numPr>
          <w:ilvl w:val="1"/>
          <w:numId w:val="26"/>
        </w:numPr>
        <w:spacing w:after="0"/>
        <w:rPr>
          <w:sz w:val="24"/>
          <w:szCs w:val="24"/>
        </w:rPr>
      </w:pPr>
      <w:r w:rsidRPr="00613ED4">
        <w:rPr>
          <w:sz w:val="24"/>
          <w:szCs w:val="24"/>
        </w:rPr>
        <w:t xml:space="preserve">The </w:t>
      </w:r>
      <w:r w:rsidR="008A7D13" w:rsidRPr="00613ED4">
        <w:rPr>
          <w:sz w:val="24"/>
          <w:szCs w:val="24"/>
        </w:rPr>
        <w:t>three-month</w:t>
      </w:r>
      <w:r w:rsidR="000B1F7D" w:rsidRPr="00613ED4">
        <w:rPr>
          <w:sz w:val="24"/>
          <w:szCs w:val="24"/>
        </w:rPr>
        <w:t xml:space="preserve"> G</w:t>
      </w:r>
      <w:r w:rsidR="00FE453A" w:rsidRPr="00613ED4">
        <w:rPr>
          <w:sz w:val="24"/>
          <w:szCs w:val="24"/>
        </w:rPr>
        <w:t xml:space="preserve">ross Domestic Product (GDP) </w:t>
      </w:r>
      <w:r w:rsidR="000B1F7D" w:rsidRPr="00613ED4">
        <w:rPr>
          <w:sz w:val="24"/>
          <w:szCs w:val="24"/>
        </w:rPr>
        <w:t>figure to the end of August</w:t>
      </w:r>
      <w:r w:rsidR="00AC5065">
        <w:rPr>
          <w:sz w:val="24"/>
          <w:szCs w:val="24"/>
        </w:rPr>
        <w:t xml:space="preserve"> 20</w:t>
      </w:r>
      <w:r w:rsidR="000B1F7D" w:rsidRPr="00613ED4">
        <w:rPr>
          <w:sz w:val="24"/>
          <w:szCs w:val="24"/>
        </w:rPr>
        <w:t>23 showed an increase of 0.3%.</w:t>
      </w:r>
      <w:r w:rsidR="00AC5065">
        <w:rPr>
          <w:sz w:val="24"/>
          <w:szCs w:val="24"/>
        </w:rPr>
        <w:t xml:space="preserve"> </w:t>
      </w:r>
      <w:r w:rsidR="00FE453A" w:rsidRPr="00613ED4">
        <w:rPr>
          <w:sz w:val="24"/>
          <w:szCs w:val="24"/>
        </w:rPr>
        <w:t xml:space="preserve">GDP is </w:t>
      </w:r>
      <w:r w:rsidR="000B1F7D" w:rsidRPr="00613ED4">
        <w:rPr>
          <w:sz w:val="24"/>
          <w:szCs w:val="24"/>
        </w:rPr>
        <w:t>expected to remain around this level for the rest of 2023 and into 2024.</w:t>
      </w:r>
    </w:p>
    <w:p w14:paraId="227D55DF" w14:textId="77777777" w:rsidR="00FE453A" w:rsidRPr="00E05E60" w:rsidRDefault="00FE453A" w:rsidP="00FE453A">
      <w:pPr>
        <w:pStyle w:val="BodyTextIndent"/>
        <w:spacing w:after="0"/>
        <w:ind w:left="540"/>
        <w:rPr>
          <w:sz w:val="24"/>
          <w:szCs w:val="24"/>
        </w:rPr>
      </w:pPr>
    </w:p>
    <w:p w14:paraId="3D54216E" w14:textId="77777777" w:rsidR="0063018E" w:rsidRPr="00E05E60" w:rsidRDefault="0063018E" w:rsidP="0063018E">
      <w:pPr>
        <w:spacing w:line="259" w:lineRule="auto"/>
        <w:ind w:left="709"/>
        <w:rPr>
          <w:sz w:val="24"/>
          <w:szCs w:val="24"/>
        </w:rPr>
      </w:pPr>
    </w:p>
    <w:p w14:paraId="5F93557F" w14:textId="77777777" w:rsidR="00A549D1" w:rsidRPr="00E05E60" w:rsidRDefault="00A549D1" w:rsidP="0063018E">
      <w:pPr>
        <w:jc w:val="both"/>
        <w:rPr>
          <w:b/>
          <w:sz w:val="24"/>
          <w:szCs w:val="24"/>
        </w:rPr>
      </w:pPr>
      <w:r w:rsidRPr="00E05E60">
        <w:rPr>
          <w:b/>
          <w:sz w:val="24"/>
          <w:szCs w:val="24"/>
        </w:rPr>
        <w:t xml:space="preserve">SECTION </w:t>
      </w:r>
      <w:r w:rsidR="00A9355B" w:rsidRPr="00E05E60">
        <w:rPr>
          <w:b/>
          <w:sz w:val="24"/>
          <w:szCs w:val="24"/>
        </w:rPr>
        <w:t>3</w:t>
      </w:r>
      <w:r w:rsidRPr="00E05E60">
        <w:rPr>
          <w:b/>
          <w:sz w:val="24"/>
          <w:szCs w:val="24"/>
        </w:rPr>
        <w:t>:  ISSUES IMPACTING ON THE BUDGET</w:t>
      </w:r>
    </w:p>
    <w:p w14:paraId="3243CF7D" w14:textId="77777777" w:rsidR="00A549D1" w:rsidRPr="00E05E60" w:rsidRDefault="00A549D1" w:rsidP="0063018E">
      <w:pPr>
        <w:jc w:val="both"/>
        <w:rPr>
          <w:sz w:val="24"/>
          <w:szCs w:val="24"/>
        </w:rPr>
      </w:pPr>
    </w:p>
    <w:p w14:paraId="6E7BCCE4" w14:textId="77777777" w:rsidR="00E43F68" w:rsidRPr="00E05E60" w:rsidRDefault="00F77FF2" w:rsidP="00E43F68">
      <w:pPr>
        <w:jc w:val="both"/>
        <w:rPr>
          <w:b/>
          <w:sz w:val="24"/>
          <w:szCs w:val="24"/>
        </w:rPr>
      </w:pPr>
      <w:r w:rsidRPr="00E05E60">
        <w:rPr>
          <w:b/>
          <w:sz w:val="24"/>
          <w:szCs w:val="24"/>
        </w:rPr>
        <w:t>Co</w:t>
      </w:r>
      <w:r w:rsidR="00F55D7A" w:rsidRPr="00E05E60">
        <w:rPr>
          <w:b/>
          <w:sz w:val="24"/>
          <w:szCs w:val="24"/>
        </w:rPr>
        <w:t>mmunity</w:t>
      </w:r>
      <w:r w:rsidRPr="00E05E60">
        <w:rPr>
          <w:b/>
          <w:sz w:val="24"/>
          <w:szCs w:val="24"/>
        </w:rPr>
        <w:t xml:space="preserve"> Risk Management </w:t>
      </w:r>
      <w:r w:rsidR="00AC5065">
        <w:rPr>
          <w:b/>
          <w:sz w:val="24"/>
          <w:szCs w:val="24"/>
        </w:rPr>
        <w:t>Plan (CRMP)</w:t>
      </w:r>
      <w:r w:rsidRPr="00E05E60">
        <w:rPr>
          <w:b/>
          <w:sz w:val="24"/>
          <w:szCs w:val="24"/>
        </w:rPr>
        <w:t xml:space="preserve"> </w:t>
      </w:r>
    </w:p>
    <w:p w14:paraId="1E7048E8" w14:textId="77777777" w:rsidR="00E43F68" w:rsidRPr="00E05E60" w:rsidRDefault="00E43F68" w:rsidP="00E43F68">
      <w:pPr>
        <w:jc w:val="both"/>
        <w:rPr>
          <w:sz w:val="24"/>
          <w:szCs w:val="24"/>
        </w:rPr>
      </w:pPr>
    </w:p>
    <w:p w14:paraId="54A9AC58" w14:textId="77777777" w:rsidR="00E43F68" w:rsidRPr="00E05E60" w:rsidRDefault="00A9355B" w:rsidP="00E43F68">
      <w:pPr>
        <w:ind w:left="709" w:hanging="709"/>
        <w:rPr>
          <w:sz w:val="24"/>
          <w:szCs w:val="24"/>
        </w:rPr>
      </w:pPr>
      <w:r w:rsidRPr="00E05E60">
        <w:rPr>
          <w:sz w:val="24"/>
          <w:szCs w:val="24"/>
        </w:rPr>
        <w:t>3.</w:t>
      </w:r>
      <w:r w:rsidR="00A01413" w:rsidRPr="00E05E60">
        <w:rPr>
          <w:sz w:val="24"/>
          <w:szCs w:val="24"/>
        </w:rPr>
        <w:t>1</w:t>
      </w:r>
      <w:r w:rsidR="00E43F68" w:rsidRPr="00E05E60">
        <w:rPr>
          <w:sz w:val="24"/>
          <w:szCs w:val="24"/>
        </w:rPr>
        <w:tab/>
      </w:r>
      <w:r w:rsidR="00522253" w:rsidRPr="00B92694">
        <w:rPr>
          <w:sz w:val="24"/>
          <w:szCs w:val="24"/>
        </w:rPr>
        <w:t>T</w:t>
      </w:r>
      <w:r w:rsidR="00E43F68" w:rsidRPr="00B92694">
        <w:rPr>
          <w:sz w:val="24"/>
          <w:szCs w:val="24"/>
        </w:rPr>
        <w:t>he</w:t>
      </w:r>
      <w:r w:rsidR="00083C0C" w:rsidRPr="00B92694">
        <w:rPr>
          <w:sz w:val="24"/>
          <w:szCs w:val="24"/>
        </w:rPr>
        <w:t xml:space="preserve"> </w:t>
      </w:r>
      <w:r w:rsidR="00F55D7A" w:rsidRPr="00B92694">
        <w:rPr>
          <w:sz w:val="24"/>
          <w:szCs w:val="24"/>
        </w:rPr>
        <w:t xml:space="preserve">2022-2025 </w:t>
      </w:r>
      <w:r w:rsidR="00A97A08" w:rsidRPr="00B92694">
        <w:rPr>
          <w:sz w:val="24"/>
          <w:szCs w:val="24"/>
        </w:rPr>
        <w:t xml:space="preserve">CRMP </w:t>
      </w:r>
      <w:r w:rsidR="00F55D7A" w:rsidRPr="00B92694">
        <w:rPr>
          <w:sz w:val="24"/>
          <w:szCs w:val="24"/>
        </w:rPr>
        <w:t xml:space="preserve">was approved by </w:t>
      </w:r>
      <w:r w:rsidR="00AC5065">
        <w:rPr>
          <w:sz w:val="24"/>
          <w:szCs w:val="24"/>
        </w:rPr>
        <w:t xml:space="preserve">the </w:t>
      </w:r>
      <w:r w:rsidR="00F55D7A" w:rsidRPr="00B92694">
        <w:rPr>
          <w:sz w:val="24"/>
          <w:szCs w:val="24"/>
        </w:rPr>
        <w:t>Authority on 25 February 2022.  T</w:t>
      </w:r>
      <w:r w:rsidR="00886605" w:rsidRPr="00B92694">
        <w:rPr>
          <w:sz w:val="24"/>
          <w:szCs w:val="24"/>
        </w:rPr>
        <w:t xml:space="preserve">he </w:t>
      </w:r>
      <w:r w:rsidR="003F59CE" w:rsidRPr="00B92694">
        <w:rPr>
          <w:sz w:val="24"/>
          <w:szCs w:val="24"/>
        </w:rPr>
        <w:t xml:space="preserve">delivery of the </w:t>
      </w:r>
      <w:r w:rsidR="00F77FF2" w:rsidRPr="00B92694">
        <w:rPr>
          <w:sz w:val="24"/>
          <w:szCs w:val="24"/>
        </w:rPr>
        <w:t>CRMP</w:t>
      </w:r>
      <w:r w:rsidR="00886605" w:rsidRPr="00B92694">
        <w:rPr>
          <w:sz w:val="24"/>
          <w:szCs w:val="24"/>
        </w:rPr>
        <w:t xml:space="preserve"> </w:t>
      </w:r>
      <w:r w:rsidR="00F55D7A" w:rsidRPr="00B92694">
        <w:rPr>
          <w:sz w:val="24"/>
          <w:szCs w:val="24"/>
        </w:rPr>
        <w:t xml:space="preserve">is </w:t>
      </w:r>
      <w:r w:rsidR="003F59CE" w:rsidRPr="00B92694">
        <w:rPr>
          <w:sz w:val="24"/>
          <w:szCs w:val="24"/>
        </w:rPr>
        <w:t xml:space="preserve">linked closely to the MTFS </w:t>
      </w:r>
      <w:r w:rsidR="008214CD" w:rsidRPr="00B92694">
        <w:rPr>
          <w:sz w:val="24"/>
          <w:szCs w:val="24"/>
        </w:rPr>
        <w:t>to</w:t>
      </w:r>
      <w:r w:rsidR="003F59CE" w:rsidRPr="00B92694">
        <w:rPr>
          <w:sz w:val="24"/>
          <w:szCs w:val="24"/>
        </w:rPr>
        <w:t xml:space="preserve"> ensure that resources are matched to key workstreams.  The annual delivery plan, which sits behind the CRMP identifies priority areas where investment is needed.</w:t>
      </w:r>
      <w:r w:rsidR="008214CD" w:rsidRPr="00E05E60">
        <w:rPr>
          <w:sz w:val="24"/>
          <w:szCs w:val="24"/>
        </w:rPr>
        <w:t xml:space="preserve"> </w:t>
      </w:r>
    </w:p>
    <w:p w14:paraId="0C45916D" w14:textId="77777777" w:rsidR="00E43F68" w:rsidRPr="00E05E60" w:rsidRDefault="00E43F68" w:rsidP="00E43F68">
      <w:pPr>
        <w:jc w:val="both"/>
        <w:rPr>
          <w:sz w:val="24"/>
          <w:szCs w:val="24"/>
        </w:rPr>
      </w:pPr>
    </w:p>
    <w:p w14:paraId="63E8B3D3" w14:textId="77777777" w:rsidR="00F55D7A" w:rsidRPr="00E05E60" w:rsidRDefault="00A91AEA" w:rsidP="00F55D7A">
      <w:pPr>
        <w:tabs>
          <w:tab w:val="num" w:pos="709"/>
        </w:tabs>
        <w:ind w:left="709" w:hanging="709"/>
        <w:rPr>
          <w:b/>
          <w:sz w:val="24"/>
          <w:szCs w:val="24"/>
        </w:rPr>
      </w:pPr>
      <w:bookmarkStart w:id="2" w:name="_Hlk121233211"/>
      <w:r w:rsidRPr="00E05E60">
        <w:rPr>
          <w:b/>
          <w:sz w:val="24"/>
          <w:szCs w:val="24"/>
        </w:rPr>
        <w:t>Futures 25 Efficiency Strategy</w:t>
      </w:r>
    </w:p>
    <w:p w14:paraId="71478C74" w14:textId="77777777" w:rsidR="00F55D7A" w:rsidRPr="00E05E60" w:rsidRDefault="00F55D7A" w:rsidP="00F55D7A">
      <w:pPr>
        <w:pStyle w:val="Heading1"/>
        <w:ind w:left="709" w:hanging="709"/>
        <w:rPr>
          <w:rFonts w:ascii="Arial" w:hAnsi="Arial" w:cs="Arial"/>
          <w:b w:val="0"/>
          <w:sz w:val="24"/>
          <w:szCs w:val="24"/>
        </w:rPr>
      </w:pPr>
    </w:p>
    <w:p w14:paraId="60E42012" w14:textId="77777777" w:rsidR="00DF5BD7" w:rsidRPr="00B92694" w:rsidRDefault="00A01413" w:rsidP="00DF5BD7">
      <w:pPr>
        <w:ind w:left="709" w:hanging="709"/>
        <w:rPr>
          <w:sz w:val="24"/>
          <w:szCs w:val="24"/>
        </w:rPr>
      </w:pPr>
      <w:r w:rsidRPr="00E05E60">
        <w:rPr>
          <w:sz w:val="24"/>
          <w:szCs w:val="24"/>
        </w:rPr>
        <w:t>3.2</w:t>
      </w:r>
      <w:r w:rsidR="00F55D7A" w:rsidRPr="00E05E60">
        <w:rPr>
          <w:sz w:val="24"/>
          <w:szCs w:val="24"/>
        </w:rPr>
        <w:tab/>
      </w:r>
      <w:r w:rsidR="00DF5BD7" w:rsidRPr="00B92694">
        <w:rPr>
          <w:sz w:val="24"/>
          <w:szCs w:val="24"/>
        </w:rPr>
        <w:t xml:space="preserve">The </w:t>
      </w:r>
      <w:r w:rsidR="00AC5065">
        <w:rPr>
          <w:sz w:val="24"/>
          <w:szCs w:val="24"/>
        </w:rPr>
        <w:t>S</w:t>
      </w:r>
      <w:r w:rsidR="00DF5BD7" w:rsidRPr="00B92694">
        <w:rPr>
          <w:sz w:val="24"/>
          <w:szCs w:val="24"/>
        </w:rPr>
        <w:t>ervice identified £1.1m savings that were either reinvested in CRMP projects or helped towards reducing the deficit. This is well in excess of the 2% target set by the Home Office, although it is noted that these savings include pay related savings some of which are one-off in nature.</w:t>
      </w:r>
    </w:p>
    <w:p w14:paraId="2AAF3BF7" w14:textId="77777777" w:rsidR="00A01413" w:rsidRPr="00B92694" w:rsidRDefault="00A01413" w:rsidP="00F55D7A">
      <w:pPr>
        <w:ind w:left="709" w:hanging="709"/>
        <w:rPr>
          <w:sz w:val="24"/>
          <w:szCs w:val="24"/>
        </w:rPr>
      </w:pPr>
    </w:p>
    <w:p w14:paraId="1F9C3C03" w14:textId="77777777" w:rsidR="00DF5BD7" w:rsidRPr="00B92694" w:rsidRDefault="00A01413" w:rsidP="00DF5BD7">
      <w:pPr>
        <w:ind w:left="709" w:hanging="709"/>
        <w:rPr>
          <w:sz w:val="24"/>
          <w:szCs w:val="24"/>
        </w:rPr>
      </w:pPr>
      <w:r w:rsidRPr="00B92694">
        <w:rPr>
          <w:sz w:val="24"/>
          <w:szCs w:val="24"/>
        </w:rPr>
        <w:t>3.3</w:t>
      </w:r>
      <w:r w:rsidRPr="00B92694">
        <w:rPr>
          <w:sz w:val="24"/>
          <w:szCs w:val="24"/>
        </w:rPr>
        <w:tab/>
      </w:r>
      <w:r w:rsidR="00DF5BD7" w:rsidRPr="00B92694">
        <w:rPr>
          <w:sz w:val="24"/>
          <w:szCs w:val="24"/>
        </w:rPr>
        <w:t>Since the 2023/24 budget was approved</w:t>
      </w:r>
      <w:r w:rsidR="00AC5065">
        <w:rPr>
          <w:sz w:val="24"/>
          <w:szCs w:val="24"/>
        </w:rPr>
        <w:t>,</w:t>
      </w:r>
      <w:r w:rsidR="00DF5BD7" w:rsidRPr="00B92694">
        <w:rPr>
          <w:sz w:val="24"/>
          <w:szCs w:val="24"/>
        </w:rPr>
        <w:t xml:space="preserve"> there have been significant additional financial pressures on the Service (see Section 2 of the MTFS).  Revised inflation and pay award assumptions during the autumn </w:t>
      </w:r>
      <w:r w:rsidR="00EF725F">
        <w:rPr>
          <w:sz w:val="24"/>
          <w:szCs w:val="24"/>
        </w:rPr>
        <w:t xml:space="preserve">have </w:t>
      </w:r>
      <w:r w:rsidR="00DF5BD7" w:rsidRPr="00B92694">
        <w:rPr>
          <w:sz w:val="24"/>
          <w:szCs w:val="24"/>
        </w:rPr>
        <w:t xml:space="preserve">increased </w:t>
      </w:r>
      <w:r w:rsidR="00EF725F">
        <w:rPr>
          <w:sz w:val="24"/>
          <w:szCs w:val="24"/>
        </w:rPr>
        <w:t xml:space="preserve">the </w:t>
      </w:r>
      <w:r w:rsidR="00DF5BD7" w:rsidRPr="00B92694">
        <w:rPr>
          <w:sz w:val="24"/>
          <w:szCs w:val="24"/>
        </w:rPr>
        <w:t xml:space="preserve">amount of savings </w:t>
      </w:r>
      <w:r w:rsidR="00EF725F">
        <w:rPr>
          <w:sz w:val="24"/>
          <w:szCs w:val="24"/>
        </w:rPr>
        <w:t xml:space="preserve">required </w:t>
      </w:r>
      <w:r w:rsidR="00DF5BD7" w:rsidRPr="00B92694">
        <w:rPr>
          <w:sz w:val="24"/>
          <w:szCs w:val="24"/>
        </w:rPr>
        <w:t>from the efficiency strategy.</w:t>
      </w:r>
    </w:p>
    <w:p w14:paraId="47B70B4B" w14:textId="77777777" w:rsidR="00A01413" w:rsidRPr="00B92694" w:rsidRDefault="00A01413" w:rsidP="00F55D7A">
      <w:pPr>
        <w:ind w:left="709" w:hanging="709"/>
        <w:rPr>
          <w:sz w:val="24"/>
          <w:szCs w:val="24"/>
        </w:rPr>
      </w:pPr>
    </w:p>
    <w:p w14:paraId="54390BAB" w14:textId="77777777" w:rsidR="00DF5BD7" w:rsidRPr="00B92694" w:rsidRDefault="00A01413" w:rsidP="00DF5BD7">
      <w:pPr>
        <w:ind w:left="709" w:hanging="709"/>
        <w:rPr>
          <w:sz w:val="24"/>
          <w:szCs w:val="24"/>
        </w:rPr>
      </w:pPr>
      <w:r w:rsidRPr="00B92694">
        <w:rPr>
          <w:sz w:val="24"/>
          <w:szCs w:val="24"/>
        </w:rPr>
        <w:t>3.4</w:t>
      </w:r>
      <w:r w:rsidRPr="00B92694">
        <w:rPr>
          <w:sz w:val="24"/>
          <w:szCs w:val="24"/>
        </w:rPr>
        <w:tab/>
      </w:r>
      <w:r w:rsidR="00DF5BD7" w:rsidRPr="00B92694">
        <w:rPr>
          <w:sz w:val="24"/>
          <w:szCs w:val="24"/>
        </w:rPr>
        <w:t xml:space="preserve">The Futures 25 efficiency strategy was initially presented to Policy and Strategy Committee in May 2022 with a further report </w:t>
      </w:r>
      <w:r w:rsidR="00EF725F">
        <w:rPr>
          <w:sz w:val="24"/>
          <w:szCs w:val="24"/>
        </w:rPr>
        <w:t xml:space="preserve">to the </w:t>
      </w:r>
      <w:r w:rsidR="00DF5BD7" w:rsidRPr="00B92694">
        <w:rPr>
          <w:sz w:val="24"/>
          <w:szCs w:val="24"/>
        </w:rPr>
        <w:t>Authority in July 2023.  In its initial phase</w:t>
      </w:r>
      <w:r w:rsidR="00AC5065">
        <w:rPr>
          <w:sz w:val="24"/>
          <w:szCs w:val="24"/>
        </w:rPr>
        <w:t>,</w:t>
      </w:r>
      <w:r w:rsidR="00DF5BD7" w:rsidRPr="00B92694">
        <w:rPr>
          <w:sz w:val="24"/>
          <w:szCs w:val="24"/>
        </w:rPr>
        <w:t xml:space="preserve"> the Workforce Review identified £144k of savings through the disestablishment of support staff posts across several departments</w:t>
      </w:r>
      <w:r w:rsidR="00EF725F">
        <w:rPr>
          <w:sz w:val="24"/>
          <w:szCs w:val="24"/>
        </w:rPr>
        <w:t>, made possible by</w:t>
      </w:r>
      <w:r w:rsidR="008D2E11">
        <w:rPr>
          <w:sz w:val="24"/>
          <w:szCs w:val="24"/>
        </w:rPr>
        <w:t xml:space="preserve"> </w:t>
      </w:r>
      <w:r w:rsidR="00DF5BD7" w:rsidRPr="00B92694">
        <w:rPr>
          <w:sz w:val="24"/>
          <w:szCs w:val="24"/>
        </w:rPr>
        <w:t>the consolidation of primary management grade posts.</w:t>
      </w:r>
    </w:p>
    <w:p w14:paraId="2B818DA4" w14:textId="77777777" w:rsidR="00644CC0" w:rsidRPr="00B92694" w:rsidRDefault="00644CC0" w:rsidP="00F55D7A">
      <w:pPr>
        <w:ind w:left="709" w:hanging="709"/>
        <w:rPr>
          <w:sz w:val="24"/>
          <w:szCs w:val="24"/>
        </w:rPr>
      </w:pPr>
    </w:p>
    <w:p w14:paraId="2423A359" w14:textId="77777777" w:rsidR="00644CC0" w:rsidRPr="00B92694" w:rsidRDefault="00644CC0" w:rsidP="00F55D7A">
      <w:pPr>
        <w:ind w:left="709" w:hanging="709"/>
        <w:rPr>
          <w:sz w:val="24"/>
          <w:szCs w:val="24"/>
        </w:rPr>
      </w:pPr>
    </w:p>
    <w:p w14:paraId="063E4DD9" w14:textId="77777777" w:rsidR="00DF5BD7" w:rsidRPr="00B92694" w:rsidRDefault="007F52EB" w:rsidP="00DF5BD7">
      <w:pPr>
        <w:ind w:left="709" w:hanging="709"/>
        <w:rPr>
          <w:sz w:val="24"/>
          <w:szCs w:val="24"/>
        </w:rPr>
      </w:pPr>
      <w:r w:rsidRPr="00B92694">
        <w:rPr>
          <w:sz w:val="24"/>
          <w:szCs w:val="24"/>
        </w:rPr>
        <w:lastRenderedPageBreak/>
        <w:t>3.5</w:t>
      </w:r>
      <w:r w:rsidRPr="00B92694">
        <w:rPr>
          <w:sz w:val="24"/>
          <w:szCs w:val="24"/>
        </w:rPr>
        <w:tab/>
      </w:r>
      <w:r w:rsidR="00DF5BD7" w:rsidRPr="00B92694">
        <w:rPr>
          <w:sz w:val="24"/>
          <w:szCs w:val="24"/>
        </w:rPr>
        <w:t>The Workforce Review has identified that a wider change and improvement programme is required.  This will include structural redesign and business process improvement to maximise the efficiency and effectiveness of the Service.  This is a significant piece of work and is expected to be completed during 2024/25.</w:t>
      </w:r>
    </w:p>
    <w:p w14:paraId="1F3D405F" w14:textId="77777777" w:rsidR="00644CC0" w:rsidRPr="00B92694" w:rsidRDefault="00644CC0" w:rsidP="00F55D7A">
      <w:pPr>
        <w:ind w:left="709" w:hanging="709"/>
        <w:rPr>
          <w:sz w:val="24"/>
          <w:szCs w:val="24"/>
        </w:rPr>
      </w:pPr>
    </w:p>
    <w:p w14:paraId="0BDB3B61" w14:textId="77777777" w:rsidR="00DF5BD7" w:rsidRPr="00B92694" w:rsidRDefault="007F52EB" w:rsidP="00DF5BD7">
      <w:pPr>
        <w:ind w:left="709" w:hanging="709"/>
        <w:rPr>
          <w:sz w:val="24"/>
          <w:szCs w:val="24"/>
        </w:rPr>
      </w:pPr>
      <w:r w:rsidRPr="00B92694">
        <w:rPr>
          <w:sz w:val="24"/>
          <w:szCs w:val="24"/>
        </w:rPr>
        <w:t>3.6</w:t>
      </w:r>
      <w:r w:rsidRPr="00B92694">
        <w:rPr>
          <w:sz w:val="24"/>
          <w:szCs w:val="24"/>
        </w:rPr>
        <w:tab/>
      </w:r>
      <w:r w:rsidR="00DF5BD7" w:rsidRPr="00B92694">
        <w:rPr>
          <w:sz w:val="24"/>
          <w:szCs w:val="24"/>
        </w:rPr>
        <w:t xml:space="preserve">The Flexi Officer Review set out to review the Flexi Officer Collective Agreement to ensure that the command group structures were efficient and provided the levels of resilience of specialist functions required to mitigate operational risk. On commencing the </w:t>
      </w:r>
      <w:r w:rsidR="008A7D13" w:rsidRPr="00B92694">
        <w:rPr>
          <w:sz w:val="24"/>
          <w:szCs w:val="24"/>
        </w:rPr>
        <w:t>review,</w:t>
      </w:r>
      <w:r w:rsidR="00DF5BD7" w:rsidRPr="00B92694">
        <w:rPr>
          <w:sz w:val="24"/>
          <w:szCs w:val="24"/>
        </w:rPr>
        <w:t xml:space="preserve"> it became clear that competing priorities including fire cover review and industrial action preparation, meant there was insufficient capacity</w:t>
      </w:r>
      <w:r w:rsidR="00EF725F">
        <w:rPr>
          <w:sz w:val="24"/>
          <w:szCs w:val="24"/>
        </w:rPr>
        <w:t xml:space="preserve"> </w:t>
      </w:r>
      <w:r w:rsidR="00DF5BD7" w:rsidRPr="00B92694">
        <w:rPr>
          <w:sz w:val="24"/>
          <w:szCs w:val="24"/>
        </w:rPr>
        <w:t xml:space="preserve">to deliver the changes required. This workstream has therefore been paused </w:t>
      </w:r>
      <w:r w:rsidR="00EF725F">
        <w:rPr>
          <w:sz w:val="24"/>
          <w:szCs w:val="24"/>
        </w:rPr>
        <w:t>and will</w:t>
      </w:r>
      <w:r w:rsidR="00DF5BD7" w:rsidRPr="00B92694">
        <w:rPr>
          <w:sz w:val="24"/>
          <w:szCs w:val="24"/>
        </w:rPr>
        <w:t xml:space="preserve"> be restarted at a future date.</w:t>
      </w:r>
    </w:p>
    <w:p w14:paraId="7481BAEC" w14:textId="77777777" w:rsidR="00DF5BD7" w:rsidRPr="00B92694" w:rsidRDefault="00DF5BD7" w:rsidP="00DF5BD7">
      <w:pPr>
        <w:ind w:left="709" w:hanging="709"/>
        <w:rPr>
          <w:sz w:val="24"/>
          <w:szCs w:val="24"/>
        </w:rPr>
      </w:pPr>
    </w:p>
    <w:p w14:paraId="2FECE2E7" w14:textId="77777777" w:rsidR="00DF5BD7" w:rsidRPr="00B92694" w:rsidRDefault="00DF5BD7" w:rsidP="00DF5BD7">
      <w:pPr>
        <w:ind w:left="709" w:hanging="709"/>
        <w:rPr>
          <w:sz w:val="24"/>
          <w:szCs w:val="24"/>
        </w:rPr>
      </w:pPr>
      <w:r w:rsidRPr="00B92694">
        <w:rPr>
          <w:sz w:val="24"/>
          <w:szCs w:val="24"/>
        </w:rPr>
        <w:t>3.7</w:t>
      </w:r>
      <w:r w:rsidRPr="00B92694">
        <w:rPr>
          <w:sz w:val="24"/>
          <w:szCs w:val="24"/>
        </w:rPr>
        <w:tab/>
        <w:t xml:space="preserve">Futures 25 aims to co-ordinate a number of </w:t>
      </w:r>
      <w:r w:rsidR="008A7D13" w:rsidRPr="00B92694">
        <w:rPr>
          <w:sz w:val="24"/>
          <w:szCs w:val="24"/>
        </w:rPr>
        <w:t>improvement</w:t>
      </w:r>
      <w:r w:rsidRPr="00B92694">
        <w:rPr>
          <w:sz w:val="24"/>
          <w:szCs w:val="24"/>
        </w:rPr>
        <w:t xml:space="preserve"> workstreams designed to support the Service to become outstanding by 2032. This includes continuing</w:t>
      </w:r>
      <w:r w:rsidR="00EF725F">
        <w:rPr>
          <w:sz w:val="24"/>
          <w:szCs w:val="24"/>
        </w:rPr>
        <w:t xml:space="preserve"> </w:t>
      </w:r>
      <w:r w:rsidRPr="00B92694">
        <w:rPr>
          <w:sz w:val="24"/>
          <w:szCs w:val="24"/>
        </w:rPr>
        <w:t xml:space="preserve">to drive productivity and efficiency </w:t>
      </w:r>
      <w:r w:rsidR="00EF725F">
        <w:rPr>
          <w:sz w:val="24"/>
          <w:szCs w:val="24"/>
        </w:rPr>
        <w:t>throughout the Service.</w:t>
      </w:r>
    </w:p>
    <w:p w14:paraId="2DC97270" w14:textId="77777777" w:rsidR="00A01413" w:rsidRPr="00B92694" w:rsidRDefault="00A01413" w:rsidP="00F55D7A">
      <w:pPr>
        <w:ind w:left="709" w:hanging="709"/>
        <w:rPr>
          <w:sz w:val="24"/>
          <w:szCs w:val="24"/>
        </w:rPr>
      </w:pPr>
    </w:p>
    <w:p w14:paraId="24380735" w14:textId="77777777" w:rsidR="00DF5BD7" w:rsidRPr="00B92694" w:rsidRDefault="00DF5BD7" w:rsidP="00DF5BD7">
      <w:pPr>
        <w:ind w:left="709" w:hanging="709"/>
        <w:rPr>
          <w:sz w:val="24"/>
          <w:szCs w:val="24"/>
        </w:rPr>
      </w:pPr>
      <w:r w:rsidRPr="00B92694">
        <w:rPr>
          <w:sz w:val="24"/>
          <w:szCs w:val="24"/>
        </w:rPr>
        <w:t>3.8</w:t>
      </w:r>
      <w:r w:rsidRPr="00B92694">
        <w:rPr>
          <w:sz w:val="24"/>
          <w:szCs w:val="24"/>
        </w:rPr>
        <w:tab/>
        <w:t xml:space="preserve">As </w:t>
      </w:r>
      <w:r w:rsidR="00EF725F">
        <w:rPr>
          <w:sz w:val="24"/>
          <w:szCs w:val="24"/>
        </w:rPr>
        <w:t xml:space="preserve">the </w:t>
      </w:r>
      <w:r w:rsidRPr="00B92694">
        <w:rPr>
          <w:sz w:val="24"/>
          <w:szCs w:val="24"/>
        </w:rPr>
        <w:t xml:space="preserve">scoping of the Futures 25 programme has developed, it has become clear that the delivery of national priorities relating to culture, values, EDI and leadership in the fire and rescue service, are an integral part of the improvement journey. For this </w:t>
      </w:r>
      <w:r w:rsidR="008A7D13" w:rsidRPr="00B92694">
        <w:rPr>
          <w:sz w:val="24"/>
          <w:szCs w:val="24"/>
        </w:rPr>
        <w:t>reason,</w:t>
      </w:r>
      <w:r w:rsidRPr="00B92694">
        <w:rPr>
          <w:sz w:val="24"/>
          <w:szCs w:val="24"/>
        </w:rPr>
        <w:t xml:space="preserve"> these workstreams have been b</w:t>
      </w:r>
      <w:r w:rsidR="00EF725F">
        <w:rPr>
          <w:sz w:val="24"/>
          <w:szCs w:val="24"/>
        </w:rPr>
        <w:t>r</w:t>
      </w:r>
      <w:r w:rsidRPr="00B92694">
        <w:rPr>
          <w:sz w:val="24"/>
          <w:szCs w:val="24"/>
        </w:rPr>
        <w:t xml:space="preserve">ought within the </w:t>
      </w:r>
      <w:r w:rsidR="00EF725F">
        <w:rPr>
          <w:sz w:val="24"/>
          <w:szCs w:val="24"/>
        </w:rPr>
        <w:t xml:space="preserve">scope of </w:t>
      </w:r>
      <w:r w:rsidRPr="00B92694">
        <w:rPr>
          <w:sz w:val="24"/>
          <w:szCs w:val="24"/>
        </w:rPr>
        <w:t>Futures 25 to ensure delivery of the People Strategy relating to these areas is prioritised and resourced appropriately.</w:t>
      </w:r>
    </w:p>
    <w:p w14:paraId="147951E6" w14:textId="77777777" w:rsidR="00DF5BD7" w:rsidRPr="00B92694" w:rsidRDefault="00DF5BD7" w:rsidP="00DF5BD7">
      <w:pPr>
        <w:ind w:left="709" w:hanging="709"/>
        <w:rPr>
          <w:sz w:val="24"/>
          <w:szCs w:val="24"/>
        </w:rPr>
      </w:pPr>
    </w:p>
    <w:p w14:paraId="0D47AFA3" w14:textId="77777777" w:rsidR="00DF5BD7" w:rsidRPr="00B92694" w:rsidRDefault="00DF5BD7" w:rsidP="00DF5BD7">
      <w:pPr>
        <w:pStyle w:val="ListParagraph"/>
        <w:ind w:hanging="709"/>
        <w:rPr>
          <w:sz w:val="24"/>
          <w:szCs w:val="24"/>
        </w:rPr>
      </w:pPr>
      <w:r w:rsidRPr="00B92694">
        <w:rPr>
          <w:sz w:val="24"/>
          <w:szCs w:val="24"/>
        </w:rPr>
        <w:t>3.9</w:t>
      </w:r>
      <w:r w:rsidRPr="00B92694">
        <w:rPr>
          <w:sz w:val="24"/>
          <w:szCs w:val="24"/>
        </w:rPr>
        <w:tab/>
        <w:t>The Service had already identified the requirement to deliver efficiencies to ensure that the Authority was in a position to set a balanced budget for 202</w:t>
      </w:r>
      <w:r w:rsidR="00F23665">
        <w:rPr>
          <w:sz w:val="24"/>
          <w:szCs w:val="24"/>
        </w:rPr>
        <w:t>4</w:t>
      </w:r>
      <w:r w:rsidRPr="00B92694">
        <w:rPr>
          <w:sz w:val="24"/>
          <w:szCs w:val="24"/>
        </w:rPr>
        <w:t>/2</w:t>
      </w:r>
      <w:r w:rsidR="00F23665">
        <w:rPr>
          <w:sz w:val="24"/>
          <w:szCs w:val="24"/>
        </w:rPr>
        <w:t>5</w:t>
      </w:r>
      <w:r w:rsidR="00EF725F">
        <w:rPr>
          <w:sz w:val="24"/>
          <w:szCs w:val="24"/>
        </w:rPr>
        <w:t>,</w:t>
      </w:r>
      <w:r w:rsidRPr="00B92694">
        <w:rPr>
          <w:sz w:val="24"/>
          <w:szCs w:val="24"/>
        </w:rPr>
        <w:t xml:space="preserve"> together with ensuring the longer-term sustainability of the Service through more efficient and effective systems, processes and ways of working. The Futures 25 improvement programme remains the vehicle through which these efficiency and productivity improvements will be delivered.</w:t>
      </w:r>
    </w:p>
    <w:p w14:paraId="1229B3D8" w14:textId="77777777" w:rsidR="00B20F4C" w:rsidRPr="00E05E60" w:rsidRDefault="00B20F4C" w:rsidP="00F55D7A">
      <w:pPr>
        <w:tabs>
          <w:tab w:val="num" w:pos="709"/>
        </w:tabs>
        <w:ind w:left="709" w:hanging="709"/>
        <w:rPr>
          <w:sz w:val="24"/>
          <w:szCs w:val="24"/>
        </w:rPr>
      </w:pPr>
    </w:p>
    <w:bookmarkEnd w:id="2"/>
    <w:p w14:paraId="64E51EB6" w14:textId="77777777" w:rsidR="00694DD5" w:rsidRPr="00E05E60" w:rsidRDefault="00694DD5" w:rsidP="00694DD5">
      <w:pPr>
        <w:tabs>
          <w:tab w:val="num" w:pos="709"/>
        </w:tabs>
        <w:ind w:left="709" w:hanging="709"/>
        <w:rPr>
          <w:b/>
          <w:bCs/>
          <w:sz w:val="24"/>
          <w:szCs w:val="24"/>
        </w:rPr>
      </w:pPr>
      <w:r w:rsidRPr="00E05E60">
        <w:rPr>
          <w:b/>
          <w:bCs/>
          <w:sz w:val="24"/>
          <w:szCs w:val="24"/>
        </w:rPr>
        <w:t>CORPORATE RISK REGISTER</w:t>
      </w:r>
    </w:p>
    <w:p w14:paraId="44D823A1" w14:textId="77777777" w:rsidR="00694DD5" w:rsidRPr="00E05E60" w:rsidRDefault="00694DD5" w:rsidP="00694DD5">
      <w:pPr>
        <w:tabs>
          <w:tab w:val="num" w:pos="709"/>
        </w:tabs>
        <w:ind w:left="709" w:hanging="709"/>
        <w:rPr>
          <w:sz w:val="24"/>
          <w:szCs w:val="24"/>
        </w:rPr>
      </w:pPr>
    </w:p>
    <w:p w14:paraId="32DBA677" w14:textId="77777777" w:rsidR="00694DD5" w:rsidRPr="00B92694" w:rsidRDefault="00E05E60" w:rsidP="00694DD5">
      <w:pPr>
        <w:tabs>
          <w:tab w:val="num" w:pos="709"/>
        </w:tabs>
        <w:ind w:left="709" w:hanging="709"/>
        <w:rPr>
          <w:sz w:val="24"/>
          <w:szCs w:val="24"/>
        </w:rPr>
      </w:pPr>
      <w:r w:rsidRPr="00B92694">
        <w:rPr>
          <w:sz w:val="24"/>
          <w:szCs w:val="24"/>
        </w:rPr>
        <w:t>3.</w:t>
      </w:r>
      <w:r w:rsidR="00BC4CC4" w:rsidRPr="00B92694">
        <w:rPr>
          <w:sz w:val="24"/>
          <w:szCs w:val="24"/>
        </w:rPr>
        <w:t>10</w:t>
      </w:r>
      <w:r w:rsidR="00BC4CC4" w:rsidRPr="00B92694">
        <w:rPr>
          <w:sz w:val="24"/>
          <w:szCs w:val="24"/>
        </w:rPr>
        <w:tab/>
      </w:r>
      <w:r w:rsidR="00694DD5" w:rsidRPr="00B92694">
        <w:rPr>
          <w:sz w:val="24"/>
          <w:szCs w:val="24"/>
        </w:rPr>
        <w:t xml:space="preserve">The corporate risk register is reported to the Finance and Resources Committee on a </w:t>
      </w:r>
      <w:r w:rsidR="00AC5065">
        <w:rPr>
          <w:sz w:val="24"/>
          <w:szCs w:val="24"/>
        </w:rPr>
        <w:t>six</w:t>
      </w:r>
      <w:r w:rsidR="00694DD5" w:rsidRPr="00B92694">
        <w:rPr>
          <w:sz w:val="24"/>
          <w:szCs w:val="24"/>
        </w:rPr>
        <w:t xml:space="preserve"> monthly basis</w:t>
      </w:r>
      <w:r w:rsidR="00AC5065">
        <w:rPr>
          <w:sz w:val="24"/>
          <w:szCs w:val="24"/>
        </w:rPr>
        <w:t>.</w:t>
      </w:r>
      <w:r w:rsidR="00694DD5" w:rsidRPr="00B92694">
        <w:rPr>
          <w:sz w:val="24"/>
          <w:szCs w:val="24"/>
        </w:rPr>
        <w:t xml:space="preserve"> The five highest risks facing the Authority at present are:</w:t>
      </w:r>
    </w:p>
    <w:p w14:paraId="2F8DE7F1" w14:textId="77777777" w:rsidR="00694DD5" w:rsidRPr="00B92694" w:rsidRDefault="00694DD5" w:rsidP="00694DD5">
      <w:pPr>
        <w:tabs>
          <w:tab w:val="num" w:pos="709"/>
        </w:tabs>
        <w:ind w:left="709" w:hanging="709"/>
        <w:rPr>
          <w:sz w:val="24"/>
          <w:szCs w:val="24"/>
        </w:rPr>
      </w:pPr>
    </w:p>
    <w:p w14:paraId="7207D1AE" w14:textId="77777777" w:rsidR="00694DD5" w:rsidRPr="00B92694" w:rsidRDefault="00694DD5" w:rsidP="00E05E60">
      <w:pPr>
        <w:numPr>
          <w:ilvl w:val="0"/>
          <w:numId w:val="33"/>
        </w:numPr>
        <w:ind w:left="1134" w:hanging="425"/>
        <w:rPr>
          <w:sz w:val="24"/>
          <w:szCs w:val="24"/>
        </w:rPr>
      </w:pPr>
      <w:r w:rsidRPr="00B92694">
        <w:rPr>
          <w:sz w:val="24"/>
          <w:szCs w:val="24"/>
        </w:rPr>
        <w:t>Mobilising – procurement of new mobilising system</w:t>
      </w:r>
    </w:p>
    <w:p w14:paraId="3103E4D7" w14:textId="77777777" w:rsidR="00694DD5" w:rsidRPr="00B92694" w:rsidRDefault="00694DD5" w:rsidP="00E05E60">
      <w:pPr>
        <w:numPr>
          <w:ilvl w:val="0"/>
          <w:numId w:val="33"/>
        </w:numPr>
        <w:ind w:left="1134" w:hanging="425"/>
        <w:rPr>
          <w:sz w:val="24"/>
          <w:szCs w:val="24"/>
        </w:rPr>
      </w:pPr>
      <w:r w:rsidRPr="00B92694">
        <w:rPr>
          <w:sz w:val="24"/>
          <w:szCs w:val="24"/>
        </w:rPr>
        <w:t xml:space="preserve">Inability to set a balanced budget in current economic </w:t>
      </w:r>
      <w:r w:rsidR="008A7D13" w:rsidRPr="00B92694">
        <w:rPr>
          <w:sz w:val="24"/>
          <w:szCs w:val="24"/>
        </w:rPr>
        <w:t>climate.</w:t>
      </w:r>
    </w:p>
    <w:p w14:paraId="7D6EE3D8" w14:textId="77777777" w:rsidR="00694DD5" w:rsidRPr="00B92694" w:rsidRDefault="00694DD5" w:rsidP="00E05E60">
      <w:pPr>
        <w:numPr>
          <w:ilvl w:val="0"/>
          <w:numId w:val="33"/>
        </w:numPr>
        <w:ind w:left="1134" w:hanging="425"/>
        <w:rPr>
          <w:sz w:val="24"/>
          <w:szCs w:val="24"/>
        </w:rPr>
      </w:pPr>
      <w:r w:rsidRPr="00B92694">
        <w:rPr>
          <w:sz w:val="24"/>
          <w:szCs w:val="24"/>
        </w:rPr>
        <w:t>Firefighters Pension Scheme – impact of and uncertainty around ongoing national legal cases</w:t>
      </w:r>
    </w:p>
    <w:p w14:paraId="2227CA36" w14:textId="77777777" w:rsidR="00957424" w:rsidRPr="00B92694" w:rsidRDefault="00957424" w:rsidP="00E05E60">
      <w:pPr>
        <w:numPr>
          <w:ilvl w:val="0"/>
          <w:numId w:val="33"/>
        </w:numPr>
        <w:ind w:left="1134" w:hanging="425"/>
        <w:rPr>
          <w:sz w:val="24"/>
          <w:szCs w:val="24"/>
        </w:rPr>
      </w:pPr>
      <w:r w:rsidRPr="00B92694">
        <w:rPr>
          <w:sz w:val="24"/>
          <w:szCs w:val="24"/>
        </w:rPr>
        <w:t>Service Reputation – risk that the public will lose confidence in their fire service through national media reporting on issues such as HMICFRS findings and the London Fire Brigade cultural review.</w:t>
      </w:r>
    </w:p>
    <w:p w14:paraId="6B852D17" w14:textId="77777777" w:rsidR="00694DD5" w:rsidRPr="00B92694" w:rsidRDefault="00957424" w:rsidP="00E05E60">
      <w:pPr>
        <w:numPr>
          <w:ilvl w:val="0"/>
          <w:numId w:val="33"/>
        </w:numPr>
        <w:ind w:left="1134" w:hanging="425"/>
        <w:rPr>
          <w:sz w:val="24"/>
          <w:szCs w:val="24"/>
        </w:rPr>
      </w:pPr>
      <w:r w:rsidRPr="00B92694">
        <w:rPr>
          <w:sz w:val="24"/>
          <w:szCs w:val="24"/>
        </w:rPr>
        <w:t>Preventable Deaths – that a person will die in an incident that may have been preventable</w:t>
      </w:r>
      <w:r w:rsidR="00694DD5" w:rsidRPr="00B92694">
        <w:rPr>
          <w:sz w:val="24"/>
          <w:szCs w:val="24"/>
        </w:rPr>
        <w:t>.</w:t>
      </w:r>
    </w:p>
    <w:p w14:paraId="6F1FC363" w14:textId="77777777" w:rsidR="00694DD5" w:rsidRPr="00B92694" w:rsidRDefault="00694DD5" w:rsidP="00694DD5">
      <w:pPr>
        <w:tabs>
          <w:tab w:val="num" w:pos="709"/>
        </w:tabs>
        <w:ind w:left="709" w:hanging="709"/>
        <w:rPr>
          <w:sz w:val="24"/>
          <w:szCs w:val="24"/>
        </w:rPr>
      </w:pPr>
    </w:p>
    <w:p w14:paraId="3097ACDE" w14:textId="77777777" w:rsidR="00694DD5" w:rsidRPr="00E05E60" w:rsidRDefault="00E05E60" w:rsidP="00694DD5">
      <w:pPr>
        <w:tabs>
          <w:tab w:val="num" w:pos="709"/>
        </w:tabs>
        <w:ind w:left="709" w:hanging="709"/>
        <w:rPr>
          <w:sz w:val="24"/>
          <w:szCs w:val="24"/>
        </w:rPr>
      </w:pPr>
      <w:r w:rsidRPr="00B92694">
        <w:rPr>
          <w:sz w:val="24"/>
          <w:szCs w:val="24"/>
        </w:rPr>
        <w:t>3.</w:t>
      </w:r>
      <w:r w:rsidR="00673F95">
        <w:rPr>
          <w:sz w:val="24"/>
          <w:szCs w:val="24"/>
        </w:rPr>
        <w:t>11</w:t>
      </w:r>
      <w:r w:rsidRPr="00B92694">
        <w:rPr>
          <w:sz w:val="24"/>
          <w:szCs w:val="24"/>
        </w:rPr>
        <w:tab/>
      </w:r>
      <w:r w:rsidR="00694DD5" w:rsidRPr="00B92694">
        <w:rPr>
          <w:sz w:val="24"/>
          <w:szCs w:val="24"/>
        </w:rPr>
        <w:t>The financial implications of these risks have been addressed in both the capital and revenue proposed budgets and in the Reserves Strategy.</w:t>
      </w:r>
      <w:r w:rsidR="00694DD5" w:rsidRPr="00E05E60">
        <w:rPr>
          <w:sz w:val="24"/>
          <w:szCs w:val="24"/>
        </w:rPr>
        <w:t xml:space="preserve"> </w:t>
      </w:r>
    </w:p>
    <w:p w14:paraId="45CF9CE3" w14:textId="77777777" w:rsidR="00694DD5" w:rsidRPr="00E05E60" w:rsidRDefault="00694DD5" w:rsidP="00F55D7A">
      <w:pPr>
        <w:tabs>
          <w:tab w:val="num" w:pos="709"/>
        </w:tabs>
        <w:ind w:left="709" w:hanging="709"/>
        <w:rPr>
          <w:sz w:val="24"/>
          <w:szCs w:val="24"/>
        </w:rPr>
      </w:pPr>
    </w:p>
    <w:p w14:paraId="48C27AF1" w14:textId="77777777" w:rsidR="00443114" w:rsidRPr="00E05E60" w:rsidRDefault="00443114" w:rsidP="00C4466A">
      <w:pPr>
        <w:ind w:left="709" w:hanging="709"/>
        <w:jc w:val="both"/>
        <w:rPr>
          <w:sz w:val="24"/>
          <w:szCs w:val="24"/>
        </w:rPr>
      </w:pPr>
    </w:p>
    <w:p w14:paraId="67F35E84" w14:textId="77777777" w:rsidR="00490686" w:rsidRPr="00E05E60" w:rsidRDefault="00AC5065" w:rsidP="00490686">
      <w:pPr>
        <w:rPr>
          <w:b/>
          <w:sz w:val="24"/>
          <w:szCs w:val="24"/>
        </w:rPr>
      </w:pPr>
      <w:r>
        <w:rPr>
          <w:b/>
          <w:sz w:val="24"/>
          <w:szCs w:val="24"/>
        </w:rPr>
        <w:br w:type="page"/>
      </w:r>
      <w:r w:rsidR="00490686" w:rsidRPr="00E05E60">
        <w:rPr>
          <w:b/>
          <w:sz w:val="24"/>
          <w:szCs w:val="24"/>
        </w:rPr>
        <w:lastRenderedPageBreak/>
        <w:t>HMICFRS INSPECTION</w:t>
      </w:r>
    </w:p>
    <w:p w14:paraId="7E7DEE87" w14:textId="77777777" w:rsidR="00490686" w:rsidRPr="00E05E60" w:rsidRDefault="00490686" w:rsidP="00490686">
      <w:pPr>
        <w:rPr>
          <w:b/>
          <w:sz w:val="24"/>
          <w:szCs w:val="24"/>
        </w:rPr>
      </w:pPr>
    </w:p>
    <w:p w14:paraId="4034A58F" w14:textId="77777777" w:rsidR="0073225D" w:rsidRPr="00B92694" w:rsidRDefault="00A9355B" w:rsidP="00490686">
      <w:pPr>
        <w:ind w:left="709" w:hanging="709"/>
        <w:rPr>
          <w:sz w:val="24"/>
          <w:szCs w:val="24"/>
        </w:rPr>
      </w:pPr>
      <w:r w:rsidRPr="00B92694">
        <w:rPr>
          <w:sz w:val="24"/>
          <w:szCs w:val="24"/>
        </w:rPr>
        <w:t>3.</w:t>
      </w:r>
      <w:r w:rsidR="00673F95">
        <w:rPr>
          <w:sz w:val="24"/>
          <w:szCs w:val="24"/>
        </w:rPr>
        <w:t xml:space="preserve">12 </w:t>
      </w:r>
      <w:r w:rsidR="00673F95">
        <w:rPr>
          <w:sz w:val="24"/>
          <w:szCs w:val="24"/>
        </w:rPr>
        <w:tab/>
      </w:r>
      <w:r w:rsidR="00490686" w:rsidRPr="00B92694">
        <w:rPr>
          <w:sz w:val="24"/>
          <w:szCs w:val="24"/>
        </w:rPr>
        <w:t xml:space="preserve">The Service </w:t>
      </w:r>
      <w:r w:rsidR="00F55D7A" w:rsidRPr="00B92694">
        <w:rPr>
          <w:sz w:val="24"/>
          <w:szCs w:val="24"/>
        </w:rPr>
        <w:t>received its second</w:t>
      </w:r>
      <w:r w:rsidR="00490686" w:rsidRPr="00B92694">
        <w:rPr>
          <w:sz w:val="24"/>
          <w:szCs w:val="24"/>
        </w:rPr>
        <w:t xml:space="preserve"> inspect</w:t>
      </w:r>
      <w:r w:rsidR="00F55D7A" w:rsidRPr="00B92694">
        <w:rPr>
          <w:sz w:val="24"/>
          <w:szCs w:val="24"/>
        </w:rPr>
        <w:t>ion</w:t>
      </w:r>
      <w:r w:rsidR="00490686" w:rsidRPr="00B92694">
        <w:rPr>
          <w:sz w:val="24"/>
          <w:szCs w:val="24"/>
        </w:rPr>
        <w:t xml:space="preserve"> </w:t>
      </w:r>
      <w:r w:rsidR="00F55D7A" w:rsidRPr="00B92694">
        <w:rPr>
          <w:sz w:val="24"/>
          <w:szCs w:val="24"/>
        </w:rPr>
        <w:t>from</w:t>
      </w:r>
      <w:r w:rsidR="00490686" w:rsidRPr="00B92694">
        <w:rPr>
          <w:sz w:val="24"/>
          <w:szCs w:val="24"/>
        </w:rPr>
        <w:t xml:space="preserve"> </w:t>
      </w:r>
      <w:r w:rsidR="00AC5065">
        <w:rPr>
          <w:sz w:val="24"/>
          <w:szCs w:val="24"/>
        </w:rPr>
        <w:t>HMICFRS</w:t>
      </w:r>
      <w:r w:rsidR="00490686" w:rsidRPr="00B92694">
        <w:rPr>
          <w:sz w:val="24"/>
          <w:szCs w:val="24"/>
        </w:rPr>
        <w:t xml:space="preserve"> in </w:t>
      </w:r>
      <w:r w:rsidR="00727561" w:rsidRPr="00B92694">
        <w:rPr>
          <w:sz w:val="24"/>
          <w:szCs w:val="24"/>
        </w:rPr>
        <w:t>October 2021</w:t>
      </w:r>
      <w:r w:rsidR="00490686" w:rsidRPr="00B92694">
        <w:rPr>
          <w:sz w:val="24"/>
          <w:szCs w:val="24"/>
        </w:rPr>
        <w:t xml:space="preserve">.  </w:t>
      </w:r>
      <w:r w:rsidR="00F55D7A" w:rsidRPr="00B92694">
        <w:rPr>
          <w:sz w:val="24"/>
          <w:szCs w:val="24"/>
        </w:rPr>
        <w:t>The inspection assessed how effectively and efficiently the Service delivers its services and how well it looks after the people who work for the service.</w:t>
      </w:r>
    </w:p>
    <w:p w14:paraId="3EC023CF" w14:textId="77777777" w:rsidR="0073225D" w:rsidRPr="00B92694" w:rsidRDefault="0073225D" w:rsidP="00490686">
      <w:pPr>
        <w:ind w:left="709" w:hanging="709"/>
        <w:rPr>
          <w:sz w:val="24"/>
          <w:szCs w:val="24"/>
        </w:rPr>
      </w:pPr>
    </w:p>
    <w:p w14:paraId="6C2A9343" w14:textId="77777777" w:rsidR="00490686" w:rsidRPr="00B92694" w:rsidRDefault="00681B11" w:rsidP="00F55D7A">
      <w:pPr>
        <w:ind w:left="709" w:hanging="709"/>
        <w:rPr>
          <w:sz w:val="24"/>
          <w:szCs w:val="24"/>
        </w:rPr>
      </w:pPr>
      <w:r w:rsidRPr="00B92694">
        <w:rPr>
          <w:sz w:val="24"/>
          <w:szCs w:val="24"/>
        </w:rPr>
        <w:t>3.</w:t>
      </w:r>
      <w:r w:rsidR="008B05E6" w:rsidRPr="00B92694">
        <w:rPr>
          <w:sz w:val="24"/>
          <w:szCs w:val="24"/>
        </w:rPr>
        <w:t>1</w:t>
      </w:r>
      <w:r w:rsidR="00673F95">
        <w:rPr>
          <w:sz w:val="24"/>
          <w:szCs w:val="24"/>
        </w:rPr>
        <w:t>1</w:t>
      </w:r>
      <w:r w:rsidR="00673F95">
        <w:rPr>
          <w:sz w:val="24"/>
          <w:szCs w:val="24"/>
        </w:rPr>
        <w:tab/>
      </w:r>
      <w:r w:rsidR="00870064" w:rsidRPr="00B92694">
        <w:rPr>
          <w:sz w:val="24"/>
          <w:szCs w:val="24"/>
        </w:rPr>
        <w:t xml:space="preserve">The outcome of the inspection was made public in July </w:t>
      </w:r>
      <w:r w:rsidR="00AC5065">
        <w:rPr>
          <w:sz w:val="24"/>
          <w:szCs w:val="24"/>
        </w:rPr>
        <w:t>20</w:t>
      </w:r>
      <w:r w:rsidR="00870064" w:rsidRPr="00B92694">
        <w:rPr>
          <w:sz w:val="24"/>
          <w:szCs w:val="24"/>
        </w:rPr>
        <w:t xml:space="preserve">22. In </w:t>
      </w:r>
      <w:r w:rsidR="005817E4" w:rsidRPr="00B92694">
        <w:rPr>
          <w:sz w:val="24"/>
          <w:szCs w:val="24"/>
        </w:rPr>
        <w:t xml:space="preserve">all </w:t>
      </w:r>
      <w:r w:rsidR="00870064" w:rsidRPr="00B92694">
        <w:rPr>
          <w:sz w:val="24"/>
          <w:szCs w:val="24"/>
        </w:rPr>
        <w:t xml:space="preserve">the </w:t>
      </w:r>
      <w:r w:rsidR="00AC5065">
        <w:rPr>
          <w:sz w:val="24"/>
          <w:szCs w:val="24"/>
        </w:rPr>
        <w:t>three</w:t>
      </w:r>
      <w:r w:rsidR="00870064" w:rsidRPr="00B92694">
        <w:rPr>
          <w:sz w:val="24"/>
          <w:szCs w:val="24"/>
        </w:rPr>
        <w:t xml:space="preserve"> areas of Effectiveness, Efficiency and People the Service has moved from </w:t>
      </w:r>
      <w:r w:rsidR="00D158D9" w:rsidRPr="00B92694">
        <w:rPr>
          <w:sz w:val="24"/>
          <w:szCs w:val="24"/>
        </w:rPr>
        <w:t>“</w:t>
      </w:r>
      <w:r w:rsidR="00870064" w:rsidRPr="00B92694">
        <w:rPr>
          <w:sz w:val="24"/>
          <w:szCs w:val="24"/>
        </w:rPr>
        <w:t>Requires Improvement</w:t>
      </w:r>
      <w:r w:rsidR="00D158D9" w:rsidRPr="00B92694">
        <w:rPr>
          <w:sz w:val="24"/>
          <w:szCs w:val="24"/>
        </w:rPr>
        <w:t>”</w:t>
      </w:r>
      <w:r w:rsidR="00870064" w:rsidRPr="00B92694">
        <w:rPr>
          <w:sz w:val="24"/>
          <w:szCs w:val="24"/>
        </w:rPr>
        <w:t xml:space="preserve"> in its 2018/19 inspection to </w:t>
      </w:r>
      <w:r w:rsidR="00D158D9" w:rsidRPr="00B92694">
        <w:rPr>
          <w:sz w:val="24"/>
          <w:szCs w:val="24"/>
        </w:rPr>
        <w:t>“</w:t>
      </w:r>
      <w:r w:rsidR="00870064" w:rsidRPr="00B92694">
        <w:rPr>
          <w:sz w:val="24"/>
          <w:szCs w:val="24"/>
        </w:rPr>
        <w:t>Good</w:t>
      </w:r>
      <w:r w:rsidR="00D158D9" w:rsidRPr="00B92694">
        <w:rPr>
          <w:sz w:val="24"/>
          <w:szCs w:val="24"/>
        </w:rPr>
        <w:t>”</w:t>
      </w:r>
      <w:r w:rsidR="00870064" w:rsidRPr="00B92694">
        <w:rPr>
          <w:sz w:val="24"/>
          <w:szCs w:val="24"/>
        </w:rPr>
        <w:t>.  It judged that the Service made best use of its resources and demonstrated future affordability.</w:t>
      </w:r>
      <w:r w:rsidR="005817E4" w:rsidRPr="00B92694">
        <w:rPr>
          <w:sz w:val="24"/>
          <w:szCs w:val="24"/>
        </w:rPr>
        <w:t xml:space="preserve">  </w:t>
      </w:r>
    </w:p>
    <w:p w14:paraId="38607417" w14:textId="77777777" w:rsidR="00870064" w:rsidRPr="00B92694" w:rsidRDefault="00870064" w:rsidP="00F55D7A">
      <w:pPr>
        <w:ind w:left="709" w:hanging="709"/>
        <w:rPr>
          <w:sz w:val="24"/>
          <w:szCs w:val="24"/>
        </w:rPr>
      </w:pPr>
    </w:p>
    <w:p w14:paraId="67526ED8" w14:textId="77777777" w:rsidR="002203C3" w:rsidRPr="00B92694" w:rsidRDefault="00870064" w:rsidP="00B92694">
      <w:pPr>
        <w:pStyle w:val="BodyTextIndent"/>
        <w:spacing w:after="0"/>
        <w:ind w:left="709" w:hanging="709"/>
        <w:rPr>
          <w:sz w:val="24"/>
          <w:szCs w:val="24"/>
        </w:rPr>
      </w:pPr>
      <w:r w:rsidRPr="00B92694">
        <w:rPr>
          <w:sz w:val="24"/>
          <w:szCs w:val="24"/>
        </w:rPr>
        <w:t>3.</w:t>
      </w:r>
      <w:r w:rsidR="008B05E6" w:rsidRPr="00B92694">
        <w:rPr>
          <w:sz w:val="24"/>
          <w:szCs w:val="24"/>
        </w:rPr>
        <w:t>1</w:t>
      </w:r>
      <w:r w:rsidR="00673F95">
        <w:rPr>
          <w:sz w:val="24"/>
          <w:szCs w:val="24"/>
        </w:rPr>
        <w:t>2</w:t>
      </w:r>
      <w:r w:rsidRPr="00B92694">
        <w:rPr>
          <w:sz w:val="24"/>
          <w:szCs w:val="24"/>
        </w:rPr>
        <w:tab/>
      </w:r>
      <w:r w:rsidR="005817E4" w:rsidRPr="00B92694">
        <w:rPr>
          <w:sz w:val="24"/>
          <w:szCs w:val="24"/>
        </w:rPr>
        <w:t xml:space="preserve">The report identified </w:t>
      </w:r>
      <w:r w:rsidR="00AC5065">
        <w:rPr>
          <w:sz w:val="24"/>
          <w:szCs w:val="24"/>
        </w:rPr>
        <w:t>four</w:t>
      </w:r>
      <w:r w:rsidR="005817E4" w:rsidRPr="00B92694">
        <w:rPr>
          <w:sz w:val="24"/>
          <w:szCs w:val="24"/>
        </w:rPr>
        <w:t xml:space="preserve"> areas for improvement which are currently being </w:t>
      </w:r>
      <w:r w:rsidR="003D1B64" w:rsidRPr="00B92694">
        <w:rPr>
          <w:sz w:val="24"/>
          <w:szCs w:val="24"/>
        </w:rPr>
        <w:t xml:space="preserve">addressed </w:t>
      </w:r>
      <w:r w:rsidR="00CD17E5">
        <w:rPr>
          <w:sz w:val="24"/>
          <w:szCs w:val="24"/>
        </w:rPr>
        <w:t xml:space="preserve">by inclusion </w:t>
      </w:r>
      <w:r w:rsidR="003D1B64" w:rsidRPr="00B92694">
        <w:rPr>
          <w:sz w:val="24"/>
          <w:szCs w:val="24"/>
        </w:rPr>
        <w:t>in the CRMP annual delivery plan</w:t>
      </w:r>
      <w:r w:rsidR="00CD17E5">
        <w:rPr>
          <w:sz w:val="24"/>
          <w:szCs w:val="24"/>
        </w:rPr>
        <w:t>,</w:t>
      </w:r>
      <w:r w:rsidR="003D1B64" w:rsidRPr="00B92694">
        <w:rPr>
          <w:sz w:val="24"/>
          <w:szCs w:val="24"/>
        </w:rPr>
        <w:t xml:space="preserve"> and </w:t>
      </w:r>
      <w:r w:rsidR="00CD17E5">
        <w:rPr>
          <w:sz w:val="24"/>
          <w:szCs w:val="24"/>
        </w:rPr>
        <w:t xml:space="preserve">these </w:t>
      </w:r>
      <w:r w:rsidR="003D1B64" w:rsidRPr="00B92694">
        <w:rPr>
          <w:sz w:val="24"/>
          <w:szCs w:val="24"/>
        </w:rPr>
        <w:t xml:space="preserve">are being monitored through the Authority </w:t>
      </w:r>
      <w:r w:rsidR="00AC5065">
        <w:rPr>
          <w:sz w:val="24"/>
          <w:szCs w:val="24"/>
        </w:rPr>
        <w:t>c</w:t>
      </w:r>
      <w:r w:rsidR="003D1B64" w:rsidRPr="00B92694">
        <w:rPr>
          <w:sz w:val="24"/>
          <w:szCs w:val="24"/>
        </w:rPr>
        <w:t xml:space="preserve">ommittee </w:t>
      </w:r>
      <w:r w:rsidR="00AC5065">
        <w:rPr>
          <w:sz w:val="24"/>
          <w:szCs w:val="24"/>
        </w:rPr>
        <w:t>s</w:t>
      </w:r>
      <w:r w:rsidR="003D1B64" w:rsidRPr="00B92694">
        <w:rPr>
          <w:sz w:val="24"/>
          <w:szCs w:val="24"/>
        </w:rPr>
        <w:t>tructure.</w:t>
      </w:r>
      <w:r w:rsidR="002203C3" w:rsidRPr="00B92694">
        <w:rPr>
          <w:sz w:val="24"/>
          <w:szCs w:val="24"/>
        </w:rPr>
        <w:t xml:space="preserve">  The Service is due to receive its next inspection in early 2024.</w:t>
      </w:r>
    </w:p>
    <w:p w14:paraId="6073422A" w14:textId="77777777" w:rsidR="00E43F68" w:rsidRPr="00E05E60" w:rsidRDefault="00E43F68" w:rsidP="00E43F68">
      <w:pPr>
        <w:tabs>
          <w:tab w:val="num" w:pos="709"/>
        </w:tabs>
        <w:ind w:left="709" w:hanging="709"/>
        <w:rPr>
          <w:sz w:val="24"/>
          <w:szCs w:val="24"/>
        </w:rPr>
      </w:pPr>
    </w:p>
    <w:p w14:paraId="40BE1C1A" w14:textId="77777777" w:rsidR="00E43F68" w:rsidRPr="00E05E60" w:rsidRDefault="00E43F68" w:rsidP="00E43F68">
      <w:pPr>
        <w:tabs>
          <w:tab w:val="num" w:pos="709"/>
        </w:tabs>
        <w:ind w:left="709" w:hanging="709"/>
        <w:rPr>
          <w:b/>
          <w:sz w:val="24"/>
          <w:szCs w:val="24"/>
        </w:rPr>
      </w:pPr>
      <w:r w:rsidRPr="00E05E60">
        <w:rPr>
          <w:b/>
          <w:sz w:val="24"/>
          <w:szCs w:val="24"/>
        </w:rPr>
        <w:t>PENSIONS</w:t>
      </w:r>
    </w:p>
    <w:p w14:paraId="5848D8ED" w14:textId="77777777" w:rsidR="00E43F68" w:rsidRPr="00E05E60" w:rsidRDefault="00E43F68" w:rsidP="00E43F68">
      <w:pPr>
        <w:tabs>
          <w:tab w:val="num" w:pos="709"/>
        </w:tabs>
        <w:ind w:left="709" w:hanging="709"/>
        <w:rPr>
          <w:sz w:val="24"/>
          <w:szCs w:val="24"/>
        </w:rPr>
      </w:pPr>
    </w:p>
    <w:p w14:paraId="7DB6E0DF" w14:textId="77777777" w:rsidR="008849B2" w:rsidRPr="0034180A" w:rsidRDefault="00A9355B" w:rsidP="00FB7048">
      <w:pPr>
        <w:ind w:left="720" w:hanging="720"/>
        <w:rPr>
          <w:sz w:val="24"/>
          <w:szCs w:val="24"/>
        </w:rPr>
      </w:pPr>
      <w:r w:rsidRPr="0034180A">
        <w:rPr>
          <w:sz w:val="24"/>
          <w:szCs w:val="24"/>
        </w:rPr>
        <w:t>3.</w:t>
      </w:r>
      <w:r w:rsidR="008B05E6" w:rsidRPr="0034180A">
        <w:rPr>
          <w:sz w:val="24"/>
          <w:szCs w:val="24"/>
        </w:rPr>
        <w:t>1</w:t>
      </w:r>
      <w:r w:rsidR="00673F95">
        <w:rPr>
          <w:sz w:val="24"/>
          <w:szCs w:val="24"/>
        </w:rPr>
        <w:t>3</w:t>
      </w:r>
      <w:r w:rsidR="00E43F68" w:rsidRPr="0034180A">
        <w:rPr>
          <w:sz w:val="24"/>
          <w:szCs w:val="24"/>
        </w:rPr>
        <w:tab/>
        <w:t>The</w:t>
      </w:r>
      <w:r w:rsidR="00FB7048" w:rsidRPr="0034180A">
        <w:rPr>
          <w:sz w:val="24"/>
          <w:szCs w:val="24"/>
        </w:rPr>
        <w:t xml:space="preserve"> remedy</w:t>
      </w:r>
      <w:r w:rsidR="00D53345" w:rsidRPr="0034180A">
        <w:rPr>
          <w:sz w:val="24"/>
          <w:szCs w:val="24"/>
        </w:rPr>
        <w:t>ing legislation</w:t>
      </w:r>
      <w:r w:rsidR="00C34643" w:rsidRPr="0034180A">
        <w:rPr>
          <w:sz w:val="24"/>
          <w:szCs w:val="24"/>
        </w:rPr>
        <w:t xml:space="preserve"> </w:t>
      </w:r>
      <w:r w:rsidR="00FB7048" w:rsidRPr="0034180A">
        <w:rPr>
          <w:sz w:val="24"/>
          <w:szCs w:val="24"/>
        </w:rPr>
        <w:t>for the</w:t>
      </w:r>
      <w:r w:rsidR="00E43F68" w:rsidRPr="0034180A">
        <w:rPr>
          <w:sz w:val="24"/>
          <w:szCs w:val="24"/>
        </w:rPr>
        <w:t xml:space="preserve"> McCloud</w:t>
      </w:r>
      <w:r w:rsidR="00AC5065">
        <w:rPr>
          <w:sz w:val="24"/>
          <w:szCs w:val="24"/>
        </w:rPr>
        <w:t xml:space="preserve"> judgement</w:t>
      </w:r>
      <w:r w:rsidR="00E43F68" w:rsidRPr="0034180A">
        <w:rPr>
          <w:sz w:val="24"/>
          <w:szCs w:val="24"/>
        </w:rPr>
        <w:t xml:space="preserve"> </w:t>
      </w:r>
      <w:r w:rsidR="00566F78" w:rsidRPr="0034180A">
        <w:rPr>
          <w:sz w:val="24"/>
          <w:szCs w:val="24"/>
        </w:rPr>
        <w:t>became law in</w:t>
      </w:r>
      <w:r w:rsidR="00D53345" w:rsidRPr="0034180A">
        <w:rPr>
          <w:sz w:val="24"/>
          <w:szCs w:val="24"/>
        </w:rPr>
        <w:t xml:space="preserve"> October 2023.  This address</w:t>
      </w:r>
      <w:r w:rsidR="00566F78" w:rsidRPr="0034180A">
        <w:rPr>
          <w:sz w:val="24"/>
          <w:szCs w:val="24"/>
        </w:rPr>
        <w:t>es</w:t>
      </w:r>
      <w:r w:rsidR="00E43F68" w:rsidRPr="0034180A">
        <w:rPr>
          <w:sz w:val="24"/>
          <w:szCs w:val="24"/>
        </w:rPr>
        <w:t xml:space="preserve"> the transition arrangements into the 2015 firefighters’ pension scheme </w:t>
      </w:r>
      <w:r w:rsidR="00566F78" w:rsidRPr="0034180A">
        <w:rPr>
          <w:sz w:val="24"/>
          <w:szCs w:val="24"/>
        </w:rPr>
        <w:t xml:space="preserve">which </w:t>
      </w:r>
      <w:r w:rsidR="00E43F68" w:rsidRPr="0034180A">
        <w:rPr>
          <w:sz w:val="24"/>
          <w:szCs w:val="24"/>
        </w:rPr>
        <w:t>were found to be discriminatory.</w:t>
      </w:r>
      <w:r w:rsidR="00730D60">
        <w:rPr>
          <w:sz w:val="24"/>
          <w:szCs w:val="24"/>
        </w:rPr>
        <w:t xml:space="preserve"> It is expected that the majority of additional costs will be met from the pension top up grant, however t</w:t>
      </w:r>
      <w:r w:rsidR="008849B2" w:rsidRPr="0034180A">
        <w:rPr>
          <w:sz w:val="24"/>
          <w:szCs w:val="24"/>
        </w:rPr>
        <w:t xml:space="preserve">he </w:t>
      </w:r>
      <w:r w:rsidR="00850E07">
        <w:rPr>
          <w:sz w:val="24"/>
          <w:szCs w:val="24"/>
        </w:rPr>
        <w:t>S</w:t>
      </w:r>
      <w:r w:rsidR="008849B2" w:rsidRPr="0034180A">
        <w:rPr>
          <w:sz w:val="24"/>
          <w:szCs w:val="24"/>
        </w:rPr>
        <w:t xml:space="preserve">ervice has a £200k earmarked reserve to mitigate against </w:t>
      </w:r>
      <w:r w:rsidR="003A1AF1" w:rsidRPr="0034180A">
        <w:rPr>
          <w:sz w:val="24"/>
          <w:szCs w:val="24"/>
        </w:rPr>
        <w:t>any</w:t>
      </w:r>
      <w:r w:rsidR="008849B2" w:rsidRPr="0034180A">
        <w:rPr>
          <w:sz w:val="24"/>
          <w:szCs w:val="24"/>
        </w:rPr>
        <w:t xml:space="preserve"> costs</w:t>
      </w:r>
      <w:r w:rsidR="00566F78" w:rsidRPr="0034180A">
        <w:rPr>
          <w:sz w:val="24"/>
          <w:szCs w:val="24"/>
        </w:rPr>
        <w:t xml:space="preserve"> </w:t>
      </w:r>
      <w:r w:rsidR="003A1AF1" w:rsidRPr="0034180A">
        <w:rPr>
          <w:sz w:val="24"/>
          <w:szCs w:val="24"/>
        </w:rPr>
        <w:t>that</w:t>
      </w:r>
      <w:r w:rsidR="00730D60">
        <w:rPr>
          <w:sz w:val="24"/>
          <w:szCs w:val="24"/>
        </w:rPr>
        <w:t xml:space="preserve"> have to be met internally.</w:t>
      </w:r>
      <w:r w:rsidR="007F1DB7" w:rsidRPr="0034180A">
        <w:rPr>
          <w:sz w:val="24"/>
          <w:szCs w:val="24"/>
        </w:rPr>
        <w:t xml:space="preserve"> Further information on this can be found in the Firefigh</w:t>
      </w:r>
      <w:r w:rsidR="006644F3" w:rsidRPr="0034180A">
        <w:rPr>
          <w:sz w:val="24"/>
          <w:szCs w:val="24"/>
        </w:rPr>
        <w:t>t</w:t>
      </w:r>
      <w:r w:rsidR="007F1DB7" w:rsidRPr="0034180A">
        <w:rPr>
          <w:sz w:val="24"/>
          <w:szCs w:val="24"/>
        </w:rPr>
        <w:t>er Pension Scheme Immediate Detriment Review report considered by Policy and Strategy Committee on 1 April 2022.</w:t>
      </w:r>
    </w:p>
    <w:p w14:paraId="6BDDD6FA" w14:textId="77777777" w:rsidR="008849B2" w:rsidRPr="0034180A" w:rsidRDefault="008849B2" w:rsidP="00FB7048">
      <w:pPr>
        <w:ind w:left="720" w:hanging="720"/>
        <w:rPr>
          <w:sz w:val="24"/>
          <w:szCs w:val="24"/>
        </w:rPr>
      </w:pPr>
    </w:p>
    <w:p w14:paraId="388D1A59" w14:textId="77777777" w:rsidR="00FB7048" w:rsidRPr="0034180A" w:rsidRDefault="008B05E6" w:rsidP="00FB7048">
      <w:pPr>
        <w:ind w:left="720" w:hanging="720"/>
        <w:rPr>
          <w:sz w:val="24"/>
          <w:szCs w:val="24"/>
        </w:rPr>
      </w:pPr>
      <w:r w:rsidRPr="0034180A">
        <w:rPr>
          <w:sz w:val="24"/>
          <w:szCs w:val="24"/>
        </w:rPr>
        <w:t>3.1</w:t>
      </w:r>
      <w:r w:rsidR="00673F95">
        <w:rPr>
          <w:sz w:val="24"/>
          <w:szCs w:val="24"/>
        </w:rPr>
        <w:t>4</w:t>
      </w:r>
      <w:r w:rsidRPr="0034180A">
        <w:rPr>
          <w:sz w:val="24"/>
          <w:szCs w:val="24"/>
        </w:rPr>
        <w:tab/>
      </w:r>
      <w:r w:rsidR="008849B2" w:rsidRPr="0034180A">
        <w:rPr>
          <w:sz w:val="24"/>
          <w:szCs w:val="24"/>
        </w:rPr>
        <w:t xml:space="preserve">The remedying legislation is expected to increase the overall costs of the </w:t>
      </w:r>
      <w:r w:rsidR="00E43F68" w:rsidRPr="0034180A">
        <w:rPr>
          <w:sz w:val="24"/>
          <w:szCs w:val="24"/>
        </w:rPr>
        <w:t>firefighters’ pension scheme.  These are expected to be largely funded by Central Government</w:t>
      </w:r>
      <w:r w:rsidR="00AC5065">
        <w:rPr>
          <w:sz w:val="24"/>
          <w:szCs w:val="24"/>
        </w:rPr>
        <w:t>,</w:t>
      </w:r>
      <w:r w:rsidR="00E43F68" w:rsidRPr="0034180A">
        <w:rPr>
          <w:sz w:val="24"/>
          <w:szCs w:val="24"/>
        </w:rPr>
        <w:t xml:space="preserve"> but additional costs falling to Fire Authority cannot be ruled out.  This </w:t>
      </w:r>
      <w:r w:rsidR="00C76FCA" w:rsidRPr="0034180A">
        <w:rPr>
          <w:sz w:val="24"/>
          <w:szCs w:val="24"/>
        </w:rPr>
        <w:t>is included</w:t>
      </w:r>
      <w:r w:rsidR="00E43F68" w:rsidRPr="0034180A">
        <w:rPr>
          <w:sz w:val="24"/>
          <w:szCs w:val="24"/>
        </w:rPr>
        <w:t xml:space="preserve"> </w:t>
      </w:r>
      <w:r w:rsidR="00DB2021" w:rsidRPr="0034180A">
        <w:rPr>
          <w:sz w:val="24"/>
          <w:szCs w:val="24"/>
        </w:rPr>
        <w:t>in</w:t>
      </w:r>
      <w:r w:rsidR="00E43F68" w:rsidRPr="0034180A">
        <w:rPr>
          <w:sz w:val="24"/>
          <w:szCs w:val="24"/>
        </w:rPr>
        <w:t xml:space="preserve"> the General Fund reserves risk register</w:t>
      </w:r>
      <w:r w:rsidR="00DB2021" w:rsidRPr="0034180A">
        <w:rPr>
          <w:sz w:val="24"/>
          <w:szCs w:val="24"/>
        </w:rPr>
        <w:t xml:space="preserve"> (Appendix </w:t>
      </w:r>
      <w:r w:rsidR="007A6D02">
        <w:rPr>
          <w:sz w:val="24"/>
          <w:szCs w:val="24"/>
        </w:rPr>
        <w:t>3</w:t>
      </w:r>
      <w:r w:rsidR="00AC5065">
        <w:rPr>
          <w:sz w:val="24"/>
          <w:szCs w:val="24"/>
        </w:rPr>
        <w:t xml:space="preserve"> to this strategy</w:t>
      </w:r>
      <w:r w:rsidR="007A6D02">
        <w:rPr>
          <w:sz w:val="24"/>
          <w:szCs w:val="24"/>
        </w:rPr>
        <w:t>)</w:t>
      </w:r>
      <w:r w:rsidR="00E43F68" w:rsidRPr="0034180A">
        <w:rPr>
          <w:sz w:val="24"/>
          <w:szCs w:val="24"/>
        </w:rPr>
        <w:t>.</w:t>
      </w:r>
    </w:p>
    <w:p w14:paraId="1838A6F8" w14:textId="77777777" w:rsidR="00E43F68" w:rsidRPr="0034180A" w:rsidRDefault="00E43F68" w:rsidP="00E43F68">
      <w:pPr>
        <w:ind w:left="720" w:hanging="720"/>
        <w:rPr>
          <w:sz w:val="24"/>
          <w:szCs w:val="24"/>
        </w:rPr>
      </w:pPr>
    </w:p>
    <w:p w14:paraId="506A3B61" w14:textId="77777777" w:rsidR="00E43F68" w:rsidRPr="0034180A" w:rsidRDefault="00A9355B" w:rsidP="00E43F68">
      <w:pPr>
        <w:ind w:left="720" w:hanging="720"/>
        <w:rPr>
          <w:sz w:val="24"/>
          <w:szCs w:val="24"/>
        </w:rPr>
      </w:pPr>
      <w:r w:rsidRPr="0034180A">
        <w:rPr>
          <w:sz w:val="24"/>
          <w:szCs w:val="24"/>
        </w:rPr>
        <w:t>3.1</w:t>
      </w:r>
      <w:r w:rsidR="00673F95">
        <w:rPr>
          <w:sz w:val="24"/>
          <w:szCs w:val="24"/>
        </w:rPr>
        <w:t>5</w:t>
      </w:r>
      <w:r w:rsidR="00E43F68" w:rsidRPr="0034180A">
        <w:rPr>
          <w:sz w:val="24"/>
          <w:szCs w:val="24"/>
        </w:rPr>
        <w:tab/>
      </w:r>
      <w:r w:rsidR="003F48EA" w:rsidRPr="0034180A">
        <w:rPr>
          <w:sz w:val="24"/>
          <w:szCs w:val="24"/>
        </w:rPr>
        <w:t xml:space="preserve">Another </w:t>
      </w:r>
      <w:r w:rsidR="008849B2" w:rsidRPr="0034180A">
        <w:rPr>
          <w:sz w:val="24"/>
          <w:szCs w:val="24"/>
        </w:rPr>
        <w:t xml:space="preserve">pensions </w:t>
      </w:r>
      <w:r w:rsidR="003F48EA" w:rsidRPr="0034180A">
        <w:rPr>
          <w:sz w:val="24"/>
          <w:szCs w:val="24"/>
        </w:rPr>
        <w:t>case, Matthews and O’Brien,</w:t>
      </w:r>
      <w:r w:rsidR="001677A4" w:rsidRPr="0034180A">
        <w:rPr>
          <w:sz w:val="24"/>
          <w:szCs w:val="24"/>
        </w:rPr>
        <w:t xml:space="preserve"> identi</w:t>
      </w:r>
      <w:r w:rsidR="003F48EA" w:rsidRPr="0034180A">
        <w:rPr>
          <w:sz w:val="24"/>
          <w:szCs w:val="24"/>
        </w:rPr>
        <w:t>fied</w:t>
      </w:r>
      <w:r w:rsidR="00FB7048" w:rsidRPr="0034180A">
        <w:rPr>
          <w:sz w:val="24"/>
          <w:szCs w:val="24"/>
        </w:rPr>
        <w:t xml:space="preserve"> discriminatory conditions against part time workers</w:t>
      </w:r>
      <w:r w:rsidR="001677A4" w:rsidRPr="0034180A">
        <w:rPr>
          <w:sz w:val="24"/>
          <w:szCs w:val="24"/>
        </w:rPr>
        <w:t xml:space="preserve">.  </w:t>
      </w:r>
      <w:r w:rsidR="003A1AF1" w:rsidRPr="0034180A">
        <w:rPr>
          <w:sz w:val="24"/>
          <w:szCs w:val="24"/>
        </w:rPr>
        <w:t xml:space="preserve">Remedying legislation similarly became law in October </w:t>
      </w:r>
      <w:r w:rsidR="00AC5065">
        <w:rPr>
          <w:sz w:val="24"/>
          <w:szCs w:val="24"/>
        </w:rPr>
        <w:t>20</w:t>
      </w:r>
      <w:r w:rsidR="003A1AF1" w:rsidRPr="0034180A">
        <w:rPr>
          <w:sz w:val="24"/>
          <w:szCs w:val="24"/>
        </w:rPr>
        <w:t>23.  This legislation allows</w:t>
      </w:r>
      <w:r w:rsidR="00C34643" w:rsidRPr="0034180A">
        <w:rPr>
          <w:sz w:val="24"/>
          <w:szCs w:val="24"/>
        </w:rPr>
        <w:t xml:space="preserve"> further backdating </w:t>
      </w:r>
      <w:r w:rsidR="003F48EA" w:rsidRPr="0034180A">
        <w:rPr>
          <w:sz w:val="24"/>
          <w:szCs w:val="24"/>
        </w:rPr>
        <w:t>of</w:t>
      </w:r>
      <w:r w:rsidR="00FB7048" w:rsidRPr="0034180A">
        <w:rPr>
          <w:sz w:val="24"/>
          <w:szCs w:val="24"/>
        </w:rPr>
        <w:t xml:space="preserve"> the </w:t>
      </w:r>
      <w:r w:rsidR="00AC5065">
        <w:rPr>
          <w:sz w:val="24"/>
          <w:szCs w:val="24"/>
        </w:rPr>
        <w:t>m</w:t>
      </w:r>
      <w:r w:rsidR="00FB7048" w:rsidRPr="0034180A">
        <w:rPr>
          <w:sz w:val="24"/>
          <w:szCs w:val="24"/>
        </w:rPr>
        <w:t>odified</w:t>
      </w:r>
      <w:r w:rsidR="00C34643" w:rsidRPr="0034180A">
        <w:rPr>
          <w:sz w:val="24"/>
          <w:szCs w:val="24"/>
        </w:rPr>
        <w:t xml:space="preserve"> pension scheme</w:t>
      </w:r>
      <w:r w:rsidR="003F48EA" w:rsidRPr="0034180A">
        <w:rPr>
          <w:sz w:val="24"/>
          <w:szCs w:val="24"/>
        </w:rPr>
        <w:t xml:space="preserve"> from 2006 to when on-call firefighters first joined the fire service</w:t>
      </w:r>
      <w:r w:rsidR="00C34643" w:rsidRPr="0034180A">
        <w:rPr>
          <w:sz w:val="24"/>
          <w:szCs w:val="24"/>
        </w:rPr>
        <w:t xml:space="preserve">.  </w:t>
      </w:r>
      <w:r w:rsidR="00A14285" w:rsidRPr="0034180A">
        <w:rPr>
          <w:sz w:val="24"/>
          <w:szCs w:val="24"/>
        </w:rPr>
        <w:t xml:space="preserve">When the </w:t>
      </w:r>
      <w:r w:rsidR="00AC5065">
        <w:rPr>
          <w:sz w:val="24"/>
          <w:szCs w:val="24"/>
        </w:rPr>
        <w:t>m</w:t>
      </w:r>
      <w:r w:rsidR="00A14285" w:rsidRPr="0034180A">
        <w:rPr>
          <w:sz w:val="24"/>
          <w:szCs w:val="24"/>
        </w:rPr>
        <w:t xml:space="preserve">odified scheme was created, backdated costs were met by the </w:t>
      </w:r>
      <w:r w:rsidR="008A7D13" w:rsidRPr="0034180A">
        <w:rPr>
          <w:sz w:val="24"/>
          <w:szCs w:val="24"/>
        </w:rPr>
        <w:t>Government,</w:t>
      </w:r>
      <w:r w:rsidR="003A1AF1" w:rsidRPr="0034180A">
        <w:rPr>
          <w:sz w:val="24"/>
          <w:szCs w:val="24"/>
        </w:rPr>
        <w:t xml:space="preserve"> and it is expected that this will similarly be the case for costs relating to further backdating.</w:t>
      </w:r>
    </w:p>
    <w:p w14:paraId="1674D66D" w14:textId="77777777" w:rsidR="00C34643" w:rsidRPr="0034180A" w:rsidRDefault="00C34643" w:rsidP="00E43F68">
      <w:pPr>
        <w:ind w:left="720" w:hanging="720"/>
        <w:rPr>
          <w:sz w:val="24"/>
          <w:szCs w:val="24"/>
        </w:rPr>
      </w:pPr>
    </w:p>
    <w:p w14:paraId="1B52D370" w14:textId="77777777" w:rsidR="00981919" w:rsidRPr="0034180A" w:rsidRDefault="00942A7D" w:rsidP="00AC5065">
      <w:pPr>
        <w:ind w:left="709" w:hanging="709"/>
        <w:rPr>
          <w:sz w:val="24"/>
          <w:szCs w:val="24"/>
        </w:rPr>
      </w:pPr>
      <w:r>
        <w:rPr>
          <w:sz w:val="24"/>
          <w:szCs w:val="24"/>
        </w:rPr>
        <w:t>3.16</w:t>
      </w:r>
      <w:r w:rsidR="00C34643" w:rsidRPr="0034180A">
        <w:rPr>
          <w:sz w:val="24"/>
          <w:szCs w:val="24"/>
        </w:rPr>
        <w:tab/>
        <w:t xml:space="preserve">Both of these remedies </w:t>
      </w:r>
      <w:r w:rsidR="003F48EA" w:rsidRPr="0034180A">
        <w:rPr>
          <w:sz w:val="24"/>
          <w:szCs w:val="24"/>
        </w:rPr>
        <w:t>a</w:t>
      </w:r>
      <w:r w:rsidR="00AC5065">
        <w:rPr>
          <w:sz w:val="24"/>
          <w:szCs w:val="24"/>
        </w:rPr>
        <w:t>r</w:t>
      </w:r>
      <w:r w:rsidR="003F48EA" w:rsidRPr="0034180A">
        <w:rPr>
          <w:sz w:val="24"/>
          <w:szCs w:val="24"/>
        </w:rPr>
        <w:t>e</w:t>
      </w:r>
      <w:r w:rsidR="00C34643" w:rsidRPr="0034180A">
        <w:rPr>
          <w:sz w:val="24"/>
          <w:szCs w:val="24"/>
        </w:rPr>
        <w:t xml:space="preserve"> hav</w:t>
      </w:r>
      <w:r w:rsidR="003F48EA" w:rsidRPr="0034180A">
        <w:rPr>
          <w:sz w:val="24"/>
          <w:szCs w:val="24"/>
        </w:rPr>
        <w:t xml:space="preserve">ing </w:t>
      </w:r>
      <w:r w:rsidR="00C34643" w:rsidRPr="0034180A">
        <w:rPr>
          <w:sz w:val="24"/>
          <w:szCs w:val="24"/>
        </w:rPr>
        <w:t xml:space="preserve">a large impact on </w:t>
      </w:r>
      <w:r w:rsidR="001677A4" w:rsidRPr="0034180A">
        <w:rPr>
          <w:sz w:val="24"/>
          <w:szCs w:val="24"/>
        </w:rPr>
        <w:t xml:space="preserve">the workload of </w:t>
      </w:r>
      <w:r w:rsidR="00981919" w:rsidRPr="0034180A">
        <w:rPr>
          <w:sz w:val="24"/>
          <w:szCs w:val="24"/>
        </w:rPr>
        <w:t xml:space="preserve">staff dealing with the cases and </w:t>
      </w:r>
      <w:r w:rsidR="003F48EA" w:rsidRPr="0034180A">
        <w:rPr>
          <w:sz w:val="24"/>
          <w:szCs w:val="24"/>
        </w:rPr>
        <w:t xml:space="preserve">additional resources </w:t>
      </w:r>
      <w:r w:rsidR="00D566C9" w:rsidRPr="0034180A">
        <w:rPr>
          <w:sz w:val="24"/>
          <w:szCs w:val="24"/>
        </w:rPr>
        <w:t>were</w:t>
      </w:r>
      <w:r w:rsidR="003F48EA" w:rsidRPr="0034180A">
        <w:rPr>
          <w:sz w:val="24"/>
          <w:szCs w:val="24"/>
        </w:rPr>
        <w:t xml:space="preserve"> </w:t>
      </w:r>
      <w:r w:rsidR="00D53345" w:rsidRPr="0034180A">
        <w:rPr>
          <w:sz w:val="24"/>
          <w:szCs w:val="24"/>
        </w:rPr>
        <w:t>allocated</w:t>
      </w:r>
      <w:r w:rsidR="00D566C9" w:rsidRPr="0034180A">
        <w:rPr>
          <w:sz w:val="24"/>
          <w:szCs w:val="24"/>
        </w:rPr>
        <w:t xml:space="preserve"> in </w:t>
      </w:r>
      <w:r w:rsidR="004B6C98" w:rsidRPr="0034180A">
        <w:rPr>
          <w:sz w:val="24"/>
          <w:szCs w:val="24"/>
        </w:rPr>
        <w:t>2023/24</w:t>
      </w:r>
      <w:r w:rsidR="00D53345" w:rsidRPr="0034180A">
        <w:rPr>
          <w:sz w:val="24"/>
          <w:szCs w:val="24"/>
        </w:rPr>
        <w:t xml:space="preserve"> in order that this work can be undertaken.  </w:t>
      </w:r>
      <w:r w:rsidR="003F48EA" w:rsidRPr="0034180A">
        <w:rPr>
          <w:sz w:val="24"/>
          <w:szCs w:val="24"/>
        </w:rPr>
        <w:t xml:space="preserve"> </w:t>
      </w:r>
    </w:p>
    <w:p w14:paraId="5386403C" w14:textId="77777777" w:rsidR="00981919" w:rsidRPr="007D470C" w:rsidRDefault="00981919" w:rsidP="00E43F68">
      <w:pPr>
        <w:ind w:left="720" w:hanging="720"/>
        <w:rPr>
          <w:sz w:val="24"/>
          <w:szCs w:val="24"/>
          <w:highlight w:val="green"/>
        </w:rPr>
      </w:pPr>
    </w:p>
    <w:p w14:paraId="605B21C0" w14:textId="77777777" w:rsidR="003A1AF1" w:rsidRDefault="00A9355B" w:rsidP="00A9355B">
      <w:pPr>
        <w:ind w:left="709" w:hanging="709"/>
        <w:rPr>
          <w:sz w:val="24"/>
          <w:szCs w:val="24"/>
        </w:rPr>
      </w:pPr>
      <w:r w:rsidRPr="0034180A">
        <w:rPr>
          <w:sz w:val="24"/>
          <w:szCs w:val="24"/>
        </w:rPr>
        <w:t>3.1</w:t>
      </w:r>
      <w:r w:rsidR="008B05E6" w:rsidRPr="0034180A">
        <w:rPr>
          <w:sz w:val="24"/>
          <w:szCs w:val="24"/>
        </w:rPr>
        <w:t>7</w:t>
      </w:r>
      <w:r w:rsidRPr="0034180A">
        <w:rPr>
          <w:sz w:val="24"/>
          <w:szCs w:val="24"/>
        </w:rPr>
        <w:tab/>
      </w:r>
      <w:r w:rsidR="00F06BA7" w:rsidRPr="0034180A">
        <w:rPr>
          <w:sz w:val="24"/>
          <w:szCs w:val="24"/>
        </w:rPr>
        <w:t xml:space="preserve">The 2016 </w:t>
      </w:r>
      <w:r w:rsidR="00981919" w:rsidRPr="0034180A">
        <w:rPr>
          <w:sz w:val="24"/>
          <w:szCs w:val="24"/>
        </w:rPr>
        <w:t>Government Actuaries Department (</w:t>
      </w:r>
      <w:r w:rsidR="00F06BA7" w:rsidRPr="0034180A">
        <w:rPr>
          <w:sz w:val="24"/>
          <w:szCs w:val="24"/>
        </w:rPr>
        <w:t>GAD</w:t>
      </w:r>
      <w:r w:rsidR="00981919" w:rsidRPr="0034180A">
        <w:rPr>
          <w:sz w:val="24"/>
          <w:szCs w:val="24"/>
        </w:rPr>
        <w:t>)</w:t>
      </w:r>
      <w:r w:rsidR="00F06BA7" w:rsidRPr="0034180A">
        <w:rPr>
          <w:sz w:val="24"/>
          <w:szCs w:val="24"/>
        </w:rPr>
        <w:t xml:space="preserve"> revaluation</w:t>
      </w:r>
      <w:r w:rsidR="001B4118" w:rsidRPr="0034180A">
        <w:rPr>
          <w:sz w:val="24"/>
          <w:szCs w:val="24"/>
        </w:rPr>
        <w:t xml:space="preserve"> of the </w:t>
      </w:r>
      <w:r w:rsidR="00E85687" w:rsidRPr="0034180A">
        <w:rPr>
          <w:sz w:val="24"/>
          <w:szCs w:val="24"/>
        </w:rPr>
        <w:t>firefighter’s</w:t>
      </w:r>
      <w:r w:rsidR="001B4118" w:rsidRPr="0034180A">
        <w:rPr>
          <w:sz w:val="24"/>
          <w:szCs w:val="24"/>
        </w:rPr>
        <w:t xml:space="preserve"> pension fund</w:t>
      </w:r>
      <w:r w:rsidR="00F06BA7" w:rsidRPr="0034180A">
        <w:rPr>
          <w:sz w:val="24"/>
          <w:szCs w:val="24"/>
        </w:rPr>
        <w:t xml:space="preserve"> resulted in a headline rate increase of 12.4% of employer pension costs, which equated to </w:t>
      </w:r>
      <w:r w:rsidR="001B4118" w:rsidRPr="0034180A">
        <w:rPr>
          <w:sz w:val="24"/>
          <w:szCs w:val="24"/>
        </w:rPr>
        <w:t xml:space="preserve">£2.5m for the </w:t>
      </w:r>
      <w:r w:rsidR="00AC5065">
        <w:rPr>
          <w:sz w:val="24"/>
          <w:szCs w:val="24"/>
        </w:rPr>
        <w:t>S</w:t>
      </w:r>
      <w:r w:rsidR="001B4118" w:rsidRPr="0034180A">
        <w:rPr>
          <w:sz w:val="24"/>
          <w:szCs w:val="24"/>
        </w:rPr>
        <w:t>ervice</w:t>
      </w:r>
      <w:r w:rsidR="00F06BA7" w:rsidRPr="0034180A">
        <w:rPr>
          <w:sz w:val="24"/>
          <w:szCs w:val="24"/>
        </w:rPr>
        <w:t>. The Home Office agreed to fund £</w:t>
      </w:r>
      <w:r w:rsidR="001B4118" w:rsidRPr="0034180A">
        <w:rPr>
          <w:sz w:val="24"/>
          <w:szCs w:val="24"/>
        </w:rPr>
        <w:t>2.3m</w:t>
      </w:r>
      <w:r w:rsidR="00F06BA7" w:rsidRPr="0034180A">
        <w:rPr>
          <w:sz w:val="24"/>
          <w:szCs w:val="24"/>
        </w:rPr>
        <w:t xml:space="preserve"> of this pressure in </w:t>
      </w:r>
      <w:r w:rsidR="005B6AAD" w:rsidRPr="0034180A">
        <w:rPr>
          <w:sz w:val="24"/>
          <w:szCs w:val="24"/>
        </w:rPr>
        <w:t>20</w:t>
      </w:r>
      <w:r w:rsidR="00D53345" w:rsidRPr="0034180A">
        <w:rPr>
          <w:sz w:val="24"/>
          <w:szCs w:val="24"/>
        </w:rPr>
        <w:t xml:space="preserve">19/20 but has been kept at the same cash value, leaving increases in costs due to pay inflation to be met by the </w:t>
      </w:r>
      <w:r w:rsidR="00AC5065">
        <w:rPr>
          <w:sz w:val="24"/>
          <w:szCs w:val="24"/>
        </w:rPr>
        <w:t>S</w:t>
      </w:r>
      <w:r w:rsidR="00D53345" w:rsidRPr="0034180A">
        <w:rPr>
          <w:sz w:val="24"/>
          <w:szCs w:val="24"/>
        </w:rPr>
        <w:t>ervice</w:t>
      </w:r>
      <w:r w:rsidR="00EC5659" w:rsidRPr="0034180A">
        <w:rPr>
          <w:sz w:val="24"/>
          <w:szCs w:val="24"/>
        </w:rPr>
        <w:t>.  Th</w:t>
      </w:r>
      <w:r w:rsidR="00D53345" w:rsidRPr="0034180A">
        <w:rPr>
          <w:sz w:val="24"/>
          <w:szCs w:val="24"/>
        </w:rPr>
        <w:t xml:space="preserve">e £2.3m grant is expected to continue into </w:t>
      </w:r>
      <w:r w:rsidR="004B6C98" w:rsidRPr="0034180A">
        <w:rPr>
          <w:sz w:val="24"/>
          <w:szCs w:val="24"/>
        </w:rPr>
        <w:t>2024/25</w:t>
      </w:r>
      <w:r w:rsidR="00D53345" w:rsidRPr="0034180A">
        <w:rPr>
          <w:sz w:val="24"/>
          <w:szCs w:val="24"/>
        </w:rPr>
        <w:t xml:space="preserve">, and discussions are ongoing for this now to be added to the baseline funding for the </w:t>
      </w:r>
      <w:r w:rsidR="00AC5065">
        <w:rPr>
          <w:sz w:val="24"/>
          <w:szCs w:val="24"/>
        </w:rPr>
        <w:t>A</w:t>
      </w:r>
      <w:r w:rsidR="00D53345" w:rsidRPr="0034180A">
        <w:rPr>
          <w:sz w:val="24"/>
          <w:szCs w:val="24"/>
        </w:rPr>
        <w:t>uthority rather than being paid as a Section 31 grant.</w:t>
      </w:r>
      <w:r w:rsidR="00D53345" w:rsidRPr="00E05E60">
        <w:rPr>
          <w:sz w:val="24"/>
          <w:szCs w:val="24"/>
        </w:rPr>
        <w:t xml:space="preserve"> </w:t>
      </w:r>
      <w:r w:rsidR="00EC5659" w:rsidRPr="00E05E60">
        <w:rPr>
          <w:sz w:val="24"/>
          <w:szCs w:val="24"/>
        </w:rPr>
        <w:t xml:space="preserve"> </w:t>
      </w:r>
    </w:p>
    <w:p w14:paraId="232AA86E" w14:textId="77777777" w:rsidR="003A1AF1" w:rsidRDefault="003A1AF1" w:rsidP="00A9355B">
      <w:pPr>
        <w:ind w:left="709" w:hanging="709"/>
        <w:rPr>
          <w:sz w:val="24"/>
          <w:szCs w:val="24"/>
        </w:rPr>
      </w:pPr>
    </w:p>
    <w:p w14:paraId="368C4A18" w14:textId="77777777" w:rsidR="00F06BA7" w:rsidRPr="00E05E60" w:rsidRDefault="00673F95" w:rsidP="00A9355B">
      <w:pPr>
        <w:ind w:left="709" w:hanging="709"/>
        <w:rPr>
          <w:sz w:val="24"/>
          <w:szCs w:val="24"/>
        </w:rPr>
      </w:pPr>
      <w:r>
        <w:rPr>
          <w:sz w:val="24"/>
          <w:szCs w:val="24"/>
        </w:rPr>
        <w:t>3.18</w:t>
      </w:r>
      <w:r w:rsidR="003A1AF1">
        <w:rPr>
          <w:sz w:val="24"/>
          <w:szCs w:val="24"/>
        </w:rPr>
        <w:tab/>
      </w:r>
      <w:r w:rsidR="00B249D6" w:rsidRPr="00E941D4">
        <w:rPr>
          <w:sz w:val="24"/>
          <w:szCs w:val="24"/>
        </w:rPr>
        <w:t>The</w:t>
      </w:r>
      <w:r w:rsidR="00D53345" w:rsidRPr="00E941D4">
        <w:rPr>
          <w:sz w:val="24"/>
          <w:szCs w:val="24"/>
        </w:rPr>
        <w:t xml:space="preserve"> results of the 2020 valuation are expected </w:t>
      </w:r>
      <w:r w:rsidR="003A1AF1" w:rsidRPr="00E941D4">
        <w:rPr>
          <w:sz w:val="24"/>
          <w:szCs w:val="24"/>
        </w:rPr>
        <w:t>soon</w:t>
      </w:r>
      <w:r w:rsidR="00D53345" w:rsidRPr="00E941D4">
        <w:rPr>
          <w:sz w:val="24"/>
          <w:szCs w:val="24"/>
        </w:rPr>
        <w:t xml:space="preserve"> and could potentially result in a similar increase in employer pension costs</w:t>
      </w:r>
      <w:r w:rsidR="003A1AF1" w:rsidRPr="00E941D4">
        <w:rPr>
          <w:sz w:val="24"/>
          <w:szCs w:val="24"/>
        </w:rPr>
        <w:t>.  Funding for any additional costs has been committed to by Central Government</w:t>
      </w:r>
      <w:r w:rsidR="007D470C" w:rsidRPr="00E941D4">
        <w:rPr>
          <w:sz w:val="24"/>
          <w:szCs w:val="24"/>
        </w:rPr>
        <w:t xml:space="preserve"> until the end of 202</w:t>
      </w:r>
      <w:r w:rsidR="00905743" w:rsidRPr="00E941D4">
        <w:rPr>
          <w:sz w:val="24"/>
          <w:szCs w:val="24"/>
        </w:rPr>
        <w:t>5</w:t>
      </w:r>
      <w:r w:rsidR="007D470C" w:rsidRPr="00E941D4">
        <w:rPr>
          <w:sz w:val="24"/>
          <w:szCs w:val="24"/>
        </w:rPr>
        <w:t>/2</w:t>
      </w:r>
      <w:r w:rsidR="00905743" w:rsidRPr="00E941D4">
        <w:rPr>
          <w:sz w:val="24"/>
          <w:szCs w:val="24"/>
        </w:rPr>
        <w:t>6</w:t>
      </w:r>
      <w:r w:rsidR="00D53345" w:rsidRPr="00E941D4">
        <w:rPr>
          <w:sz w:val="24"/>
          <w:szCs w:val="24"/>
        </w:rPr>
        <w:t>.</w:t>
      </w:r>
      <w:r w:rsidR="007D470C" w:rsidRPr="00E941D4">
        <w:rPr>
          <w:sz w:val="24"/>
          <w:szCs w:val="24"/>
        </w:rPr>
        <w:t xml:space="preserve">  After this date, any funding will have to be negotiated as part of the Funding Settlement.  There remains a risk that these costs will not be funded in full.</w:t>
      </w:r>
      <w:r w:rsidR="00D53345" w:rsidRPr="00E05E60">
        <w:rPr>
          <w:sz w:val="24"/>
          <w:szCs w:val="24"/>
        </w:rPr>
        <w:t xml:space="preserve"> </w:t>
      </w:r>
      <w:r w:rsidR="00B249D6" w:rsidRPr="00E05E60">
        <w:rPr>
          <w:sz w:val="24"/>
          <w:szCs w:val="24"/>
        </w:rPr>
        <w:t xml:space="preserve"> </w:t>
      </w:r>
    </w:p>
    <w:p w14:paraId="3F035528" w14:textId="77777777" w:rsidR="00B249D6" w:rsidRPr="00E05E60" w:rsidRDefault="00B249D6" w:rsidP="001B4118">
      <w:pPr>
        <w:rPr>
          <w:sz w:val="24"/>
          <w:szCs w:val="24"/>
        </w:rPr>
      </w:pPr>
    </w:p>
    <w:p w14:paraId="7DE6C295" w14:textId="77777777" w:rsidR="00490686" w:rsidRPr="00E05E60" w:rsidRDefault="00490686" w:rsidP="00490686">
      <w:pPr>
        <w:ind w:left="720" w:hanging="720"/>
        <w:rPr>
          <w:b/>
          <w:sz w:val="24"/>
          <w:szCs w:val="24"/>
        </w:rPr>
      </w:pPr>
      <w:r w:rsidRPr="00E05E60">
        <w:rPr>
          <w:b/>
          <w:sz w:val="24"/>
          <w:szCs w:val="24"/>
        </w:rPr>
        <w:t>PAY AWARD</w:t>
      </w:r>
    </w:p>
    <w:p w14:paraId="18C3D347" w14:textId="77777777" w:rsidR="00490686" w:rsidRPr="00E05E60" w:rsidRDefault="00490686" w:rsidP="00490686">
      <w:pPr>
        <w:tabs>
          <w:tab w:val="num" w:pos="709"/>
        </w:tabs>
        <w:ind w:left="709" w:hanging="709"/>
        <w:rPr>
          <w:sz w:val="24"/>
          <w:szCs w:val="24"/>
        </w:rPr>
      </w:pPr>
      <w:r w:rsidRPr="00E05E60">
        <w:rPr>
          <w:sz w:val="24"/>
          <w:szCs w:val="24"/>
        </w:rPr>
        <w:t xml:space="preserve"> </w:t>
      </w:r>
    </w:p>
    <w:p w14:paraId="2B8D1C17" w14:textId="77777777" w:rsidR="00704BC1" w:rsidRPr="0034180A" w:rsidRDefault="00A9355B" w:rsidP="00490686">
      <w:pPr>
        <w:tabs>
          <w:tab w:val="num" w:pos="709"/>
        </w:tabs>
        <w:ind w:left="709" w:hanging="709"/>
        <w:rPr>
          <w:sz w:val="24"/>
          <w:szCs w:val="24"/>
        </w:rPr>
      </w:pPr>
      <w:r w:rsidRPr="0034180A">
        <w:rPr>
          <w:sz w:val="24"/>
          <w:szCs w:val="24"/>
        </w:rPr>
        <w:t>3.1</w:t>
      </w:r>
      <w:r w:rsidR="00673F95">
        <w:rPr>
          <w:sz w:val="24"/>
          <w:szCs w:val="24"/>
        </w:rPr>
        <w:t>9</w:t>
      </w:r>
      <w:r w:rsidR="00704BC1" w:rsidRPr="0034180A">
        <w:rPr>
          <w:sz w:val="24"/>
          <w:szCs w:val="24"/>
        </w:rPr>
        <w:tab/>
      </w:r>
      <w:r w:rsidR="004F68DE" w:rsidRPr="0034180A">
        <w:rPr>
          <w:sz w:val="24"/>
          <w:szCs w:val="24"/>
        </w:rPr>
        <w:t xml:space="preserve">The </w:t>
      </w:r>
      <w:r w:rsidR="002C0F61">
        <w:rPr>
          <w:sz w:val="24"/>
          <w:szCs w:val="24"/>
        </w:rPr>
        <w:t>f</w:t>
      </w:r>
      <w:r w:rsidR="004F68DE" w:rsidRPr="0034180A">
        <w:rPr>
          <w:sz w:val="24"/>
          <w:szCs w:val="24"/>
        </w:rPr>
        <w:t xml:space="preserve">irefighter pay award was agreed at 5% for 2023/24.  Negotiations for 2024/25 are in their very early stages.  A 5% increase has been included in the MTFS for 2024/25, followed by </w:t>
      </w:r>
      <w:r w:rsidR="00B54122" w:rsidRPr="0034180A">
        <w:rPr>
          <w:sz w:val="24"/>
          <w:szCs w:val="24"/>
        </w:rPr>
        <w:t xml:space="preserve">3% for 2025/26 and 2% thereafter.  Any increases above these assumptions will create a cost pressure </w:t>
      </w:r>
      <w:r w:rsidR="002C0F61">
        <w:rPr>
          <w:sz w:val="24"/>
          <w:szCs w:val="24"/>
        </w:rPr>
        <w:t>(</w:t>
      </w:r>
      <w:r w:rsidR="00B54122" w:rsidRPr="0034180A">
        <w:rPr>
          <w:sz w:val="24"/>
          <w:szCs w:val="24"/>
        </w:rPr>
        <w:t>a</w:t>
      </w:r>
      <w:r w:rsidR="00A94E60" w:rsidRPr="0034180A">
        <w:rPr>
          <w:sz w:val="24"/>
          <w:szCs w:val="24"/>
        </w:rPr>
        <w:t xml:space="preserve"> 1% increase relates to </w:t>
      </w:r>
      <w:r w:rsidR="00F66B32" w:rsidRPr="0034180A">
        <w:rPr>
          <w:sz w:val="24"/>
          <w:szCs w:val="24"/>
        </w:rPr>
        <w:t>approximately £</w:t>
      </w:r>
      <w:r w:rsidR="00D566C9" w:rsidRPr="0034180A">
        <w:rPr>
          <w:sz w:val="24"/>
          <w:szCs w:val="24"/>
        </w:rPr>
        <w:t>3</w:t>
      </w:r>
      <w:r w:rsidR="00B54122" w:rsidRPr="0034180A">
        <w:rPr>
          <w:sz w:val="24"/>
          <w:szCs w:val="24"/>
        </w:rPr>
        <w:t>20</w:t>
      </w:r>
      <w:r w:rsidR="00F66B32" w:rsidRPr="0034180A">
        <w:rPr>
          <w:sz w:val="24"/>
          <w:szCs w:val="24"/>
        </w:rPr>
        <w:t>k ongoing costs</w:t>
      </w:r>
      <w:r w:rsidR="00B54122" w:rsidRPr="0034180A">
        <w:rPr>
          <w:sz w:val="24"/>
          <w:szCs w:val="24"/>
        </w:rPr>
        <w:t xml:space="preserve"> per year</w:t>
      </w:r>
      <w:r w:rsidR="00F66B32" w:rsidRPr="0034180A">
        <w:rPr>
          <w:sz w:val="24"/>
          <w:szCs w:val="24"/>
        </w:rPr>
        <w:t>)</w:t>
      </w:r>
      <w:r w:rsidR="00716DD0" w:rsidRPr="0034180A">
        <w:rPr>
          <w:sz w:val="24"/>
          <w:szCs w:val="24"/>
        </w:rPr>
        <w:t xml:space="preserve">.  </w:t>
      </w:r>
    </w:p>
    <w:p w14:paraId="5F7B7B44" w14:textId="77777777" w:rsidR="00F66B32" w:rsidRPr="0034180A" w:rsidRDefault="00F66B32" w:rsidP="00490686">
      <w:pPr>
        <w:tabs>
          <w:tab w:val="num" w:pos="709"/>
        </w:tabs>
        <w:ind w:left="709" w:hanging="709"/>
        <w:rPr>
          <w:sz w:val="24"/>
          <w:szCs w:val="24"/>
        </w:rPr>
      </w:pPr>
    </w:p>
    <w:p w14:paraId="1F34C289" w14:textId="77777777" w:rsidR="00815C41" w:rsidRPr="0034180A" w:rsidRDefault="00F66B32" w:rsidP="00490686">
      <w:pPr>
        <w:tabs>
          <w:tab w:val="num" w:pos="709"/>
        </w:tabs>
        <w:ind w:left="709" w:hanging="709"/>
        <w:rPr>
          <w:sz w:val="24"/>
          <w:szCs w:val="24"/>
        </w:rPr>
      </w:pPr>
      <w:r w:rsidRPr="0034180A">
        <w:rPr>
          <w:sz w:val="24"/>
          <w:szCs w:val="24"/>
        </w:rPr>
        <w:t>3.</w:t>
      </w:r>
      <w:r w:rsidR="00673F95">
        <w:rPr>
          <w:sz w:val="24"/>
          <w:szCs w:val="24"/>
        </w:rPr>
        <w:t>20</w:t>
      </w:r>
      <w:r w:rsidRPr="0034180A">
        <w:rPr>
          <w:sz w:val="24"/>
          <w:szCs w:val="24"/>
        </w:rPr>
        <w:tab/>
      </w:r>
      <w:r w:rsidR="00B73F1C" w:rsidRPr="0034180A">
        <w:rPr>
          <w:sz w:val="24"/>
          <w:szCs w:val="24"/>
        </w:rPr>
        <w:t xml:space="preserve">The 2023/24 pay award offer for support </w:t>
      </w:r>
      <w:r w:rsidR="0034180A" w:rsidRPr="0034180A">
        <w:rPr>
          <w:sz w:val="24"/>
          <w:szCs w:val="24"/>
        </w:rPr>
        <w:t>staff was</w:t>
      </w:r>
      <w:r w:rsidR="001242BD" w:rsidRPr="0034180A">
        <w:rPr>
          <w:sz w:val="24"/>
          <w:szCs w:val="24"/>
        </w:rPr>
        <w:t xml:space="preserve"> agreed as a flat </w:t>
      </w:r>
      <w:r w:rsidR="00D566C9" w:rsidRPr="0034180A">
        <w:rPr>
          <w:sz w:val="24"/>
          <w:szCs w:val="24"/>
        </w:rPr>
        <w:t xml:space="preserve">increase of </w:t>
      </w:r>
      <w:r w:rsidR="001C50B5" w:rsidRPr="0034180A">
        <w:rPr>
          <w:sz w:val="24"/>
          <w:szCs w:val="24"/>
        </w:rPr>
        <w:t>£</w:t>
      </w:r>
      <w:r w:rsidRPr="0034180A">
        <w:rPr>
          <w:sz w:val="24"/>
          <w:szCs w:val="24"/>
        </w:rPr>
        <w:t>1</w:t>
      </w:r>
      <w:r w:rsidR="00D566C9" w:rsidRPr="0034180A">
        <w:rPr>
          <w:sz w:val="24"/>
          <w:szCs w:val="24"/>
        </w:rPr>
        <w:t>,925</w:t>
      </w:r>
      <w:r w:rsidR="00B73F1C" w:rsidRPr="0034180A">
        <w:rPr>
          <w:sz w:val="24"/>
          <w:szCs w:val="24"/>
        </w:rPr>
        <w:t xml:space="preserve">.  </w:t>
      </w:r>
      <w:r w:rsidR="001242BD" w:rsidRPr="0034180A">
        <w:rPr>
          <w:sz w:val="24"/>
          <w:szCs w:val="24"/>
        </w:rPr>
        <w:t>T</w:t>
      </w:r>
      <w:r w:rsidR="00B73F1C" w:rsidRPr="0034180A">
        <w:rPr>
          <w:sz w:val="24"/>
          <w:szCs w:val="24"/>
        </w:rPr>
        <w:t>his equate</w:t>
      </w:r>
      <w:r w:rsidR="001242BD" w:rsidRPr="0034180A">
        <w:rPr>
          <w:sz w:val="24"/>
          <w:szCs w:val="24"/>
        </w:rPr>
        <w:t>s</w:t>
      </w:r>
      <w:r w:rsidR="00B73F1C" w:rsidRPr="0034180A">
        <w:rPr>
          <w:sz w:val="24"/>
          <w:szCs w:val="24"/>
        </w:rPr>
        <w:t xml:space="preserve"> to approximately a 4% increase in green book costs</w:t>
      </w:r>
      <w:r w:rsidR="00815C41" w:rsidRPr="0034180A">
        <w:rPr>
          <w:sz w:val="24"/>
          <w:szCs w:val="24"/>
        </w:rPr>
        <w:t>, which is higher than the 2% included in the 2023/24 budget and result</w:t>
      </w:r>
      <w:r w:rsidR="001242BD" w:rsidRPr="0034180A">
        <w:rPr>
          <w:sz w:val="24"/>
          <w:szCs w:val="24"/>
        </w:rPr>
        <w:t>s</w:t>
      </w:r>
      <w:r w:rsidR="00815C41" w:rsidRPr="0034180A">
        <w:rPr>
          <w:sz w:val="24"/>
          <w:szCs w:val="24"/>
        </w:rPr>
        <w:t xml:space="preserve"> in a £120k additional costs.  </w:t>
      </w:r>
    </w:p>
    <w:p w14:paraId="4617CBA6" w14:textId="77777777" w:rsidR="00815C41" w:rsidRPr="0034180A" w:rsidRDefault="00815C41" w:rsidP="00490686">
      <w:pPr>
        <w:tabs>
          <w:tab w:val="num" w:pos="709"/>
        </w:tabs>
        <w:ind w:left="709" w:hanging="709"/>
        <w:rPr>
          <w:sz w:val="24"/>
          <w:szCs w:val="24"/>
        </w:rPr>
      </w:pPr>
    </w:p>
    <w:p w14:paraId="19EC7CE5" w14:textId="77777777" w:rsidR="00F66B32" w:rsidRPr="00E05E60" w:rsidRDefault="00815C41" w:rsidP="00490686">
      <w:pPr>
        <w:tabs>
          <w:tab w:val="num" w:pos="709"/>
        </w:tabs>
        <w:ind w:left="709" w:hanging="709"/>
        <w:rPr>
          <w:sz w:val="24"/>
          <w:szCs w:val="24"/>
        </w:rPr>
      </w:pPr>
      <w:r w:rsidRPr="0034180A">
        <w:rPr>
          <w:sz w:val="24"/>
          <w:szCs w:val="24"/>
        </w:rPr>
        <w:t>3.2</w:t>
      </w:r>
      <w:r w:rsidR="00673F95">
        <w:rPr>
          <w:sz w:val="24"/>
          <w:szCs w:val="24"/>
        </w:rPr>
        <w:t>1</w:t>
      </w:r>
      <w:r w:rsidRPr="0034180A">
        <w:rPr>
          <w:sz w:val="24"/>
          <w:szCs w:val="24"/>
        </w:rPr>
        <w:tab/>
        <w:t xml:space="preserve">The 2024/25 support staff pay award is yet to be agreed.  A 5% increase has been included in the MTFS for 2024/25, followed by 3% for 2025/26 and 2% thereafter.  </w:t>
      </w:r>
    </w:p>
    <w:p w14:paraId="20800BA6" w14:textId="77777777" w:rsidR="00490686" w:rsidRPr="00E05E60" w:rsidRDefault="00490686" w:rsidP="00490686">
      <w:pPr>
        <w:tabs>
          <w:tab w:val="num" w:pos="709"/>
        </w:tabs>
        <w:ind w:left="709" w:hanging="709"/>
        <w:rPr>
          <w:sz w:val="24"/>
          <w:szCs w:val="24"/>
        </w:rPr>
      </w:pPr>
    </w:p>
    <w:p w14:paraId="6B4BAA75" w14:textId="77777777" w:rsidR="00490686" w:rsidRPr="00E05E60" w:rsidRDefault="00490686" w:rsidP="00490686">
      <w:pPr>
        <w:rPr>
          <w:sz w:val="24"/>
          <w:szCs w:val="24"/>
        </w:rPr>
      </w:pPr>
      <w:r w:rsidRPr="00E05E60">
        <w:rPr>
          <w:b/>
          <w:sz w:val="24"/>
          <w:szCs w:val="24"/>
        </w:rPr>
        <w:t>INVESTMENT IN TECHNOLOGICAL CAPABILITY</w:t>
      </w:r>
    </w:p>
    <w:p w14:paraId="50D72B76" w14:textId="77777777" w:rsidR="00490686" w:rsidRPr="00E05E60" w:rsidRDefault="00490686" w:rsidP="00A9355B">
      <w:pPr>
        <w:ind w:left="709" w:hanging="709"/>
        <w:rPr>
          <w:sz w:val="24"/>
          <w:szCs w:val="24"/>
        </w:rPr>
      </w:pPr>
    </w:p>
    <w:p w14:paraId="69AB2981" w14:textId="77777777" w:rsidR="00490686" w:rsidRPr="0034180A" w:rsidRDefault="00A9355B" w:rsidP="00A9355B">
      <w:pPr>
        <w:ind w:left="709" w:hanging="709"/>
        <w:rPr>
          <w:sz w:val="24"/>
          <w:szCs w:val="24"/>
        </w:rPr>
      </w:pPr>
      <w:r w:rsidRPr="00E05E60">
        <w:rPr>
          <w:sz w:val="24"/>
          <w:szCs w:val="24"/>
        </w:rPr>
        <w:t>3.</w:t>
      </w:r>
      <w:r w:rsidR="008B05E6">
        <w:rPr>
          <w:sz w:val="24"/>
          <w:szCs w:val="24"/>
        </w:rPr>
        <w:t>2</w:t>
      </w:r>
      <w:r w:rsidR="00414CE6">
        <w:rPr>
          <w:sz w:val="24"/>
          <w:szCs w:val="24"/>
        </w:rPr>
        <w:t>2</w:t>
      </w:r>
      <w:r w:rsidRPr="00E05E60">
        <w:rPr>
          <w:sz w:val="24"/>
          <w:szCs w:val="24"/>
        </w:rPr>
        <w:tab/>
      </w:r>
      <w:r w:rsidR="000169B6">
        <w:rPr>
          <w:sz w:val="24"/>
          <w:szCs w:val="24"/>
        </w:rPr>
        <w:t>T</w:t>
      </w:r>
      <w:r w:rsidR="00490686" w:rsidRPr="0034180A">
        <w:rPr>
          <w:sz w:val="24"/>
          <w:szCs w:val="24"/>
        </w:rPr>
        <w:t>echnological changes</w:t>
      </w:r>
      <w:r w:rsidR="00273954">
        <w:rPr>
          <w:sz w:val="24"/>
          <w:szCs w:val="24"/>
        </w:rPr>
        <w:t xml:space="preserve"> and cyber security needs to be kept under constant review, as does the</w:t>
      </w:r>
      <w:r w:rsidR="00490686" w:rsidRPr="0034180A">
        <w:rPr>
          <w:sz w:val="24"/>
          <w:szCs w:val="24"/>
        </w:rPr>
        <w:t xml:space="preserve"> acquisition of new software packages</w:t>
      </w:r>
      <w:r w:rsidR="00273954">
        <w:rPr>
          <w:sz w:val="24"/>
          <w:szCs w:val="24"/>
        </w:rPr>
        <w:t>.</w:t>
      </w:r>
      <w:r w:rsidR="000169B6">
        <w:rPr>
          <w:sz w:val="24"/>
          <w:szCs w:val="24"/>
        </w:rPr>
        <w:t xml:space="preserve"> </w:t>
      </w:r>
    </w:p>
    <w:p w14:paraId="66641952" w14:textId="77777777" w:rsidR="00490686" w:rsidRPr="0034180A" w:rsidRDefault="00490686" w:rsidP="00A9355B">
      <w:pPr>
        <w:ind w:left="709" w:hanging="709"/>
        <w:rPr>
          <w:sz w:val="24"/>
          <w:szCs w:val="24"/>
        </w:rPr>
      </w:pPr>
    </w:p>
    <w:p w14:paraId="292C485D" w14:textId="77777777" w:rsidR="00490686" w:rsidRPr="00E05E60" w:rsidRDefault="00A9355B" w:rsidP="00A9355B">
      <w:pPr>
        <w:autoSpaceDE w:val="0"/>
        <w:autoSpaceDN w:val="0"/>
        <w:spacing w:after="60"/>
        <w:ind w:left="709" w:hanging="709"/>
        <w:rPr>
          <w:color w:val="000000"/>
          <w:sz w:val="24"/>
          <w:szCs w:val="24"/>
          <w:lang w:eastAsia="en-GB"/>
        </w:rPr>
      </w:pPr>
      <w:r w:rsidRPr="0034180A">
        <w:rPr>
          <w:sz w:val="24"/>
          <w:szCs w:val="24"/>
        </w:rPr>
        <w:t>3.2</w:t>
      </w:r>
      <w:r w:rsidR="00414CE6">
        <w:rPr>
          <w:sz w:val="24"/>
          <w:szCs w:val="24"/>
        </w:rPr>
        <w:t>3</w:t>
      </w:r>
      <w:r w:rsidRPr="0034180A">
        <w:rPr>
          <w:sz w:val="24"/>
          <w:szCs w:val="24"/>
        </w:rPr>
        <w:tab/>
      </w:r>
      <w:r w:rsidR="00490686" w:rsidRPr="0034180A">
        <w:rPr>
          <w:sz w:val="24"/>
          <w:szCs w:val="24"/>
        </w:rPr>
        <w:t xml:space="preserve">All of these areas are placing increased pressure on the </w:t>
      </w:r>
      <w:r w:rsidR="00490686" w:rsidRPr="0034180A">
        <w:rPr>
          <w:color w:val="000000"/>
          <w:sz w:val="24"/>
          <w:szCs w:val="24"/>
          <w:lang w:eastAsia="en-GB"/>
        </w:rPr>
        <w:t xml:space="preserve">Information </w:t>
      </w:r>
      <w:r w:rsidR="002C0F61">
        <w:rPr>
          <w:color w:val="000000"/>
          <w:sz w:val="24"/>
          <w:szCs w:val="24"/>
          <w:lang w:eastAsia="en-GB"/>
        </w:rPr>
        <w:t xml:space="preserve">and </w:t>
      </w:r>
      <w:r w:rsidR="00490686" w:rsidRPr="0034180A">
        <w:rPr>
          <w:color w:val="000000"/>
          <w:sz w:val="24"/>
          <w:szCs w:val="24"/>
          <w:lang w:eastAsia="en-GB"/>
        </w:rPr>
        <w:t xml:space="preserve">Communication Technology (ICT) Department.  </w:t>
      </w:r>
      <w:r w:rsidR="00273954">
        <w:rPr>
          <w:color w:val="000000"/>
          <w:sz w:val="24"/>
          <w:szCs w:val="24"/>
          <w:lang w:eastAsia="en-GB"/>
        </w:rPr>
        <w:t xml:space="preserve">The department has committed to securing appropriate equipment and software in future years in order to enable improved ways of working. </w:t>
      </w:r>
      <w:r w:rsidR="00646F29">
        <w:rPr>
          <w:color w:val="000000"/>
          <w:sz w:val="24"/>
          <w:szCs w:val="24"/>
          <w:lang w:eastAsia="en-GB"/>
        </w:rPr>
        <w:t>Funding for this will</w:t>
      </w:r>
      <w:r w:rsidR="00716DD0" w:rsidRPr="00E05E60">
        <w:rPr>
          <w:color w:val="000000"/>
          <w:sz w:val="24"/>
          <w:szCs w:val="24"/>
          <w:lang w:eastAsia="en-GB"/>
        </w:rPr>
        <w:t xml:space="preserve"> have to be built into base budgets </w:t>
      </w:r>
      <w:r w:rsidR="00716DD0" w:rsidRPr="000169B6">
        <w:rPr>
          <w:color w:val="000000"/>
          <w:sz w:val="24"/>
          <w:szCs w:val="24"/>
          <w:lang w:eastAsia="en-GB"/>
        </w:rPr>
        <w:t>going forward.  I</w:t>
      </w:r>
      <w:r w:rsidR="00490686" w:rsidRPr="000169B6">
        <w:rPr>
          <w:color w:val="000000"/>
          <w:sz w:val="24"/>
          <w:szCs w:val="24"/>
          <w:lang w:eastAsia="en-GB"/>
        </w:rPr>
        <w:t xml:space="preserve">t is </w:t>
      </w:r>
      <w:r w:rsidR="00646F29">
        <w:rPr>
          <w:color w:val="000000"/>
          <w:sz w:val="24"/>
          <w:szCs w:val="24"/>
          <w:lang w:eastAsia="en-GB"/>
        </w:rPr>
        <w:t xml:space="preserve">also </w:t>
      </w:r>
      <w:r w:rsidR="00490686" w:rsidRPr="000169B6">
        <w:rPr>
          <w:color w:val="000000"/>
          <w:sz w:val="24"/>
          <w:szCs w:val="24"/>
          <w:lang w:eastAsia="en-GB"/>
        </w:rPr>
        <w:t>anticipated that further investment in the team will be required in forthcoming years.</w:t>
      </w:r>
      <w:r w:rsidR="00D146AE" w:rsidRPr="00E05E60">
        <w:rPr>
          <w:color w:val="000000"/>
          <w:sz w:val="24"/>
          <w:szCs w:val="24"/>
          <w:lang w:eastAsia="en-GB"/>
        </w:rPr>
        <w:t xml:space="preserve">  </w:t>
      </w:r>
    </w:p>
    <w:p w14:paraId="22E0EF01" w14:textId="77777777" w:rsidR="00490686" w:rsidRPr="00E05E60" w:rsidRDefault="00490686" w:rsidP="00490686">
      <w:pPr>
        <w:rPr>
          <w:sz w:val="24"/>
          <w:szCs w:val="24"/>
        </w:rPr>
      </w:pPr>
    </w:p>
    <w:p w14:paraId="2A3DBD53" w14:textId="77777777" w:rsidR="0059065B" w:rsidRDefault="0059065B" w:rsidP="002C0F61">
      <w:pPr>
        <w:rPr>
          <w:b/>
          <w:sz w:val="24"/>
          <w:szCs w:val="24"/>
        </w:rPr>
      </w:pPr>
      <w:r w:rsidRPr="00E05E60">
        <w:rPr>
          <w:b/>
          <w:sz w:val="24"/>
          <w:szCs w:val="24"/>
        </w:rPr>
        <w:t>GRENFELL TOWER INQUIRY RESPONSE</w:t>
      </w:r>
    </w:p>
    <w:p w14:paraId="1D94E954" w14:textId="77777777" w:rsidR="002C0F61" w:rsidRPr="00E05E60" w:rsidRDefault="002C0F61" w:rsidP="002C0F61">
      <w:pPr>
        <w:rPr>
          <w:b/>
          <w:sz w:val="24"/>
          <w:szCs w:val="24"/>
        </w:rPr>
      </w:pPr>
    </w:p>
    <w:p w14:paraId="74C7FCA0" w14:textId="77777777" w:rsidR="005B74F3" w:rsidRDefault="00A9355B" w:rsidP="002C0F61">
      <w:pPr>
        <w:pStyle w:val="NormalWeb"/>
        <w:spacing w:before="0" w:beforeAutospacing="0" w:after="0" w:afterAutospacing="0"/>
        <w:ind w:left="709" w:hanging="709"/>
        <w:rPr>
          <w:rFonts w:ascii="Arial" w:hAnsi="Arial" w:cs="Arial"/>
        </w:rPr>
      </w:pPr>
      <w:bookmarkStart w:id="3" w:name="_Hlk121060474"/>
      <w:r w:rsidRPr="00E05E60">
        <w:rPr>
          <w:rFonts w:ascii="Arial" w:hAnsi="Arial" w:cs="Arial"/>
        </w:rPr>
        <w:t>3</w:t>
      </w:r>
      <w:r w:rsidR="0059065B" w:rsidRPr="00E05E60">
        <w:rPr>
          <w:rFonts w:ascii="Arial" w:hAnsi="Arial" w:cs="Arial"/>
        </w:rPr>
        <w:t>.</w:t>
      </w:r>
      <w:r w:rsidRPr="00E05E60">
        <w:rPr>
          <w:rFonts w:ascii="Arial" w:hAnsi="Arial" w:cs="Arial"/>
        </w:rPr>
        <w:t>2</w:t>
      </w:r>
      <w:r w:rsidR="00414CE6">
        <w:rPr>
          <w:rFonts w:ascii="Arial" w:hAnsi="Arial" w:cs="Arial"/>
        </w:rPr>
        <w:t>4</w:t>
      </w:r>
      <w:r w:rsidR="0059065B" w:rsidRPr="00E05E60">
        <w:rPr>
          <w:rFonts w:ascii="Arial" w:hAnsi="Arial" w:cs="Arial"/>
        </w:rPr>
        <w:tab/>
      </w:r>
      <w:r w:rsidR="0059065B" w:rsidRPr="00461492">
        <w:rPr>
          <w:rFonts w:ascii="Arial" w:hAnsi="Arial" w:cs="Arial"/>
        </w:rPr>
        <w:t>The Grenfell Tower Inquiry and subsequent Hackitt review identified that much work</w:t>
      </w:r>
      <w:r w:rsidR="00B249D6" w:rsidRPr="00461492">
        <w:rPr>
          <w:rFonts w:ascii="Arial" w:hAnsi="Arial" w:cs="Arial"/>
        </w:rPr>
        <w:t xml:space="preserve"> </w:t>
      </w:r>
      <w:r w:rsidR="006B56E1" w:rsidRPr="00461492">
        <w:rPr>
          <w:rFonts w:ascii="Arial" w:hAnsi="Arial" w:cs="Arial"/>
        </w:rPr>
        <w:t xml:space="preserve">was required </w:t>
      </w:r>
      <w:r w:rsidR="00B249D6" w:rsidRPr="00461492">
        <w:rPr>
          <w:rFonts w:ascii="Arial" w:hAnsi="Arial" w:cs="Arial"/>
        </w:rPr>
        <w:t>within the sector</w:t>
      </w:r>
      <w:r w:rsidR="0059065B" w:rsidRPr="00461492">
        <w:rPr>
          <w:rFonts w:ascii="Arial" w:hAnsi="Arial" w:cs="Arial"/>
        </w:rPr>
        <w:t xml:space="preserve"> to address the issues within the built environment. This will result in increased workload for the Service and the requirement to develop competency and capacity. </w:t>
      </w:r>
      <w:r w:rsidR="005B74F3" w:rsidRPr="00461492">
        <w:rPr>
          <w:rFonts w:ascii="Arial" w:hAnsi="Arial" w:cs="Arial"/>
        </w:rPr>
        <w:t xml:space="preserve">The </w:t>
      </w:r>
      <w:r w:rsidR="002C0F61">
        <w:rPr>
          <w:rFonts w:ascii="Arial" w:hAnsi="Arial" w:cs="Arial"/>
        </w:rPr>
        <w:t>S</w:t>
      </w:r>
      <w:r w:rsidR="005B74F3" w:rsidRPr="00461492">
        <w:rPr>
          <w:rFonts w:ascii="Arial" w:hAnsi="Arial" w:cs="Arial"/>
        </w:rPr>
        <w:t xml:space="preserve">ervice has received </w:t>
      </w:r>
      <w:r w:rsidR="005B74F3" w:rsidRPr="00936505">
        <w:rPr>
          <w:rFonts w:ascii="Arial" w:hAnsi="Arial" w:cs="Arial"/>
        </w:rPr>
        <w:t xml:space="preserve">numerous grants to help it deliver on the recommendations coming out of the review over the past </w:t>
      </w:r>
      <w:r w:rsidR="00646F29">
        <w:rPr>
          <w:rFonts w:ascii="Arial" w:hAnsi="Arial" w:cs="Arial"/>
        </w:rPr>
        <w:t>four</w:t>
      </w:r>
      <w:r w:rsidR="00646F29" w:rsidRPr="00936505">
        <w:rPr>
          <w:rFonts w:ascii="Arial" w:hAnsi="Arial" w:cs="Arial"/>
        </w:rPr>
        <w:t xml:space="preserve"> </w:t>
      </w:r>
      <w:r w:rsidR="005B74F3" w:rsidRPr="00936505">
        <w:rPr>
          <w:rFonts w:ascii="Arial" w:hAnsi="Arial" w:cs="Arial"/>
        </w:rPr>
        <w:t xml:space="preserve">years.  Fire </w:t>
      </w:r>
      <w:r w:rsidR="002C0F61">
        <w:rPr>
          <w:rFonts w:ascii="Arial" w:hAnsi="Arial" w:cs="Arial"/>
        </w:rPr>
        <w:t>p</w:t>
      </w:r>
      <w:r w:rsidR="005B74F3" w:rsidRPr="00936505">
        <w:rPr>
          <w:rFonts w:ascii="Arial" w:hAnsi="Arial" w:cs="Arial"/>
        </w:rPr>
        <w:t xml:space="preserve">rotection </w:t>
      </w:r>
      <w:r w:rsidR="002C0F61">
        <w:rPr>
          <w:rFonts w:ascii="Arial" w:hAnsi="Arial" w:cs="Arial"/>
        </w:rPr>
        <w:t>u</w:t>
      </w:r>
      <w:r w:rsidR="005B74F3" w:rsidRPr="00936505">
        <w:rPr>
          <w:rFonts w:ascii="Arial" w:hAnsi="Arial" w:cs="Arial"/>
        </w:rPr>
        <w:t xml:space="preserve">plift grant of £146k was received in </w:t>
      </w:r>
      <w:r w:rsidR="004B6C98" w:rsidRPr="00936505">
        <w:rPr>
          <w:rFonts w:ascii="Arial" w:hAnsi="Arial" w:cs="Arial"/>
        </w:rPr>
        <w:t>2023/24</w:t>
      </w:r>
      <w:r w:rsidR="005B74F3" w:rsidRPr="00936505">
        <w:rPr>
          <w:rFonts w:ascii="Arial" w:hAnsi="Arial" w:cs="Arial"/>
        </w:rPr>
        <w:t xml:space="preserve"> and further funding is expected in </w:t>
      </w:r>
      <w:r w:rsidR="004B6C98" w:rsidRPr="00936505">
        <w:rPr>
          <w:rFonts w:ascii="Arial" w:hAnsi="Arial" w:cs="Arial"/>
        </w:rPr>
        <w:t>2024/25</w:t>
      </w:r>
      <w:r w:rsidR="005B74F3" w:rsidRPr="00936505">
        <w:rPr>
          <w:rFonts w:ascii="Arial" w:hAnsi="Arial" w:cs="Arial"/>
        </w:rPr>
        <w:t>, although not confirmed at this stage.</w:t>
      </w:r>
    </w:p>
    <w:p w14:paraId="37338069" w14:textId="77777777" w:rsidR="002C0F61" w:rsidRPr="00320226" w:rsidRDefault="002C0F61" w:rsidP="002C0F61">
      <w:pPr>
        <w:pStyle w:val="NormalWeb"/>
        <w:spacing w:before="0" w:beforeAutospacing="0" w:after="0" w:afterAutospacing="0"/>
        <w:ind w:left="709" w:hanging="709"/>
        <w:rPr>
          <w:rFonts w:ascii="Arial" w:hAnsi="Arial" w:cs="Arial"/>
          <w:highlight w:val="yellow"/>
        </w:rPr>
      </w:pPr>
    </w:p>
    <w:p w14:paraId="4DD20067" w14:textId="77777777" w:rsidR="005B74F3" w:rsidRPr="00E05E60" w:rsidRDefault="008B05E6" w:rsidP="002C0F61">
      <w:pPr>
        <w:pStyle w:val="NormalWeb"/>
        <w:spacing w:before="0" w:beforeAutospacing="0" w:after="0" w:afterAutospacing="0"/>
        <w:ind w:left="709" w:hanging="709"/>
        <w:rPr>
          <w:rFonts w:ascii="Arial" w:hAnsi="Arial" w:cs="Arial"/>
        </w:rPr>
      </w:pPr>
      <w:r w:rsidRPr="00936505">
        <w:rPr>
          <w:rFonts w:ascii="Arial" w:hAnsi="Arial" w:cs="Arial"/>
        </w:rPr>
        <w:t>3.2</w:t>
      </w:r>
      <w:r w:rsidR="00414CE6" w:rsidRPr="00936505">
        <w:rPr>
          <w:rFonts w:ascii="Arial" w:hAnsi="Arial" w:cs="Arial"/>
        </w:rPr>
        <w:t>5</w:t>
      </w:r>
      <w:r w:rsidRPr="00936505">
        <w:rPr>
          <w:rFonts w:ascii="Arial" w:hAnsi="Arial" w:cs="Arial"/>
        </w:rPr>
        <w:tab/>
      </w:r>
      <w:r w:rsidR="008B7FC1" w:rsidRPr="00936505">
        <w:rPr>
          <w:rFonts w:ascii="Arial" w:hAnsi="Arial" w:cs="Arial"/>
        </w:rPr>
        <w:t xml:space="preserve">The Authority is in receipt of </w:t>
      </w:r>
      <w:r w:rsidR="002C0F61">
        <w:rPr>
          <w:rFonts w:ascii="Arial" w:hAnsi="Arial" w:cs="Arial"/>
        </w:rPr>
        <w:t>n</w:t>
      </w:r>
      <w:r w:rsidR="005B74F3" w:rsidRPr="00936505">
        <w:rPr>
          <w:rFonts w:ascii="Arial" w:hAnsi="Arial" w:cs="Arial"/>
        </w:rPr>
        <w:t xml:space="preserve">ew </w:t>
      </w:r>
      <w:r w:rsidR="002C0F61">
        <w:rPr>
          <w:rFonts w:ascii="Arial" w:hAnsi="Arial" w:cs="Arial"/>
        </w:rPr>
        <w:t>b</w:t>
      </w:r>
      <w:r w:rsidR="005B74F3" w:rsidRPr="00936505">
        <w:rPr>
          <w:rFonts w:ascii="Arial" w:hAnsi="Arial" w:cs="Arial"/>
        </w:rPr>
        <w:t xml:space="preserve">urdens </w:t>
      </w:r>
      <w:r w:rsidR="008B7FC1" w:rsidRPr="00936505">
        <w:rPr>
          <w:rFonts w:ascii="Arial" w:hAnsi="Arial" w:cs="Arial"/>
        </w:rPr>
        <w:t xml:space="preserve">funding from the </w:t>
      </w:r>
      <w:r w:rsidR="00646F29">
        <w:rPr>
          <w:rFonts w:ascii="Arial" w:hAnsi="Arial" w:cs="Arial"/>
        </w:rPr>
        <w:t>H</w:t>
      </w:r>
      <w:r w:rsidR="008B7FC1" w:rsidRPr="00936505">
        <w:rPr>
          <w:rFonts w:ascii="Arial" w:hAnsi="Arial" w:cs="Arial"/>
        </w:rPr>
        <w:t xml:space="preserve">ome </w:t>
      </w:r>
      <w:r w:rsidR="00646F29">
        <w:rPr>
          <w:rFonts w:ascii="Arial" w:hAnsi="Arial" w:cs="Arial"/>
        </w:rPr>
        <w:t>O</w:t>
      </w:r>
      <w:r w:rsidR="008B7FC1" w:rsidRPr="00936505">
        <w:rPr>
          <w:rFonts w:ascii="Arial" w:hAnsi="Arial" w:cs="Arial"/>
        </w:rPr>
        <w:t xml:space="preserve">ffice </w:t>
      </w:r>
      <w:r w:rsidR="005B74F3" w:rsidRPr="00936505">
        <w:rPr>
          <w:rFonts w:ascii="Arial" w:hAnsi="Arial" w:cs="Arial"/>
        </w:rPr>
        <w:t>relating to the</w:t>
      </w:r>
      <w:r w:rsidR="000E29A7" w:rsidRPr="00936505">
        <w:rPr>
          <w:rFonts w:ascii="Arial" w:hAnsi="Arial" w:cs="Arial"/>
        </w:rPr>
        <w:t xml:space="preserve"> creation of a</w:t>
      </w:r>
      <w:r w:rsidR="005B74F3" w:rsidRPr="00936505">
        <w:rPr>
          <w:rFonts w:ascii="Arial" w:hAnsi="Arial" w:cs="Arial"/>
        </w:rPr>
        <w:t xml:space="preserve"> new regional Building Safety Regulator</w:t>
      </w:r>
      <w:r w:rsidR="008B7FC1" w:rsidRPr="00936505">
        <w:rPr>
          <w:rFonts w:ascii="Arial" w:hAnsi="Arial" w:cs="Arial"/>
        </w:rPr>
        <w:t>.</w:t>
      </w:r>
      <w:r w:rsidR="00646F29">
        <w:rPr>
          <w:rFonts w:ascii="Arial" w:hAnsi="Arial" w:cs="Arial"/>
        </w:rPr>
        <w:t xml:space="preserve"> This funding will continue in 2024/25.</w:t>
      </w:r>
    </w:p>
    <w:p w14:paraId="0C665B78" w14:textId="77777777" w:rsidR="0059065B" w:rsidRPr="00E05E60" w:rsidRDefault="0059065B" w:rsidP="00490686">
      <w:pPr>
        <w:rPr>
          <w:sz w:val="24"/>
          <w:szCs w:val="24"/>
        </w:rPr>
      </w:pPr>
      <w:bookmarkStart w:id="4" w:name="_Hlk150866265"/>
      <w:bookmarkEnd w:id="3"/>
    </w:p>
    <w:p w14:paraId="4DCFBB39" w14:textId="77777777" w:rsidR="00E43F68" w:rsidRPr="00E05E60" w:rsidRDefault="002C0F61" w:rsidP="00E43F68">
      <w:pPr>
        <w:jc w:val="both"/>
        <w:rPr>
          <w:b/>
          <w:sz w:val="24"/>
          <w:szCs w:val="24"/>
        </w:rPr>
      </w:pPr>
      <w:r>
        <w:rPr>
          <w:b/>
          <w:sz w:val="24"/>
          <w:szCs w:val="24"/>
        </w:rPr>
        <w:br w:type="page"/>
      </w:r>
      <w:r w:rsidR="00E43F68" w:rsidRPr="00E05E60">
        <w:rPr>
          <w:b/>
          <w:sz w:val="24"/>
          <w:szCs w:val="24"/>
        </w:rPr>
        <w:lastRenderedPageBreak/>
        <w:t>EMERGENCY SERVICES MOBILE COMMUNICATION PROGRAMME (ESMCP)</w:t>
      </w:r>
    </w:p>
    <w:p w14:paraId="354E4F20" w14:textId="77777777" w:rsidR="00E43F68" w:rsidRPr="00E05E60" w:rsidRDefault="00E43F68" w:rsidP="00E43F68">
      <w:pPr>
        <w:jc w:val="both"/>
        <w:rPr>
          <w:sz w:val="24"/>
          <w:szCs w:val="24"/>
        </w:rPr>
      </w:pPr>
    </w:p>
    <w:p w14:paraId="183E5B2A" w14:textId="77777777" w:rsidR="00E43F68" w:rsidRPr="00E05E60" w:rsidRDefault="00A9355B" w:rsidP="00E43F68">
      <w:pPr>
        <w:ind w:left="709" w:hanging="709"/>
        <w:rPr>
          <w:bCs/>
          <w:iCs/>
          <w:sz w:val="24"/>
          <w:szCs w:val="24"/>
        </w:rPr>
      </w:pPr>
      <w:r w:rsidRPr="00E05E60">
        <w:rPr>
          <w:bCs/>
          <w:iCs/>
          <w:sz w:val="24"/>
          <w:szCs w:val="24"/>
        </w:rPr>
        <w:t>3.2</w:t>
      </w:r>
      <w:r w:rsidR="00414CE6">
        <w:rPr>
          <w:bCs/>
          <w:iCs/>
          <w:sz w:val="24"/>
          <w:szCs w:val="24"/>
        </w:rPr>
        <w:t>6</w:t>
      </w:r>
      <w:r w:rsidR="00E43F68" w:rsidRPr="00E05E60">
        <w:rPr>
          <w:bCs/>
          <w:iCs/>
          <w:sz w:val="24"/>
          <w:szCs w:val="24"/>
        </w:rPr>
        <w:tab/>
        <w:t xml:space="preserve">Set up by the Home Office, ESMCP </w:t>
      </w:r>
      <w:r w:rsidR="0046568F" w:rsidRPr="00E05E60">
        <w:rPr>
          <w:bCs/>
          <w:iCs/>
          <w:sz w:val="24"/>
          <w:szCs w:val="24"/>
        </w:rPr>
        <w:t xml:space="preserve">is expected to </w:t>
      </w:r>
      <w:r w:rsidR="00E43F68" w:rsidRPr="00E05E60">
        <w:rPr>
          <w:bCs/>
          <w:iCs/>
          <w:sz w:val="24"/>
          <w:szCs w:val="24"/>
        </w:rPr>
        <w:t xml:space="preserve">replace the current communication service provided by Airwave. The new service will be called the Emergency Services Network (ESN). ESN aims that the functionality, coverage, </w:t>
      </w:r>
      <w:r w:rsidR="008A7D13" w:rsidRPr="00E05E60">
        <w:rPr>
          <w:bCs/>
          <w:iCs/>
          <w:sz w:val="24"/>
          <w:szCs w:val="24"/>
        </w:rPr>
        <w:t>security,</w:t>
      </w:r>
      <w:r w:rsidR="00E43F68" w:rsidRPr="00E05E60">
        <w:rPr>
          <w:bCs/>
          <w:iCs/>
          <w:sz w:val="24"/>
          <w:szCs w:val="24"/>
        </w:rPr>
        <w:t xml:space="preserve"> and availability needs of the UK’s emergency services are fully met. </w:t>
      </w:r>
    </w:p>
    <w:p w14:paraId="2B3C1A40" w14:textId="77777777" w:rsidR="00F66B32" w:rsidRPr="00E05E60" w:rsidRDefault="00F66B32" w:rsidP="00F66B32">
      <w:pPr>
        <w:rPr>
          <w:bCs/>
          <w:iCs/>
          <w:sz w:val="24"/>
          <w:szCs w:val="24"/>
        </w:rPr>
      </w:pPr>
    </w:p>
    <w:p w14:paraId="3BC7C15F" w14:textId="77777777" w:rsidR="00E43F68" w:rsidRPr="00E05E60" w:rsidRDefault="00A9355B" w:rsidP="00E43F68">
      <w:pPr>
        <w:ind w:left="709" w:hanging="709"/>
        <w:rPr>
          <w:bCs/>
          <w:iCs/>
          <w:color w:val="FF0000"/>
          <w:sz w:val="24"/>
          <w:szCs w:val="24"/>
        </w:rPr>
      </w:pPr>
      <w:r w:rsidRPr="00E05E60">
        <w:rPr>
          <w:bCs/>
          <w:iCs/>
          <w:sz w:val="24"/>
          <w:szCs w:val="24"/>
        </w:rPr>
        <w:t>3.2</w:t>
      </w:r>
      <w:r w:rsidR="00414CE6">
        <w:rPr>
          <w:bCs/>
          <w:iCs/>
          <w:sz w:val="24"/>
          <w:szCs w:val="24"/>
        </w:rPr>
        <w:t>7</w:t>
      </w:r>
      <w:r w:rsidR="00E43F68" w:rsidRPr="00E05E60">
        <w:rPr>
          <w:bCs/>
          <w:iCs/>
          <w:sz w:val="24"/>
          <w:szCs w:val="24"/>
        </w:rPr>
        <w:tab/>
        <w:t xml:space="preserve">There have been significant delays to the programme and funding has similarly been subject to delay. </w:t>
      </w:r>
      <w:r w:rsidR="00373F9E" w:rsidRPr="008B7FC1">
        <w:rPr>
          <w:bCs/>
          <w:iCs/>
          <w:sz w:val="24"/>
          <w:szCs w:val="24"/>
        </w:rPr>
        <w:t>The national project has recently been put on hold</w:t>
      </w:r>
      <w:r w:rsidR="0046568F" w:rsidRPr="008B7FC1">
        <w:rPr>
          <w:bCs/>
          <w:iCs/>
          <w:sz w:val="24"/>
          <w:szCs w:val="24"/>
        </w:rPr>
        <w:t xml:space="preserve">.  More information is </w:t>
      </w:r>
      <w:r w:rsidR="00222EA2" w:rsidRPr="008B7FC1">
        <w:rPr>
          <w:bCs/>
          <w:iCs/>
          <w:sz w:val="24"/>
          <w:szCs w:val="24"/>
        </w:rPr>
        <w:t>awaited,</w:t>
      </w:r>
      <w:r w:rsidR="0046568F" w:rsidRPr="008B7FC1">
        <w:rPr>
          <w:bCs/>
          <w:iCs/>
          <w:sz w:val="24"/>
          <w:szCs w:val="24"/>
        </w:rPr>
        <w:t xml:space="preserve"> and Members will be kept informed regarding any updates.</w:t>
      </w:r>
    </w:p>
    <w:bookmarkEnd w:id="4"/>
    <w:p w14:paraId="79523539" w14:textId="77777777" w:rsidR="00E43F68" w:rsidRPr="00E05E60" w:rsidRDefault="00E43F68" w:rsidP="00E43F68">
      <w:pPr>
        <w:ind w:left="709" w:hanging="709"/>
        <w:jc w:val="both"/>
        <w:rPr>
          <w:bCs/>
          <w:iCs/>
          <w:sz w:val="24"/>
          <w:szCs w:val="24"/>
        </w:rPr>
      </w:pPr>
    </w:p>
    <w:p w14:paraId="61D0B222" w14:textId="77777777" w:rsidR="00F10488" w:rsidRPr="00E05E60" w:rsidRDefault="00F10488" w:rsidP="00F10488">
      <w:pPr>
        <w:rPr>
          <w:b/>
          <w:sz w:val="24"/>
          <w:szCs w:val="24"/>
        </w:rPr>
      </w:pPr>
      <w:r w:rsidRPr="00E05E60">
        <w:rPr>
          <w:b/>
          <w:sz w:val="24"/>
          <w:szCs w:val="24"/>
        </w:rPr>
        <w:t>FEES AND CHARGES</w:t>
      </w:r>
    </w:p>
    <w:p w14:paraId="1E4EA7E2" w14:textId="77777777" w:rsidR="00F10488" w:rsidRPr="00E05E60" w:rsidRDefault="00F10488" w:rsidP="00F10488">
      <w:pPr>
        <w:rPr>
          <w:b/>
          <w:sz w:val="24"/>
          <w:szCs w:val="24"/>
        </w:rPr>
      </w:pPr>
    </w:p>
    <w:p w14:paraId="4A8B414C" w14:textId="33AA3DB0" w:rsidR="00F10488" w:rsidRPr="00E05E60" w:rsidRDefault="00A9355B" w:rsidP="00F10488">
      <w:pPr>
        <w:ind w:left="720" w:hanging="720"/>
        <w:rPr>
          <w:sz w:val="24"/>
          <w:szCs w:val="24"/>
        </w:rPr>
      </w:pPr>
      <w:r w:rsidRPr="00E05E60">
        <w:rPr>
          <w:sz w:val="24"/>
          <w:szCs w:val="24"/>
        </w:rPr>
        <w:t>3.</w:t>
      </w:r>
      <w:r w:rsidR="00D007C8" w:rsidRPr="0034180A">
        <w:rPr>
          <w:sz w:val="24"/>
          <w:szCs w:val="24"/>
        </w:rPr>
        <w:t>2</w:t>
      </w:r>
      <w:r w:rsidR="00414CE6">
        <w:rPr>
          <w:sz w:val="24"/>
          <w:szCs w:val="24"/>
        </w:rPr>
        <w:t>8</w:t>
      </w:r>
      <w:r w:rsidR="00F10488" w:rsidRPr="0034180A">
        <w:rPr>
          <w:sz w:val="24"/>
          <w:szCs w:val="24"/>
        </w:rPr>
        <w:tab/>
        <w:t>The Authority is permitted to make charges for the provision of a range of services to the public and to commerce. It has however</w:t>
      </w:r>
      <w:r w:rsidR="002C0F61">
        <w:rPr>
          <w:sz w:val="24"/>
          <w:szCs w:val="24"/>
        </w:rPr>
        <w:t>,</w:t>
      </w:r>
      <w:r w:rsidR="00F10488" w:rsidRPr="0034180A">
        <w:rPr>
          <w:sz w:val="24"/>
          <w:szCs w:val="24"/>
        </w:rPr>
        <w:t xml:space="preserve"> been the practice of the Authority to avoid making charges for services which the public have a reasonable expectation of receiving free of charge. Revised scales for </w:t>
      </w:r>
      <w:r w:rsidR="002C0F61">
        <w:rPr>
          <w:sz w:val="24"/>
          <w:szCs w:val="24"/>
        </w:rPr>
        <w:t>f</w:t>
      </w:r>
      <w:r w:rsidR="00F10488" w:rsidRPr="0034180A">
        <w:rPr>
          <w:sz w:val="24"/>
          <w:szCs w:val="24"/>
        </w:rPr>
        <w:t xml:space="preserve">ees and </w:t>
      </w:r>
      <w:r w:rsidR="002C0F61">
        <w:rPr>
          <w:sz w:val="24"/>
          <w:szCs w:val="24"/>
        </w:rPr>
        <w:t>c</w:t>
      </w:r>
      <w:r w:rsidR="00F10488" w:rsidRPr="0034180A">
        <w:rPr>
          <w:sz w:val="24"/>
          <w:szCs w:val="24"/>
        </w:rPr>
        <w:t xml:space="preserve">harges are approved by Authority as part of the </w:t>
      </w:r>
      <w:r w:rsidR="002C0F61">
        <w:rPr>
          <w:sz w:val="24"/>
          <w:szCs w:val="24"/>
        </w:rPr>
        <w:t>b</w:t>
      </w:r>
      <w:r w:rsidR="00F10488" w:rsidRPr="0034180A">
        <w:rPr>
          <w:sz w:val="24"/>
          <w:szCs w:val="24"/>
        </w:rPr>
        <w:t xml:space="preserve">udget </w:t>
      </w:r>
      <w:r w:rsidR="002C0F61">
        <w:rPr>
          <w:sz w:val="24"/>
          <w:szCs w:val="24"/>
        </w:rPr>
        <w:t>s</w:t>
      </w:r>
      <w:r w:rsidR="00F10488" w:rsidRPr="0034180A">
        <w:rPr>
          <w:sz w:val="24"/>
          <w:szCs w:val="24"/>
        </w:rPr>
        <w:t xml:space="preserve">etting report in February of each year. An example of where a charge would be made is for the containment and clearance of debris, spillages, discharges or leaks from a vehicle or storage tank where the owner can be readily identified. Charges are made </w:t>
      </w:r>
      <w:proofErr w:type="gramStart"/>
      <w:r w:rsidR="00F10488" w:rsidRPr="0034180A">
        <w:rPr>
          <w:sz w:val="24"/>
          <w:szCs w:val="24"/>
        </w:rPr>
        <w:t>on the basis of</w:t>
      </w:r>
      <w:proofErr w:type="gramEnd"/>
      <w:r w:rsidR="00F10488" w:rsidRPr="0034180A">
        <w:rPr>
          <w:sz w:val="24"/>
          <w:szCs w:val="24"/>
        </w:rPr>
        <w:t xml:space="preserve"> recovering costs only</w:t>
      </w:r>
      <w:r w:rsidR="002C0F61">
        <w:rPr>
          <w:sz w:val="24"/>
          <w:szCs w:val="24"/>
        </w:rPr>
        <w:t xml:space="preserve"> – </w:t>
      </w:r>
      <w:r w:rsidR="00716FCE">
        <w:rPr>
          <w:sz w:val="24"/>
          <w:szCs w:val="24"/>
        </w:rPr>
        <w:t>i.e.</w:t>
      </w:r>
      <w:r w:rsidR="002C0F61">
        <w:rPr>
          <w:sz w:val="24"/>
          <w:szCs w:val="24"/>
        </w:rPr>
        <w:t>:</w:t>
      </w:r>
      <w:r w:rsidR="00F10488" w:rsidRPr="0034180A">
        <w:rPr>
          <w:sz w:val="24"/>
          <w:szCs w:val="24"/>
        </w:rPr>
        <w:t xml:space="preserve"> with no profit element and no charges are made in situations where there is a risk to life or property, nor where vulnerable persons are involved. </w:t>
      </w:r>
    </w:p>
    <w:p w14:paraId="5B54E34A" w14:textId="77777777" w:rsidR="00701B72" w:rsidRPr="00E05E60" w:rsidRDefault="00701B72" w:rsidP="00F10488">
      <w:pPr>
        <w:ind w:left="720" w:hanging="720"/>
        <w:rPr>
          <w:sz w:val="24"/>
          <w:szCs w:val="24"/>
        </w:rPr>
      </w:pPr>
    </w:p>
    <w:p w14:paraId="62A07030" w14:textId="77777777" w:rsidR="00701B72" w:rsidRPr="00E05E60" w:rsidRDefault="00F10488" w:rsidP="00F10488">
      <w:pPr>
        <w:rPr>
          <w:b/>
          <w:sz w:val="24"/>
          <w:szCs w:val="24"/>
        </w:rPr>
      </w:pPr>
      <w:r w:rsidRPr="00E05E60">
        <w:rPr>
          <w:b/>
          <w:sz w:val="24"/>
          <w:szCs w:val="24"/>
        </w:rPr>
        <w:t>EXTERNAL FUNDING</w:t>
      </w:r>
    </w:p>
    <w:p w14:paraId="3FFCC744" w14:textId="77777777" w:rsidR="00F10488" w:rsidRPr="00E05E60" w:rsidRDefault="00F10488" w:rsidP="00F10488">
      <w:pPr>
        <w:rPr>
          <w:b/>
          <w:sz w:val="24"/>
          <w:szCs w:val="24"/>
        </w:rPr>
      </w:pPr>
    </w:p>
    <w:p w14:paraId="5F754FC5" w14:textId="77777777" w:rsidR="00701B72" w:rsidRPr="0034180A" w:rsidRDefault="00A9355B" w:rsidP="008379CD">
      <w:pPr>
        <w:ind w:left="720" w:hanging="720"/>
        <w:rPr>
          <w:sz w:val="24"/>
          <w:szCs w:val="24"/>
        </w:rPr>
      </w:pPr>
      <w:r w:rsidRPr="00E05E60">
        <w:rPr>
          <w:sz w:val="24"/>
          <w:szCs w:val="24"/>
        </w:rPr>
        <w:t>3.</w:t>
      </w:r>
      <w:r w:rsidR="00414CE6">
        <w:rPr>
          <w:sz w:val="24"/>
          <w:szCs w:val="24"/>
        </w:rPr>
        <w:t>29</w:t>
      </w:r>
      <w:r w:rsidR="00F10488" w:rsidRPr="00E05E60">
        <w:rPr>
          <w:sz w:val="24"/>
          <w:szCs w:val="24"/>
        </w:rPr>
        <w:tab/>
      </w:r>
      <w:r w:rsidR="00F10488" w:rsidRPr="0034180A">
        <w:rPr>
          <w:sz w:val="24"/>
          <w:szCs w:val="24"/>
        </w:rPr>
        <w:t xml:space="preserve">Efforts will continue to be made to secure as much external funding as possible either from Government Grant or from sponsorship and partnerships. These are managed carefully to ensure that the sudden withdrawal of funding does not have a negative impact on revenue budget nor cause the Authority embarrassment from having to close down successful projects due to lack of external funding. </w:t>
      </w:r>
    </w:p>
    <w:p w14:paraId="32823121" w14:textId="77777777" w:rsidR="00F10488" w:rsidRPr="00045913" w:rsidRDefault="00F10488" w:rsidP="00F10488">
      <w:pPr>
        <w:rPr>
          <w:sz w:val="24"/>
          <w:szCs w:val="24"/>
          <w:highlight w:val="green"/>
        </w:rPr>
      </w:pPr>
    </w:p>
    <w:p w14:paraId="47A37C6E" w14:textId="77777777" w:rsidR="00F10488" w:rsidRPr="00E05E60" w:rsidRDefault="00A9355B" w:rsidP="00F10488">
      <w:pPr>
        <w:ind w:left="720" w:hanging="720"/>
        <w:rPr>
          <w:sz w:val="24"/>
          <w:szCs w:val="24"/>
        </w:rPr>
      </w:pPr>
      <w:r w:rsidRPr="0034180A">
        <w:rPr>
          <w:sz w:val="24"/>
          <w:szCs w:val="24"/>
        </w:rPr>
        <w:t>3.</w:t>
      </w:r>
      <w:r w:rsidR="0097315B" w:rsidRPr="0034180A">
        <w:rPr>
          <w:sz w:val="24"/>
          <w:szCs w:val="24"/>
        </w:rPr>
        <w:t>3</w:t>
      </w:r>
      <w:r w:rsidR="00414CE6">
        <w:rPr>
          <w:sz w:val="24"/>
          <w:szCs w:val="24"/>
        </w:rPr>
        <w:t>0</w:t>
      </w:r>
      <w:r w:rsidR="00F10488" w:rsidRPr="0034180A">
        <w:rPr>
          <w:sz w:val="24"/>
          <w:szCs w:val="24"/>
        </w:rPr>
        <w:tab/>
        <w:t>There are no plans at the present time to enter into any Private Finance Initiative (PFI) funding for capital projects unless there is a strong indication that such a vehicle might prove cost effective.</w:t>
      </w:r>
      <w:r w:rsidR="00F10488" w:rsidRPr="00E05E60">
        <w:rPr>
          <w:sz w:val="24"/>
          <w:szCs w:val="24"/>
        </w:rPr>
        <w:t xml:space="preserve">  </w:t>
      </w:r>
    </w:p>
    <w:p w14:paraId="65E95FB3" w14:textId="77777777" w:rsidR="00E43F68" w:rsidRPr="00E05E60" w:rsidRDefault="00E43F68" w:rsidP="00E43F68">
      <w:pPr>
        <w:ind w:left="720" w:hanging="720"/>
        <w:rPr>
          <w:sz w:val="24"/>
          <w:szCs w:val="24"/>
        </w:rPr>
      </w:pPr>
    </w:p>
    <w:p w14:paraId="45094AC4" w14:textId="77777777" w:rsidR="00975198" w:rsidRPr="00E05E60" w:rsidRDefault="00975198" w:rsidP="00975198">
      <w:pPr>
        <w:rPr>
          <w:b/>
          <w:sz w:val="24"/>
          <w:szCs w:val="24"/>
        </w:rPr>
      </w:pPr>
      <w:r w:rsidRPr="00E05E60">
        <w:rPr>
          <w:b/>
          <w:sz w:val="24"/>
          <w:szCs w:val="24"/>
        </w:rPr>
        <w:t xml:space="preserve">TREASURY </w:t>
      </w:r>
      <w:r w:rsidR="006D3A46" w:rsidRPr="00E05E60">
        <w:rPr>
          <w:b/>
          <w:sz w:val="24"/>
          <w:szCs w:val="24"/>
        </w:rPr>
        <w:t xml:space="preserve">MANAGEMENT </w:t>
      </w:r>
      <w:r w:rsidRPr="00E05E60">
        <w:rPr>
          <w:b/>
          <w:sz w:val="24"/>
          <w:szCs w:val="24"/>
        </w:rPr>
        <w:t>STRATEGY</w:t>
      </w:r>
    </w:p>
    <w:p w14:paraId="10861AE5" w14:textId="77777777" w:rsidR="00975198" w:rsidRPr="00E05E60" w:rsidRDefault="00975198" w:rsidP="00975198">
      <w:pPr>
        <w:rPr>
          <w:b/>
          <w:sz w:val="24"/>
          <w:szCs w:val="24"/>
        </w:rPr>
      </w:pPr>
    </w:p>
    <w:p w14:paraId="03C286EE" w14:textId="77777777" w:rsidR="00975198" w:rsidRPr="00E05E60" w:rsidRDefault="00A9355B" w:rsidP="00975198">
      <w:pPr>
        <w:ind w:left="720" w:hanging="720"/>
        <w:rPr>
          <w:sz w:val="24"/>
          <w:szCs w:val="24"/>
        </w:rPr>
      </w:pPr>
      <w:r w:rsidRPr="00E05E60">
        <w:rPr>
          <w:sz w:val="24"/>
          <w:szCs w:val="24"/>
        </w:rPr>
        <w:t>3.3</w:t>
      </w:r>
      <w:r w:rsidR="00414CE6">
        <w:rPr>
          <w:sz w:val="24"/>
          <w:szCs w:val="24"/>
        </w:rPr>
        <w:t>1</w:t>
      </w:r>
      <w:r w:rsidR="00975198" w:rsidRPr="00E05E60">
        <w:rPr>
          <w:sz w:val="24"/>
          <w:szCs w:val="24"/>
        </w:rPr>
        <w:tab/>
      </w:r>
      <w:r w:rsidR="00975198" w:rsidRPr="0034180A">
        <w:rPr>
          <w:sz w:val="24"/>
          <w:szCs w:val="24"/>
        </w:rPr>
        <w:t xml:space="preserve">The Treasury Strategy for the Authority was set out in full in a report to the Fire Authority on </w:t>
      </w:r>
      <w:r w:rsidR="0099021A" w:rsidRPr="0034180A">
        <w:rPr>
          <w:sz w:val="24"/>
          <w:szCs w:val="24"/>
        </w:rPr>
        <w:t>2</w:t>
      </w:r>
      <w:r w:rsidR="006D3A46" w:rsidRPr="0034180A">
        <w:rPr>
          <w:sz w:val="24"/>
          <w:szCs w:val="24"/>
        </w:rPr>
        <w:t>5</w:t>
      </w:r>
      <w:r w:rsidR="00975198" w:rsidRPr="0034180A">
        <w:rPr>
          <w:sz w:val="24"/>
          <w:szCs w:val="24"/>
        </w:rPr>
        <w:t xml:space="preserve"> February 20</w:t>
      </w:r>
      <w:r w:rsidR="0099021A" w:rsidRPr="0034180A">
        <w:rPr>
          <w:sz w:val="24"/>
          <w:szCs w:val="24"/>
        </w:rPr>
        <w:t>2</w:t>
      </w:r>
      <w:r w:rsidR="004F68DE" w:rsidRPr="0034180A">
        <w:rPr>
          <w:sz w:val="24"/>
          <w:szCs w:val="24"/>
        </w:rPr>
        <w:t>3</w:t>
      </w:r>
      <w:r w:rsidR="00975198" w:rsidRPr="0034180A">
        <w:rPr>
          <w:sz w:val="24"/>
          <w:szCs w:val="24"/>
        </w:rPr>
        <w:t>. This strategy complies fully with the Chartered Institute of Public Finance and Accountancy code of practice on Treasury Management which the Authority has adopted. The strategy relies for its success on the appointment of financial advisors who enable the Authority to lend and borrow as prudently as possible. Efforts will continue to be made to ensure a sufficient spread of investment counterparties to minimise risk exposures.</w:t>
      </w:r>
      <w:r w:rsidR="00975198" w:rsidRPr="00E05E60">
        <w:rPr>
          <w:sz w:val="24"/>
          <w:szCs w:val="24"/>
        </w:rPr>
        <w:t xml:space="preserve">  </w:t>
      </w:r>
    </w:p>
    <w:p w14:paraId="58BF13BA" w14:textId="77777777" w:rsidR="00975198" w:rsidRPr="00E05E60" w:rsidRDefault="00975198" w:rsidP="00E43F68">
      <w:pPr>
        <w:ind w:left="720" w:hanging="720"/>
        <w:rPr>
          <w:sz w:val="24"/>
          <w:szCs w:val="24"/>
        </w:rPr>
      </w:pPr>
    </w:p>
    <w:p w14:paraId="3564BA69" w14:textId="77777777" w:rsidR="00E43F68" w:rsidRPr="00E05E60" w:rsidRDefault="002C0F61" w:rsidP="00E43F68">
      <w:pPr>
        <w:rPr>
          <w:b/>
          <w:sz w:val="24"/>
          <w:szCs w:val="24"/>
        </w:rPr>
      </w:pPr>
      <w:r>
        <w:rPr>
          <w:b/>
          <w:sz w:val="24"/>
          <w:szCs w:val="24"/>
        </w:rPr>
        <w:br w:type="page"/>
      </w:r>
      <w:r w:rsidR="004250AD" w:rsidRPr="00E05E60">
        <w:rPr>
          <w:b/>
          <w:sz w:val="24"/>
          <w:szCs w:val="24"/>
        </w:rPr>
        <w:lastRenderedPageBreak/>
        <w:t xml:space="preserve">CAPITAL </w:t>
      </w:r>
      <w:r w:rsidR="00F10488" w:rsidRPr="00E05E60">
        <w:rPr>
          <w:b/>
          <w:sz w:val="24"/>
          <w:szCs w:val="24"/>
        </w:rPr>
        <w:t>STRATEGY</w:t>
      </w:r>
    </w:p>
    <w:p w14:paraId="745020F0" w14:textId="77777777" w:rsidR="00E43F68" w:rsidRPr="00E05E60" w:rsidRDefault="00E43F68" w:rsidP="00E43F68">
      <w:pPr>
        <w:rPr>
          <w:b/>
          <w:sz w:val="24"/>
          <w:szCs w:val="24"/>
        </w:rPr>
      </w:pPr>
    </w:p>
    <w:p w14:paraId="410C8C60" w14:textId="77777777" w:rsidR="00E43F68" w:rsidRPr="0034180A" w:rsidRDefault="00A9355B" w:rsidP="00E43F68">
      <w:pPr>
        <w:ind w:left="720" w:hanging="720"/>
        <w:rPr>
          <w:sz w:val="24"/>
          <w:szCs w:val="24"/>
        </w:rPr>
      </w:pPr>
      <w:r w:rsidRPr="0034180A">
        <w:rPr>
          <w:sz w:val="24"/>
          <w:szCs w:val="24"/>
        </w:rPr>
        <w:t>3.3</w:t>
      </w:r>
      <w:r w:rsidR="00414CE6">
        <w:rPr>
          <w:sz w:val="24"/>
          <w:szCs w:val="24"/>
        </w:rPr>
        <w:t>2</w:t>
      </w:r>
      <w:r w:rsidR="00E43F68" w:rsidRPr="0034180A">
        <w:rPr>
          <w:sz w:val="24"/>
          <w:szCs w:val="24"/>
        </w:rPr>
        <w:tab/>
        <w:t xml:space="preserve">The Capital Strategy for each year is approved by Authority alongside the MTFS.  The updated Capital Strategy for </w:t>
      </w:r>
      <w:r w:rsidR="004B6C98" w:rsidRPr="0034180A">
        <w:rPr>
          <w:sz w:val="24"/>
          <w:szCs w:val="24"/>
        </w:rPr>
        <w:t>2024/25</w:t>
      </w:r>
      <w:r w:rsidR="00E43F68" w:rsidRPr="0034180A">
        <w:rPr>
          <w:sz w:val="24"/>
          <w:szCs w:val="24"/>
        </w:rPr>
        <w:t xml:space="preserve"> is attached at Appendix </w:t>
      </w:r>
      <w:r w:rsidR="003802A4" w:rsidRPr="0034180A">
        <w:rPr>
          <w:sz w:val="24"/>
          <w:szCs w:val="24"/>
        </w:rPr>
        <w:t>1</w:t>
      </w:r>
      <w:r w:rsidR="00F75F1E">
        <w:rPr>
          <w:sz w:val="24"/>
          <w:szCs w:val="24"/>
        </w:rPr>
        <w:t xml:space="preserve"> (to this strategy)</w:t>
      </w:r>
      <w:r w:rsidR="00E43F68" w:rsidRPr="0034180A">
        <w:rPr>
          <w:sz w:val="24"/>
          <w:szCs w:val="24"/>
        </w:rPr>
        <w:t xml:space="preserve"> for approval.  It sets out how the Authority intends to optimise the use of available capital resources to help achieve its objectives in such a way that it ensures that the programme is affordable, prudent and sustainable.  It also includes the flexible use of capital receipts strategy.</w:t>
      </w:r>
    </w:p>
    <w:p w14:paraId="19721C03" w14:textId="77777777" w:rsidR="00E43F68" w:rsidRPr="0034180A" w:rsidRDefault="00E43F68" w:rsidP="00E43F68">
      <w:pPr>
        <w:ind w:left="720" w:hanging="720"/>
        <w:rPr>
          <w:sz w:val="24"/>
          <w:szCs w:val="24"/>
        </w:rPr>
      </w:pPr>
    </w:p>
    <w:p w14:paraId="49A97076" w14:textId="77777777" w:rsidR="00E43F68" w:rsidRPr="0034180A" w:rsidRDefault="00A9355B" w:rsidP="00E43F68">
      <w:pPr>
        <w:ind w:left="720" w:hanging="720"/>
        <w:rPr>
          <w:sz w:val="24"/>
          <w:szCs w:val="24"/>
        </w:rPr>
      </w:pPr>
      <w:r w:rsidRPr="0034180A">
        <w:rPr>
          <w:sz w:val="24"/>
          <w:szCs w:val="24"/>
        </w:rPr>
        <w:t>3.3</w:t>
      </w:r>
      <w:r w:rsidR="00414CE6">
        <w:rPr>
          <w:sz w:val="24"/>
          <w:szCs w:val="24"/>
        </w:rPr>
        <w:t>3</w:t>
      </w:r>
      <w:r w:rsidR="00E43F68" w:rsidRPr="0034180A">
        <w:rPr>
          <w:sz w:val="24"/>
          <w:szCs w:val="24"/>
        </w:rPr>
        <w:tab/>
        <w:t xml:space="preserve">The Authority has considered the sustainability of its capital plans in terms of the ICT Strategy, the Fleet Strategy and the Property Strategy and these have been mapped out over future years to assist in the revenue budget planning process. </w:t>
      </w:r>
    </w:p>
    <w:p w14:paraId="044C42C0" w14:textId="77777777" w:rsidR="00E43F68" w:rsidRPr="0034180A" w:rsidRDefault="00E43F68" w:rsidP="00E43F68">
      <w:pPr>
        <w:ind w:left="720" w:hanging="720"/>
        <w:rPr>
          <w:sz w:val="24"/>
          <w:szCs w:val="24"/>
        </w:rPr>
      </w:pPr>
    </w:p>
    <w:p w14:paraId="7CA97818" w14:textId="77777777" w:rsidR="00E43F68" w:rsidRPr="0034180A" w:rsidRDefault="00A9355B" w:rsidP="00E43F68">
      <w:pPr>
        <w:ind w:left="720" w:hanging="720"/>
        <w:rPr>
          <w:sz w:val="24"/>
          <w:szCs w:val="24"/>
        </w:rPr>
      </w:pPr>
      <w:r w:rsidRPr="0034180A">
        <w:rPr>
          <w:sz w:val="24"/>
          <w:szCs w:val="24"/>
        </w:rPr>
        <w:t>3.3</w:t>
      </w:r>
      <w:r w:rsidR="00414CE6">
        <w:rPr>
          <w:sz w:val="24"/>
          <w:szCs w:val="24"/>
        </w:rPr>
        <w:t>4</w:t>
      </w:r>
      <w:r w:rsidR="00E43F68" w:rsidRPr="0034180A">
        <w:rPr>
          <w:sz w:val="24"/>
          <w:szCs w:val="24"/>
        </w:rPr>
        <w:tab/>
        <w:t xml:space="preserve">These individual plans have been brought together to form a 10-year capital programme to assist financial planning and monitoring of debt costs.  This is attached at Appendix </w:t>
      </w:r>
      <w:r w:rsidR="00512B1C" w:rsidRPr="0034180A">
        <w:rPr>
          <w:sz w:val="24"/>
          <w:szCs w:val="24"/>
        </w:rPr>
        <w:t>2</w:t>
      </w:r>
      <w:r w:rsidR="00DF22CD">
        <w:rPr>
          <w:sz w:val="24"/>
          <w:szCs w:val="24"/>
        </w:rPr>
        <w:t xml:space="preserve"> to this strategy</w:t>
      </w:r>
      <w:r w:rsidR="00E43F68" w:rsidRPr="0034180A">
        <w:rPr>
          <w:sz w:val="24"/>
          <w:szCs w:val="24"/>
        </w:rPr>
        <w:t xml:space="preserve">.  </w:t>
      </w:r>
      <w:r w:rsidR="00F10488" w:rsidRPr="0034180A">
        <w:rPr>
          <w:sz w:val="24"/>
          <w:szCs w:val="24"/>
        </w:rPr>
        <w:t xml:space="preserve">The first </w:t>
      </w:r>
      <w:r w:rsidR="00DF22CD">
        <w:rPr>
          <w:sz w:val="24"/>
          <w:szCs w:val="24"/>
        </w:rPr>
        <w:t>four</w:t>
      </w:r>
      <w:r w:rsidR="00F10488" w:rsidRPr="0034180A">
        <w:rPr>
          <w:sz w:val="24"/>
          <w:szCs w:val="24"/>
        </w:rPr>
        <w:t xml:space="preserve"> years of this programme will be </w:t>
      </w:r>
      <w:r w:rsidR="0060756C" w:rsidRPr="0034180A">
        <w:rPr>
          <w:sz w:val="24"/>
          <w:szCs w:val="24"/>
        </w:rPr>
        <w:t xml:space="preserve">considered </w:t>
      </w:r>
      <w:r w:rsidR="00F10488" w:rsidRPr="0034180A">
        <w:rPr>
          <w:sz w:val="24"/>
          <w:szCs w:val="24"/>
        </w:rPr>
        <w:t xml:space="preserve">alongside revenue budgets by </w:t>
      </w:r>
      <w:r w:rsidR="00DF22CD">
        <w:rPr>
          <w:sz w:val="24"/>
          <w:szCs w:val="24"/>
        </w:rPr>
        <w:t xml:space="preserve">the </w:t>
      </w:r>
      <w:r w:rsidR="00F10488" w:rsidRPr="0034180A">
        <w:rPr>
          <w:sz w:val="24"/>
          <w:szCs w:val="24"/>
        </w:rPr>
        <w:t>Authority on 2</w:t>
      </w:r>
      <w:r w:rsidR="002203C3" w:rsidRPr="0034180A">
        <w:rPr>
          <w:sz w:val="24"/>
          <w:szCs w:val="24"/>
        </w:rPr>
        <w:t>3</w:t>
      </w:r>
      <w:r w:rsidR="00F10488" w:rsidRPr="0034180A">
        <w:rPr>
          <w:sz w:val="24"/>
          <w:szCs w:val="24"/>
        </w:rPr>
        <w:t xml:space="preserve"> February 202</w:t>
      </w:r>
      <w:r w:rsidR="002203C3" w:rsidRPr="0034180A">
        <w:rPr>
          <w:sz w:val="24"/>
          <w:szCs w:val="24"/>
        </w:rPr>
        <w:t>4</w:t>
      </w:r>
      <w:r w:rsidR="00F10488" w:rsidRPr="0034180A">
        <w:rPr>
          <w:sz w:val="24"/>
          <w:szCs w:val="24"/>
        </w:rPr>
        <w:t xml:space="preserve">.  </w:t>
      </w:r>
      <w:r w:rsidR="00E43F68" w:rsidRPr="0034180A">
        <w:rPr>
          <w:sz w:val="24"/>
          <w:szCs w:val="24"/>
        </w:rPr>
        <w:t xml:space="preserve">The programme </w:t>
      </w:r>
      <w:r w:rsidR="00F10488" w:rsidRPr="0034180A">
        <w:rPr>
          <w:sz w:val="24"/>
          <w:szCs w:val="24"/>
        </w:rPr>
        <w:t>includes</w:t>
      </w:r>
      <w:r w:rsidR="00E43F68" w:rsidRPr="0034180A">
        <w:rPr>
          <w:sz w:val="24"/>
          <w:szCs w:val="24"/>
        </w:rPr>
        <w:t xml:space="preserve"> </w:t>
      </w:r>
      <w:r w:rsidR="00417BE2" w:rsidRPr="0034180A">
        <w:rPr>
          <w:sz w:val="24"/>
          <w:szCs w:val="24"/>
        </w:rPr>
        <w:t>the replacement mobilising system</w:t>
      </w:r>
      <w:r w:rsidR="00E245B6" w:rsidRPr="0034180A">
        <w:rPr>
          <w:sz w:val="24"/>
          <w:szCs w:val="24"/>
        </w:rPr>
        <w:t xml:space="preserve">, </w:t>
      </w:r>
      <w:r w:rsidR="00417BE2" w:rsidRPr="0034180A">
        <w:rPr>
          <w:sz w:val="24"/>
          <w:szCs w:val="24"/>
        </w:rPr>
        <w:t xml:space="preserve">delivery </w:t>
      </w:r>
      <w:r w:rsidR="006D217B" w:rsidRPr="0034180A">
        <w:rPr>
          <w:sz w:val="24"/>
          <w:szCs w:val="24"/>
        </w:rPr>
        <w:t>of replacement</w:t>
      </w:r>
      <w:r w:rsidR="00417BE2" w:rsidRPr="0034180A">
        <w:rPr>
          <w:sz w:val="24"/>
          <w:szCs w:val="24"/>
        </w:rPr>
        <w:t xml:space="preserve"> fire appliances</w:t>
      </w:r>
      <w:r w:rsidR="00E245B6" w:rsidRPr="0034180A">
        <w:rPr>
          <w:sz w:val="24"/>
          <w:szCs w:val="24"/>
        </w:rPr>
        <w:t xml:space="preserve"> and i</w:t>
      </w:r>
      <w:r w:rsidR="00417BE2" w:rsidRPr="0034180A">
        <w:rPr>
          <w:sz w:val="24"/>
          <w:szCs w:val="24"/>
        </w:rPr>
        <w:t>nvestment in new fire stations</w:t>
      </w:r>
      <w:r w:rsidR="00E245B6" w:rsidRPr="0034180A">
        <w:rPr>
          <w:sz w:val="24"/>
          <w:szCs w:val="24"/>
        </w:rPr>
        <w:t>.</w:t>
      </w:r>
      <w:r w:rsidR="008E6A4B" w:rsidRPr="0034180A">
        <w:rPr>
          <w:sz w:val="24"/>
          <w:szCs w:val="24"/>
        </w:rPr>
        <w:t xml:space="preserve">  There has been a purposeful</w:t>
      </w:r>
      <w:r w:rsidR="00B553F9" w:rsidRPr="0034180A">
        <w:rPr>
          <w:sz w:val="24"/>
          <w:szCs w:val="24"/>
        </w:rPr>
        <w:t xml:space="preserve"> </w:t>
      </w:r>
      <w:r w:rsidR="008E6A4B" w:rsidRPr="0034180A">
        <w:rPr>
          <w:sz w:val="24"/>
          <w:szCs w:val="24"/>
        </w:rPr>
        <w:t xml:space="preserve">delay in </w:t>
      </w:r>
      <w:r w:rsidR="006D217B" w:rsidRPr="0034180A">
        <w:rPr>
          <w:sz w:val="24"/>
          <w:szCs w:val="24"/>
        </w:rPr>
        <w:t xml:space="preserve">projects on the </w:t>
      </w:r>
      <w:r w:rsidR="008E6A4B" w:rsidRPr="0034180A">
        <w:rPr>
          <w:sz w:val="24"/>
          <w:szCs w:val="24"/>
        </w:rPr>
        <w:t xml:space="preserve">programme to </w:t>
      </w:r>
      <w:r w:rsidR="00B553F9" w:rsidRPr="0034180A">
        <w:rPr>
          <w:sz w:val="24"/>
          <w:szCs w:val="24"/>
        </w:rPr>
        <w:t xml:space="preserve">manage </w:t>
      </w:r>
      <w:r w:rsidR="007D5302">
        <w:rPr>
          <w:sz w:val="24"/>
          <w:szCs w:val="24"/>
        </w:rPr>
        <w:t xml:space="preserve">the cost of the </w:t>
      </w:r>
      <w:r w:rsidR="00B553F9" w:rsidRPr="0034180A">
        <w:rPr>
          <w:sz w:val="24"/>
          <w:szCs w:val="24"/>
        </w:rPr>
        <w:t>Minimum Revenue Provision (MRP)</w:t>
      </w:r>
      <w:r w:rsidR="001B0C82">
        <w:rPr>
          <w:sz w:val="24"/>
          <w:szCs w:val="24"/>
        </w:rPr>
        <w:t>,</w:t>
      </w:r>
      <w:r w:rsidR="00B553F9" w:rsidRPr="0034180A">
        <w:rPr>
          <w:sz w:val="24"/>
          <w:szCs w:val="24"/>
        </w:rPr>
        <w:t xml:space="preserve"> which </w:t>
      </w:r>
      <w:r w:rsidR="001B0C82">
        <w:rPr>
          <w:sz w:val="24"/>
          <w:szCs w:val="24"/>
        </w:rPr>
        <w:t>is</w:t>
      </w:r>
      <w:r w:rsidR="001B0C82" w:rsidRPr="0034180A">
        <w:rPr>
          <w:sz w:val="24"/>
          <w:szCs w:val="24"/>
        </w:rPr>
        <w:t xml:space="preserve"> </w:t>
      </w:r>
      <w:r w:rsidR="00B553F9" w:rsidRPr="0034180A">
        <w:rPr>
          <w:sz w:val="24"/>
          <w:szCs w:val="24"/>
        </w:rPr>
        <w:t xml:space="preserve">the </w:t>
      </w:r>
      <w:r w:rsidR="001B0C82">
        <w:rPr>
          <w:sz w:val="24"/>
          <w:szCs w:val="24"/>
        </w:rPr>
        <w:t>S</w:t>
      </w:r>
      <w:r w:rsidR="00B553F9" w:rsidRPr="0034180A">
        <w:rPr>
          <w:sz w:val="24"/>
          <w:szCs w:val="24"/>
        </w:rPr>
        <w:t>ervice’s debt cost.  This will be reviewed once the Futures 25 efficiency strategy is complete</w:t>
      </w:r>
      <w:r w:rsidR="00706B21" w:rsidRPr="0034180A">
        <w:rPr>
          <w:sz w:val="24"/>
          <w:szCs w:val="24"/>
        </w:rPr>
        <w:t xml:space="preserve"> and the impact on services is known</w:t>
      </w:r>
      <w:r w:rsidR="00B553F9" w:rsidRPr="0034180A">
        <w:rPr>
          <w:sz w:val="24"/>
          <w:szCs w:val="24"/>
        </w:rPr>
        <w:t>.</w:t>
      </w:r>
    </w:p>
    <w:p w14:paraId="0C712157" w14:textId="77777777" w:rsidR="004250AD" w:rsidRPr="0034180A" w:rsidRDefault="004250AD" w:rsidP="00E43F68">
      <w:pPr>
        <w:ind w:left="720" w:hanging="720"/>
        <w:rPr>
          <w:sz w:val="24"/>
          <w:szCs w:val="24"/>
        </w:rPr>
      </w:pPr>
    </w:p>
    <w:p w14:paraId="6B18BA61" w14:textId="77777777" w:rsidR="004250AD" w:rsidRPr="00E05E60" w:rsidRDefault="00A9355B" w:rsidP="004250AD">
      <w:pPr>
        <w:ind w:left="720" w:hanging="720"/>
        <w:rPr>
          <w:sz w:val="24"/>
          <w:szCs w:val="24"/>
        </w:rPr>
      </w:pPr>
      <w:r w:rsidRPr="0034180A">
        <w:rPr>
          <w:sz w:val="24"/>
          <w:szCs w:val="24"/>
        </w:rPr>
        <w:t>3.3</w:t>
      </w:r>
      <w:r w:rsidR="00414CE6">
        <w:rPr>
          <w:sz w:val="24"/>
          <w:szCs w:val="24"/>
        </w:rPr>
        <w:t>5</w:t>
      </w:r>
      <w:r w:rsidR="004250AD" w:rsidRPr="0034180A">
        <w:rPr>
          <w:sz w:val="24"/>
          <w:szCs w:val="24"/>
        </w:rPr>
        <w:tab/>
      </w:r>
      <w:r w:rsidR="00E245B6" w:rsidRPr="0034180A">
        <w:rPr>
          <w:sz w:val="24"/>
          <w:szCs w:val="24"/>
        </w:rPr>
        <w:t xml:space="preserve">The 10-year capital plan is considered to ensure long term affordability.  </w:t>
      </w:r>
      <w:r w:rsidR="004250AD" w:rsidRPr="0034180A">
        <w:rPr>
          <w:sz w:val="24"/>
          <w:szCs w:val="24"/>
        </w:rPr>
        <w:t xml:space="preserve">The </w:t>
      </w:r>
      <w:r w:rsidR="00417BE2" w:rsidRPr="0034180A">
        <w:rPr>
          <w:sz w:val="24"/>
          <w:szCs w:val="24"/>
        </w:rPr>
        <w:t xml:space="preserve">capital </w:t>
      </w:r>
      <w:r w:rsidR="004250AD" w:rsidRPr="0034180A">
        <w:rPr>
          <w:sz w:val="24"/>
          <w:szCs w:val="24"/>
        </w:rPr>
        <w:t xml:space="preserve">programme consists of </w:t>
      </w:r>
      <w:r w:rsidR="008A7D13" w:rsidRPr="0034180A">
        <w:rPr>
          <w:sz w:val="24"/>
          <w:szCs w:val="24"/>
        </w:rPr>
        <w:t>longer-term</w:t>
      </w:r>
      <w:r w:rsidR="004250AD" w:rsidRPr="0034180A">
        <w:rPr>
          <w:sz w:val="24"/>
          <w:szCs w:val="24"/>
        </w:rPr>
        <w:t xml:space="preserve"> projects which cross over the financial year end boundaries. This means that projects may overspend or underspend within a single year, and historically the position has been one of underspending which has an impact on debt repayment costs in the revenue budget. In order to alleviate this issue, it has been accepted that there will be an element of “over programming” but that revenue to support the capital programme will take this into account.</w:t>
      </w:r>
      <w:r w:rsidR="004250AD" w:rsidRPr="00E05E60">
        <w:rPr>
          <w:sz w:val="24"/>
          <w:szCs w:val="24"/>
        </w:rPr>
        <w:t xml:space="preserve">   </w:t>
      </w:r>
    </w:p>
    <w:p w14:paraId="2EB308C9" w14:textId="77777777" w:rsidR="00D6347A" w:rsidRPr="00E05E60" w:rsidRDefault="00D6347A" w:rsidP="004250AD">
      <w:pPr>
        <w:ind w:left="720" w:hanging="720"/>
        <w:rPr>
          <w:sz w:val="24"/>
          <w:szCs w:val="24"/>
        </w:rPr>
      </w:pPr>
    </w:p>
    <w:p w14:paraId="2564D014" w14:textId="77777777" w:rsidR="00F10488" w:rsidRPr="00E05E60" w:rsidRDefault="00F10488" w:rsidP="00F10488">
      <w:pPr>
        <w:rPr>
          <w:b/>
          <w:sz w:val="24"/>
          <w:szCs w:val="24"/>
        </w:rPr>
      </w:pPr>
      <w:r w:rsidRPr="00E05E60">
        <w:rPr>
          <w:b/>
          <w:sz w:val="24"/>
          <w:szCs w:val="24"/>
        </w:rPr>
        <w:t>THE PRUDENTIAL CODE</w:t>
      </w:r>
    </w:p>
    <w:p w14:paraId="278F4691" w14:textId="77777777" w:rsidR="00F10488" w:rsidRPr="00E05E60" w:rsidRDefault="00F10488" w:rsidP="00F10488">
      <w:pPr>
        <w:rPr>
          <w:b/>
          <w:sz w:val="24"/>
          <w:szCs w:val="24"/>
        </w:rPr>
      </w:pPr>
    </w:p>
    <w:p w14:paraId="3E92DE1A" w14:textId="77777777" w:rsidR="00E245B6" w:rsidRPr="00E05E60" w:rsidRDefault="00A9355B" w:rsidP="00690F7D">
      <w:pPr>
        <w:ind w:left="720" w:hanging="720"/>
        <w:rPr>
          <w:sz w:val="24"/>
          <w:szCs w:val="24"/>
        </w:rPr>
      </w:pPr>
      <w:r w:rsidRPr="00E05E60">
        <w:rPr>
          <w:sz w:val="24"/>
          <w:szCs w:val="24"/>
        </w:rPr>
        <w:t>3.</w:t>
      </w:r>
      <w:r w:rsidRPr="0034180A">
        <w:rPr>
          <w:sz w:val="24"/>
          <w:szCs w:val="24"/>
        </w:rPr>
        <w:t>3</w:t>
      </w:r>
      <w:r w:rsidR="00414CE6">
        <w:rPr>
          <w:sz w:val="24"/>
          <w:szCs w:val="24"/>
        </w:rPr>
        <w:t>6</w:t>
      </w:r>
      <w:r w:rsidR="00F10488" w:rsidRPr="0034180A">
        <w:rPr>
          <w:sz w:val="24"/>
          <w:szCs w:val="24"/>
        </w:rPr>
        <w:tab/>
      </w:r>
      <w:r w:rsidR="00D93B77" w:rsidRPr="0034180A">
        <w:rPr>
          <w:sz w:val="24"/>
          <w:szCs w:val="24"/>
        </w:rPr>
        <w:t xml:space="preserve">The Authority’s Prudential Code </w:t>
      </w:r>
      <w:r w:rsidR="00E245B6" w:rsidRPr="0034180A">
        <w:rPr>
          <w:sz w:val="24"/>
          <w:szCs w:val="24"/>
        </w:rPr>
        <w:t>was approved by Authority on 2</w:t>
      </w:r>
      <w:r w:rsidR="002203C3" w:rsidRPr="0034180A">
        <w:rPr>
          <w:sz w:val="24"/>
          <w:szCs w:val="24"/>
        </w:rPr>
        <w:t>4</w:t>
      </w:r>
      <w:r w:rsidR="00E245B6" w:rsidRPr="0034180A">
        <w:rPr>
          <w:sz w:val="24"/>
          <w:szCs w:val="24"/>
        </w:rPr>
        <w:t xml:space="preserve"> February 202</w:t>
      </w:r>
      <w:r w:rsidR="002203C3" w:rsidRPr="0034180A">
        <w:rPr>
          <w:sz w:val="24"/>
          <w:szCs w:val="24"/>
        </w:rPr>
        <w:t>3</w:t>
      </w:r>
      <w:r w:rsidR="00E245B6" w:rsidRPr="0034180A">
        <w:rPr>
          <w:sz w:val="24"/>
          <w:szCs w:val="24"/>
        </w:rPr>
        <w:t xml:space="preserve">.  It </w:t>
      </w:r>
      <w:r w:rsidR="00D93B77" w:rsidRPr="0034180A">
        <w:rPr>
          <w:sz w:val="24"/>
          <w:szCs w:val="24"/>
        </w:rPr>
        <w:t xml:space="preserve">sets out the prudential indicators approved for </w:t>
      </w:r>
      <w:r w:rsidR="004B6C98" w:rsidRPr="0034180A">
        <w:rPr>
          <w:sz w:val="24"/>
          <w:szCs w:val="24"/>
        </w:rPr>
        <w:t>2023/24</w:t>
      </w:r>
      <w:r w:rsidR="00D93B77" w:rsidRPr="0034180A">
        <w:rPr>
          <w:sz w:val="24"/>
          <w:szCs w:val="24"/>
        </w:rPr>
        <w:t xml:space="preserve">. </w:t>
      </w:r>
      <w:r w:rsidR="00F10488" w:rsidRPr="0034180A">
        <w:rPr>
          <w:sz w:val="24"/>
          <w:szCs w:val="24"/>
        </w:rPr>
        <w:t xml:space="preserve">The freedoms provided by the Prudential Code for Capital Accounting are to be fully used to make the best possible investment decisions in relation to capital spending in order that meaningful choices can be made between borrowing, </w:t>
      </w:r>
      <w:r w:rsidR="008A7D13" w:rsidRPr="0034180A">
        <w:rPr>
          <w:sz w:val="24"/>
          <w:szCs w:val="24"/>
        </w:rPr>
        <w:t>leasing,</w:t>
      </w:r>
      <w:r w:rsidR="00F10488" w:rsidRPr="0034180A">
        <w:rPr>
          <w:sz w:val="24"/>
          <w:szCs w:val="24"/>
        </w:rPr>
        <w:t xml:space="preserve"> and the use of capital receipts. Nevertheless, it is still considered important that the Authority should not expose itself to unduly high levels of debt and it is necessary for a view to be taken as to how much debt is sustainable in the longer term. </w:t>
      </w:r>
      <w:r w:rsidR="00690F7D" w:rsidRPr="0034180A">
        <w:rPr>
          <w:sz w:val="24"/>
          <w:szCs w:val="24"/>
        </w:rPr>
        <w:t>The Authority has set a limit for the ratio of debt costs to revenue budget of 8%.  This “credit ceiling” for affordable borrowing</w:t>
      </w:r>
      <w:r w:rsidR="00FA2011" w:rsidRPr="0034180A">
        <w:rPr>
          <w:sz w:val="24"/>
          <w:szCs w:val="24"/>
        </w:rPr>
        <w:t xml:space="preserve"> is</w:t>
      </w:r>
      <w:r w:rsidR="00690F7D" w:rsidRPr="0034180A">
        <w:rPr>
          <w:sz w:val="24"/>
          <w:szCs w:val="24"/>
        </w:rPr>
        <w:t xml:space="preserve"> covered within the principles of the Prudential Code</w:t>
      </w:r>
      <w:r w:rsidR="00FA2011" w:rsidRPr="0034180A">
        <w:rPr>
          <w:sz w:val="24"/>
          <w:szCs w:val="24"/>
        </w:rPr>
        <w:t xml:space="preserve"> </w:t>
      </w:r>
      <w:r w:rsidR="00690F7D" w:rsidRPr="0034180A">
        <w:rPr>
          <w:sz w:val="24"/>
          <w:szCs w:val="24"/>
        </w:rPr>
        <w:t>to ensure that the credit ceiling is not reached before the requirement to undertake major capital schemes is exhausted.</w:t>
      </w:r>
      <w:r w:rsidR="00B86455" w:rsidRPr="00E05E60">
        <w:rPr>
          <w:sz w:val="24"/>
          <w:szCs w:val="24"/>
        </w:rPr>
        <w:t xml:space="preserve">  </w:t>
      </w:r>
    </w:p>
    <w:p w14:paraId="235F527B" w14:textId="77777777" w:rsidR="00E245B6" w:rsidRPr="00E05E60" w:rsidRDefault="00E245B6" w:rsidP="00690F7D">
      <w:pPr>
        <w:ind w:left="720" w:hanging="720"/>
        <w:rPr>
          <w:sz w:val="24"/>
          <w:szCs w:val="24"/>
        </w:rPr>
      </w:pPr>
    </w:p>
    <w:p w14:paraId="1AEBF3A8" w14:textId="77777777" w:rsidR="00690F7D" w:rsidRPr="0034180A" w:rsidRDefault="00520064" w:rsidP="00690F7D">
      <w:pPr>
        <w:ind w:left="720" w:hanging="720"/>
        <w:rPr>
          <w:sz w:val="24"/>
          <w:szCs w:val="24"/>
        </w:rPr>
      </w:pPr>
      <w:r w:rsidRPr="0034180A">
        <w:rPr>
          <w:sz w:val="24"/>
          <w:szCs w:val="24"/>
        </w:rPr>
        <w:t>3.3</w:t>
      </w:r>
      <w:r w:rsidR="00414CE6">
        <w:rPr>
          <w:sz w:val="24"/>
          <w:szCs w:val="24"/>
        </w:rPr>
        <w:t>7</w:t>
      </w:r>
      <w:r w:rsidRPr="0034180A">
        <w:rPr>
          <w:sz w:val="24"/>
          <w:szCs w:val="24"/>
        </w:rPr>
        <w:tab/>
      </w:r>
      <w:r w:rsidR="00B86455" w:rsidRPr="0034180A">
        <w:rPr>
          <w:sz w:val="24"/>
          <w:szCs w:val="24"/>
        </w:rPr>
        <w:t xml:space="preserve">The 10 year </w:t>
      </w:r>
      <w:r w:rsidR="007054E8">
        <w:rPr>
          <w:sz w:val="24"/>
          <w:szCs w:val="24"/>
        </w:rPr>
        <w:t>C</w:t>
      </w:r>
      <w:r w:rsidR="00B86455" w:rsidRPr="0034180A">
        <w:rPr>
          <w:sz w:val="24"/>
          <w:szCs w:val="24"/>
        </w:rPr>
        <w:t xml:space="preserve">apital </w:t>
      </w:r>
      <w:r w:rsidR="007054E8">
        <w:rPr>
          <w:sz w:val="24"/>
          <w:szCs w:val="24"/>
        </w:rPr>
        <w:t>P</w:t>
      </w:r>
      <w:r w:rsidR="00B86455" w:rsidRPr="0034180A">
        <w:rPr>
          <w:sz w:val="24"/>
          <w:szCs w:val="24"/>
        </w:rPr>
        <w:t>lan in Appendix 2</w:t>
      </w:r>
      <w:r w:rsidR="00DF22CD">
        <w:rPr>
          <w:sz w:val="24"/>
          <w:szCs w:val="24"/>
        </w:rPr>
        <w:t xml:space="preserve"> to this strategy</w:t>
      </w:r>
      <w:r w:rsidR="00B86455" w:rsidRPr="0034180A">
        <w:rPr>
          <w:sz w:val="24"/>
          <w:szCs w:val="24"/>
        </w:rPr>
        <w:t xml:space="preserve"> shows that in </w:t>
      </w:r>
      <w:r w:rsidR="00417F5C" w:rsidRPr="0034180A">
        <w:rPr>
          <w:sz w:val="24"/>
          <w:szCs w:val="24"/>
        </w:rPr>
        <w:t>2028/29</w:t>
      </w:r>
      <w:r w:rsidR="00B86455" w:rsidRPr="0034180A">
        <w:rPr>
          <w:sz w:val="24"/>
          <w:szCs w:val="24"/>
        </w:rPr>
        <w:t xml:space="preserve"> the debt to budget ratio </w:t>
      </w:r>
      <w:r w:rsidR="004E234F" w:rsidRPr="0034180A">
        <w:rPr>
          <w:sz w:val="24"/>
          <w:szCs w:val="24"/>
        </w:rPr>
        <w:t>exceeds 8% and remains above this limit until 2032/33</w:t>
      </w:r>
      <w:r w:rsidR="00E245B6" w:rsidRPr="0034180A">
        <w:rPr>
          <w:sz w:val="24"/>
          <w:szCs w:val="24"/>
        </w:rPr>
        <w:t xml:space="preserve">.  This means that if current budget projections including capital costs </w:t>
      </w:r>
      <w:r w:rsidR="00E245B6" w:rsidRPr="0034180A">
        <w:rPr>
          <w:sz w:val="24"/>
          <w:szCs w:val="24"/>
        </w:rPr>
        <w:lastRenderedPageBreak/>
        <w:t xml:space="preserve">and interest rates prevail the programme will need </w:t>
      </w:r>
      <w:r w:rsidR="007054E8">
        <w:rPr>
          <w:sz w:val="24"/>
          <w:szCs w:val="24"/>
        </w:rPr>
        <w:t>to be amended</w:t>
      </w:r>
      <w:r w:rsidR="00E245B6" w:rsidRPr="0034180A">
        <w:rPr>
          <w:sz w:val="24"/>
          <w:szCs w:val="24"/>
        </w:rPr>
        <w:t xml:space="preserve"> in the longer term to ensure affordability.  </w:t>
      </w:r>
      <w:r w:rsidR="00417F5C" w:rsidRPr="0034180A">
        <w:rPr>
          <w:sz w:val="24"/>
          <w:szCs w:val="24"/>
        </w:rPr>
        <w:t xml:space="preserve">Following the purchase of 17 </w:t>
      </w:r>
      <w:r w:rsidR="007054E8">
        <w:rPr>
          <w:sz w:val="24"/>
          <w:szCs w:val="24"/>
        </w:rPr>
        <w:t>p</w:t>
      </w:r>
      <w:r w:rsidR="00417F5C" w:rsidRPr="0034180A">
        <w:rPr>
          <w:sz w:val="24"/>
          <w:szCs w:val="24"/>
        </w:rPr>
        <w:t xml:space="preserve">umping </w:t>
      </w:r>
      <w:r w:rsidR="007054E8">
        <w:rPr>
          <w:sz w:val="24"/>
          <w:szCs w:val="24"/>
        </w:rPr>
        <w:t>a</w:t>
      </w:r>
      <w:r w:rsidR="00417F5C" w:rsidRPr="0034180A">
        <w:rPr>
          <w:sz w:val="24"/>
          <w:szCs w:val="24"/>
        </w:rPr>
        <w:t xml:space="preserve">ppliances in 2024-25 there will be a pause in the </w:t>
      </w:r>
      <w:r w:rsidR="007054E8">
        <w:rPr>
          <w:sz w:val="24"/>
          <w:szCs w:val="24"/>
        </w:rPr>
        <w:t>c</w:t>
      </w:r>
      <w:r w:rsidR="00417F5C" w:rsidRPr="0034180A">
        <w:rPr>
          <w:sz w:val="24"/>
          <w:szCs w:val="24"/>
        </w:rPr>
        <w:t xml:space="preserve">apital expenditure of </w:t>
      </w:r>
      <w:r w:rsidR="007054E8">
        <w:rPr>
          <w:sz w:val="24"/>
          <w:szCs w:val="24"/>
        </w:rPr>
        <w:t>p</w:t>
      </w:r>
      <w:r w:rsidR="00417F5C" w:rsidRPr="0034180A">
        <w:rPr>
          <w:sz w:val="24"/>
          <w:szCs w:val="24"/>
        </w:rPr>
        <w:t xml:space="preserve">umping </w:t>
      </w:r>
      <w:r w:rsidR="007054E8">
        <w:rPr>
          <w:sz w:val="24"/>
          <w:szCs w:val="24"/>
        </w:rPr>
        <w:t>a</w:t>
      </w:r>
      <w:r w:rsidR="00417F5C" w:rsidRPr="0034180A">
        <w:rPr>
          <w:sz w:val="24"/>
          <w:szCs w:val="24"/>
        </w:rPr>
        <w:t>ppliances</w:t>
      </w:r>
      <w:r w:rsidR="007054E8">
        <w:rPr>
          <w:sz w:val="24"/>
          <w:szCs w:val="24"/>
        </w:rPr>
        <w:t xml:space="preserve"> until</w:t>
      </w:r>
      <w:r w:rsidR="00417F5C" w:rsidRPr="0034180A">
        <w:rPr>
          <w:sz w:val="24"/>
          <w:szCs w:val="24"/>
        </w:rPr>
        <w:t xml:space="preserve"> 2029-30</w:t>
      </w:r>
      <w:r w:rsidR="007054E8">
        <w:rPr>
          <w:sz w:val="24"/>
          <w:szCs w:val="24"/>
        </w:rPr>
        <w:t>. This</w:t>
      </w:r>
      <w:r w:rsidR="00417F5C" w:rsidRPr="0034180A">
        <w:rPr>
          <w:sz w:val="24"/>
          <w:szCs w:val="24"/>
        </w:rPr>
        <w:t xml:space="preserve"> will </w:t>
      </w:r>
      <w:r w:rsidR="00E245B6" w:rsidRPr="0034180A">
        <w:rPr>
          <w:sz w:val="24"/>
          <w:szCs w:val="24"/>
        </w:rPr>
        <w:t>help</w:t>
      </w:r>
      <w:r w:rsidR="007054E8">
        <w:rPr>
          <w:sz w:val="24"/>
          <w:szCs w:val="24"/>
        </w:rPr>
        <w:t xml:space="preserve"> to</w:t>
      </w:r>
      <w:r w:rsidR="00E245B6" w:rsidRPr="0034180A">
        <w:rPr>
          <w:sz w:val="24"/>
          <w:szCs w:val="24"/>
        </w:rPr>
        <w:t xml:space="preserve"> reduce capital costs in the </w:t>
      </w:r>
      <w:r w:rsidR="00417F5C" w:rsidRPr="0034180A">
        <w:rPr>
          <w:sz w:val="24"/>
          <w:szCs w:val="24"/>
        </w:rPr>
        <w:t>medium</w:t>
      </w:r>
      <w:r w:rsidR="00E245B6" w:rsidRPr="0034180A">
        <w:rPr>
          <w:sz w:val="24"/>
          <w:szCs w:val="24"/>
        </w:rPr>
        <w:t xml:space="preserve"> term. </w:t>
      </w:r>
      <w:r w:rsidR="00B86455" w:rsidRPr="0034180A">
        <w:rPr>
          <w:sz w:val="24"/>
          <w:szCs w:val="24"/>
        </w:rPr>
        <w:t>Th</w:t>
      </w:r>
      <w:r w:rsidR="00E245B6" w:rsidRPr="0034180A">
        <w:rPr>
          <w:sz w:val="24"/>
          <w:szCs w:val="24"/>
        </w:rPr>
        <w:t>e programme</w:t>
      </w:r>
      <w:r w:rsidR="00B86455" w:rsidRPr="0034180A">
        <w:rPr>
          <w:sz w:val="24"/>
          <w:szCs w:val="24"/>
        </w:rPr>
        <w:t xml:space="preserve"> will be </w:t>
      </w:r>
      <w:r w:rsidR="00C85BB3" w:rsidRPr="0034180A">
        <w:rPr>
          <w:sz w:val="24"/>
          <w:szCs w:val="24"/>
        </w:rPr>
        <w:t xml:space="preserve">reviewed once changes in service requirements are identified </w:t>
      </w:r>
      <w:r w:rsidR="00E245B6" w:rsidRPr="0034180A">
        <w:rPr>
          <w:sz w:val="24"/>
          <w:szCs w:val="24"/>
        </w:rPr>
        <w:t>as part of the Futures 25 programme</w:t>
      </w:r>
      <w:r w:rsidR="00B86455" w:rsidRPr="0034180A">
        <w:rPr>
          <w:sz w:val="24"/>
          <w:szCs w:val="24"/>
        </w:rPr>
        <w:t>.</w:t>
      </w:r>
      <w:r w:rsidR="00E245B6" w:rsidRPr="0034180A">
        <w:rPr>
          <w:sz w:val="24"/>
          <w:szCs w:val="24"/>
        </w:rPr>
        <w:t xml:space="preserve"> </w:t>
      </w:r>
    </w:p>
    <w:p w14:paraId="68EF25A2" w14:textId="77777777" w:rsidR="00690F7D" w:rsidRPr="0034180A" w:rsidRDefault="00690F7D" w:rsidP="00F10488">
      <w:pPr>
        <w:ind w:left="720" w:hanging="720"/>
        <w:rPr>
          <w:sz w:val="24"/>
          <w:szCs w:val="24"/>
        </w:rPr>
      </w:pPr>
    </w:p>
    <w:p w14:paraId="39839B22" w14:textId="77777777" w:rsidR="00690F7D" w:rsidRPr="0034180A" w:rsidRDefault="00A9355B" w:rsidP="00690F7D">
      <w:pPr>
        <w:ind w:left="720" w:hanging="720"/>
        <w:rPr>
          <w:sz w:val="24"/>
          <w:szCs w:val="24"/>
        </w:rPr>
      </w:pPr>
      <w:r w:rsidRPr="0034180A">
        <w:rPr>
          <w:sz w:val="24"/>
          <w:szCs w:val="24"/>
        </w:rPr>
        <w:t>3.</w:t>
      </w:r>
      <w:r w:rsidR="00C85BB3" w:rsidRPr="0034180A">
        <w:rPr>
          <w:sz w:val="24"/>
          <w:szCs w:val="24"/>
        </w:rPr>
        <w:t>3</w:t>
      </w:r>
      <w:r w:rsidR="00520064" w:rsidRPr="0034180A">
        <w:rPr>
          <w:sz w:val="24"/>
          <w:szCs w:val="24"/>
        </w:rPr>
        <w:t>8</w:t>
      </w:r>
      <w:r w:rsidR="00690F7D" w:rsidRPr="0034180A">
        <w:rPr>
          <w:sz w:val="24"/>
          <w:szCs w:val="24"/>
        </w:rPr>
        <w:tab/>
        <w:t xml:space="preserve">The Authority predominantly funds its capital investments through borrowing. A general policy of using fixed interest rate vehicles is included in the Treasury Management Strategy in order to minimise this risk to interest rate increases.  However, in the longer term there is still an exposure from the loan charges on new capital being greater than anticipated. </w:t>
      </w:r>
      <w:r w:rsidR="00D94400" w:rsidRPr="0034180A">
        <w:rPr>
          <w:sz w:val="24"/>
          <w:szCs w:val="24"/>
        </w:rPr>
        <w:t>This may require some revision to future years’ capital plans.</w:t>
      </w:r>
    </w:p>
    <w:p w14:paraId="08E334AE" w14:textId="77777777" w:rsidR="00690F7D" w:rsidRPr="00566F78" w:rsidRDefault="00690F7D" w:rsidP="00F10488">
      <w:pPr>
        <w:ind w:left="720" w:hanging="720"/>
        <w:rPr>
          <w:sz w:val="24"/>
          <w:szCs w:val="24"/>
          <w:highlight w:val="green"/>
        </w:rPr>
      </w:pPr>
    </w:p>
    <w:p w14:paraId="0F68BC13" w14:textId="77777777" w:rsidR="003003CC" w:rsidRPr="0034180A" w:rsidRDefault="00A9355B" w:rsidP="003003CC">
      <w:pPr>
        <w:ind w:left="720" w:hanging="720"/>
        <w:rPr>
          <w:sz w:val="24"/>
          <w:szCs w:val="24"/>
        </w:rPr>
      </w:pPr>
      <w:r w:rsidRPr="0034180A">
        <w:rPr>
          <w:sz w:val="24"/>
          <w:szCs w:val="24"/>
        </w:rPr>
        <w:t>3.</w:t>
      </w:r>
      <w:r w:rsidR="00FE6E9B" w:rsidRPr="0034180A">
        <w:rPr>
          <w:sz w:val="24"/>
          <w:szCs w:val="24"/>
        </w:rPr>
        <w:t>3</w:t>
      </w:r>
      <w:r w:rsidR="00520064" w:rsidRPr="0034180A">
        <w:rPr>
          <w:sz w:val="24"/>
          <w:szCs w:val="24"/>
        </w:rPr>
        <w:t>9</w:t>
      </w:r>
      <w:r w:rsidR="003003CC" w:rsidRPr="0034180A">
        <w:rPr>
          <w:sz w:val="24"/>
          <w:szCs w:val="24"/>
        </w:rPr>
        <w:tab/>
        <w:t xml:space="preserve">It is common in the </w:t>
      </w:r>
      <w:r w:rsidR="007054E8">
        <w:rPr>
          <w:sz w:val="24"/>
          <w:szCs w:val="24"/>
        </w:rPr>
        <w:t>p</w:t>
      </w:r>
      <w:r w:rsidR="003003CC" w:rsidRPr="0034180A">
        <w:rPr>
          <w:sz w:val="24"/>
          <w:szCs w:val="24"/>
        </w:rPr>
        <w:t xml:space="preserve">ublic </w:t>
      </w:r>
      <w:r w:rsidR="007054E8">
        <w:rPr>
          <w:sz w:val="24"/>
          <w:szCs w:val="24"/>
        </w:rPr>
        <w:t>s</w:t>
      </w:r>
      <w:r w:rsidR="003003CC" w:rsidRPr="0034180A">
        <w:rPr>
          <w:sz w:val="24"/>
          <w:szCs w:val="24"/>
        </w:rPr>
        <w:t xml:space="preserve">ector to use maturity loans as the most appropriate vehicle for capital financing. These loans </w:t>
      </w:r>
      <w:r w:rsidR="009E25DD">
        <w:rPr>
          <w:sz w:val="24"/>
          <w:szCs w:val="24"/>
        </w:rPr>
        <w:t xml:space="preserve">consist of half-yearly payments of interest only with a single repayment of capital at the end of the term, </w:t>
      </w:r>
      <w:r w:rsidR="003003CC" w:rsidRPr="0034180A">
        <w:rPr>
          <w:sz w:val="24"/>
          <w:szCs w:val="24"/>
        </w:rPr>
        <w:t xml:space="preserve">and they therefore present a refinancing risk at </w:t>
      </w:r>
      <w:r w:rsidR="009E25DD">
        <w:rPr>
          <w:sz w:val="24"/>
          <w:szCs w:val="24"/>
        </w:rPr>
        <w:t>their maturity date</w:t>
      </w:r>
      <w:r w:rsidR="003003CC" w:rsidRPr="0034180A">
        <w:rPr>
          <w:sz w:val="24"/>
          <w:szCs w:val="24"/>
        </w:rPr>
        <w:t xml:space="preserve">. They are currently the most </w:t>
      </w:r>
      <w:r w:rsidR="00200405" w:rsidRPr="0034180A">
        <w:rPr>
          <w:sz w:val="24"/>
          <w:szCs w:val="24"/>
        </w:rPr>
        <w:t>cost-effective</w:t>
      </w:r>
      <w:r w:rsidR="003003CC" w:rsidRPr="0034180A">
        <w:rPr>
          <w:sz w:val="24"/>
          <w:szCs w:val="24"/>
        </w:rPr>
        <w:t xml:space="preserve"> way of </w:t>
      </w:r>
      <w:r w:rsidR="00200405" w:rsidRPr="0034180A">
        <w:rPr>
          <w:sz w:val="24"/>
          <w:szCs w:val="24"/>
        </w:rPr>
        <w:t>borrowing,</w:t>
      </w:r>
      <w:r w:rsidR="003003CC" w:rsidRPr="0034180A">
        <w:rPr>
          <w:sz w:val="24"/>
          <w:szCs w:val="24"/>
        </w:rPr>
        <w:t xml:space="preserve"> but it is considered essential that the Authority has sufficient accumulated cash to repay </w:t>
      </w:r>
      <w:r w:rsidR="009E25DD">
        <w:rPr>
          <w:sz w:val="24"/>
          <w:szCs w:val="24"/>
        </w:rPr>
        <w:t xml:space="preserve">the </w:t>
      </w:r>
      <w:r w:rsidR="003003CC" w:rsidRPr="0034180A">
        <w:rPr>
          <w:sz w:val="24"/>
          <w:szCs w:val="24"/>
        </w:rPr>
        <w:t xml:space="preserve">principal at term. This ensures that the </w:t>
      </w:r>
      <w:r w:rsidR="00DF22CD">
        <w:rPr>
          <w:sz w:val="24"/>
          <w:szCs w:val="24"/>
        </w:rPr>
        <w:t>A</w:t>
      </w:r>
      <w:r w:rsidR="003003CC" w:rsidRPr="0034180A">
        <w:rPr>
          <w:sz w:val="24"/>
          <w:szCs w:val="24"/>
        </w:rPr>
        <w:t xml:space="preserve">uthority retains control of overall debt levels. </w:t>
      </w:r>
    </w:p>
    <w:p w14:paraId="4003D59B" w14:textId="77777777" w:rsidR="003003CC" w:rsidRPr="0034180A" w:rsidRDefault="003003CC" w:rsidP="003003CC">
      <w:pPr>
        <w:pStyle w:val="ListParagraph"/>
        <w:ind w:left="-360"/>
        <w:rPr>
          <w:sz w:val="24"/>
          <w:szCs w:val="24"/>
        </w:rPr>
      </w:pPr>
    </w:p>
    <w:p w14:paraId="6E2677B1" w14:textId="77777777" w:rsidR="003003CC" w:rsidRPr="0034180A" w:rsidRDefault="00A9355B" w:rsidP="003003CC">
      <w:pPr>
        <w:ind w:left="720" w:hanging="720"/>
        <w:rPr>
          <w:sz w:val="24"/>
          <w:szCs w:val="24"/>
        </w:rPr>
      </w:pPr>
      <w:r w:rsidRPr="0034180A">
        <w:rPr>
          <w:sz w:val="24"/>
          <w:szCs w:val="24"/>
        </w:rPr>
        <w:t>3.</w:t>
      </w:r>
      <w:r w:rsidR="00520064" w:rsidRPr="0034180A">
        <w:rPr>
          <w:sz w:val="24"/>
          <w:szCs w:val="24"/>
        </w:rPr>
        <w:t>40</w:t>
      </w:r>
      <w:r w:rsidR="003003CC" w:rsidRPr="0034180A">
        <w:rPr>
          <w:sz w:val="24"/>
          <w:szCs w:val="24"/>
        </w:rPr>
        <w:tab/>
        <w:t xml:space="preserve">The </w:t>
      </w:r>
      <w:r w:rsidR="00DF22CD">
        <w:rPr>
          <w:sz w:val="24"/>
          <w:szCs w:val="24"/>
        </w:rPr>
        <w:t>A</w:t>
      </w:r>
      <w:r w:rsidR="003003CC" w:rsidRPr="0034180A">
        <w:rPr>
          <w:sz w:val="24"/>
          <w:szCs w:val="24"/>
        </w:rPr>
        <w:t xml:space="preserve">uthority will also take opportunities to make voluntary Minimum Revenue Provision (MRP) contributions as they arise.  </w:t>
      </w:r>
    </w:p>
    <w:p w14:paraId="54CAC014" w14:textId="77777777" w:rsidR="003003CC" w:rsidRPr="0034180A" w:rsidRDefault="003003CC" w:rsidP="003003CC">
      <w:pPr>
        <w:jc w:val="both"/>
        <w:rPr>
          <w:sz w:val="24"/>
          <w:szCs w:val="24"/>
        </w:rPr>
      </w:pPr>
    </w:p>
    <w:p w14:paraId="0137A5FF" w14:textId="77777777" w:rsidR="003003CC" w:rsidRPr="00E05E60" w:rsidRDefault="00A9355B" w:rsidP="003003CC">
      <w:pPr>
        <w:ind w:left="720" w:hanging="720"/>
        <w:rPr>
          <w:sz w:val="24"/>
          <w:szCs w:val="24"/>
        </w:rPr>
      </w:pPr>
      <w:r w:rsidRPr="0034180A">
        <w:rPr>
          <w:sz w:val="24"/>
          <w:szCs w:val="24"/>
        </w:rPr>
        <w:t>3.4</w:t>
      </w:r>
      <w:r w:rsidR="004277FA" w:rsidRPr="0034180A">
        <w:rPr>
          <w:sz w:val="24"/>
          <w:szCs w:val="24"/>
        </w:rPr>
        <w:t>1</w:t>
      </w:r>
      <w:r w:rsidR="003003CC" w:rsidRPr="0034180A">
        <w:rPr>
          <w:sz w:val="24"/>
          <w:szCs w:val="24"/>
        </w:rPr>
        <w:tab/>
        <w:t xml:space="preserve">The Authority has adopted a medium-term strategy to hold long term debt at low rates </w:t>
      </w:r>
      <w:r w:rsidR="009E25DD">
        <w:rPr>
          <w:sz w:val="24"/>
          <w:szCs w:val="24"/>
        </w:rPr>
        <w:t>and to make use of debt rescheduling opportunities if the terms are advantageous</w:t>
      </w:r>
      <w:r w:rsidR="003003CC" w:rsidRPr="0034180A">
        <w:rPr>
          <w:sz w:val="24"/>
          <w:szCs w:val="24"/>
        </w:rPr>
        <w:t>. The overall strategy for borrowing is set out in the Treasury Management Strategy document and in the Prudential Code Report.</w:t>
      </w:r>
      <w:r w:rsidR="003003CC" w:rsidRPr="00E05E60">
        <w:rPr>
          <w:sz w:val="24"/>
          <w:szCs w:val="24"/>
        </w:rPr>
        <w:t xml:space="preserve"> </w:t>
      </w:r>
    </w:p>
    <w:p w14:paraId="4EE7DC3C" w14:textId="77777777" w:rsidR="003003CC" w:rsidRPr="00E05E60" w:rsidRDefault="003003CC" w:rsidP="00E43F68">
      <w:pPr>
        <w:ind w:left="720" w:hanging="720"/>
        <w:rPr>
          <w:sz w:val="24"/>
          <w:szCs w:val="24"/>
        </w:rPr>
      </w:pPr>
    </w:p>
    <w:p w14:paraId="2FF8D745" w14:textId="77777777" w:rsidR="00690F7D" w:rsidRPr="00E05E60" w:rsidRDefault="00690F7D" w:rsidP="00690F7D">
      <w:pPr>
        <w:jc w:val="both"/>
        <w:rPr>
          <w:b/>
          <w:sz w:val="24"/>
          <w:szCs w:val="24"/>
        </w:rPr>
      </w:pPr>
      <w:r w:rsidRPr="00E05E60">
        <w:rPr>
          <w:b/>
          <w:sz w:val="24"/>
          <w:szCs w:val="24"/>
        </w:rPr>
        <w:t>COLLABORATIVE WORKING</w:t>
      </w:r>
    </w:p>
    <w:p w14:paraId="78673F77" w14:textId="77777777" w:rsidR="00690F7D" w:rsidRPr="00E05E60" w:rsidRDefault="00690F7D" w:rsidP="00690F7D">
      <w:pPr>
        <w:ind w:left="709" w:hanging="709"/>
        <w:jc w:val="both"/>
        <w:rPr>
          <w:sz w:val="24"/>
          <w:szCs w:val="24"/>
        </w:rPr>
      </w:pPr>
    </w:p>
    <w:p w14:paraId="2BFAAA6C" w14:textId="77777777" w:rsidR="00690F7D" w:rsidRPr="0034180A" w:rsidRDefault="00A9355B" w:rsidP="00690F7D">
      <w:pPr>
        <w:ind w:left="720" w:hanging="720"/>
        <w:rPr>
          <w:sz w:val="24"/>
          <w:szCs w:val="24"/>
        </w:rPr>
      </w:pPr>
      <w:r w:rsidRPr="00E05E60">
        <w:rPr>
          <w:sz w:val="24"/>
          <w:szCs w:val="24"/>
        </w:rPr>
        <w:t>3.4</w:t>
      </w:r>
      <w:r w:rsidR="004277FA">
        <w:rPr>
          <w:sz w:val="24"/>
          <w:szCs w:val="24"/>
        </w:rPr>
        <w:t>2</w:t>
      </w:r>
      <w:r w:rsidR="00690F7D" w:rsidRPr="00E05E60">
        <w:rPr>
          <w:sz w:val="24"/>
          <w:szCs w:val="24"/>
        </w:rPr>
        <w:tab/>
      </w:r>
      <w:r w:rsidR="00690F7D" w:rsidRPr="0034180A">
        <w:rPr>
          <w:sz w:val="24"/>
          <w:szCs w:val="24"/>
        </w:rPr>
        <w:t xml:space="preserve">The Policing and Crime Act 2017 has introduced a duty to collaborate with the three emergency services where it is in the interest of efficiency and effectiveness.  To this end, a Collaboration Strategy was approved by </w:t>
      </w:r>
      <w:r w:rsidR="00DF22CD">
        <w:rPr>
          <w:sz w:val="24"/>
          <w:szCs w:val="24"/>
        </w:rPr>
        <w:t>the</w:t>
      </w:r>
      <w:r w:rsidR="00690F7D" w:rsidRPr="0034180A">
        <w:rPr>
          <w:sz w:val="24"/>
          <w:szCs w:val="24"/>
        </w:rPr>
        <w:t xml:space="preserve"> Authority on 22 September 2017. This will not preclude collaboration with other types of </w:t>
      </w:r>
      <w:r w:rsidR="00200405" w:rsidRPr="0034180A">
        <w:rPr>
          <w:sz w:val="24"/>
          <w:szCs w:val="24"/>
        </w:rPr>
        <w:t>organisations</w:t>
      </w:r>
      <w:r w:rsidR="00690F7D" w:rsidRPr="0034180A">
        <w:rPr>
          <w:sz w:val="24"/>
          <w:szCs w:val="24"/>
        </w:rPr>
        <w:t xml:space="preserve"> where there are benefits to be achieved. </w:t>
      </w:r>
    </w:p>
    <w:p w14:paraId="4A68C42E" w14:textId="77777777" w:rsidR="00690F7D" w:rsidRPr="0034180A" w:rsidRDefault="00690F7D" w:rsidP="00690F7D">
      <w:pPr>
        <w:ind w:left="720" w:hanging="720"/>
        <w:rPr>
          <w:sz w:val="24"/>
          <w:szCs w:val="24"/>
        </w:rPr>
      </w:pPr>
    </w:p>
    <w:p w14:paraId="303AF579" w14:textId="77777777" w:rsidR="00690F7D" w:rsidRPr="0034180A" w:rsidRDefault="00A9355B" w:rsidP="00690F7D">
      <w:pPr>
        <w:ind w:left="720" w:hanging="720"/>
        <w:rPr>
          <w:sz w:val="24"/>
          <w:szCs w:val="24"/>
        </w:rPr>
      </w:pPr>
      <w:r w:rsidRPr="0034180A">
        <w:rPr>
          <w:sz w:val="24"/>
          <w:szCs w:val="24"/>
        </w:rPr>
        <w:t>3.4</w:t>
      </w:r>
      <w:r w:rsidR="004277FA" w:rsidRPr="0034180A">
        <w:rPr>
          <w:sz w:val="24"/>
          <w:szCs w:val="24"/>
        </w:rPr>
        <w:t>3</w:t>
      </w:r>
      <w:r w:rsidR="00690F7D" w:rsidRPr="0034180A">
        <w:rPr>
          <w:sz w:val="24"/>
          <w:szCs w:val="24"/>
        </w:rPr>
        <w:tab/>
        <w:t xml:space="preserve">Collaboration is not something new to the organisation.  The </w:t>
      </w:r>
      <w:r w:rsidR="00DF22CD">
        <w:rPr>
          <w:sz w:val="24"/>
          <w:szCs w:val="24"/>
        </w:rPr>
        <w:t>A</w:t>
      </w:r>
      <w:r w:rsidR="00690F7D" w:rsidRPr="0034180A">
        <w:rPr>
          <w:sz w:val="24"/>
          <w:szCs w:val="24"/>
        </w:rPr>
        <w:t>uthority has taken advantage of many opportunities to reduce costs and increase resilience and effectiveness through joint procurement, joint use of estates and shared specialist vehicles.</w:t>
      </w:r>
    </w:p>
    <w:p w14:paraId="60E7F7D9" w14:textId="77777777" w:rsidR="00690F7D" w:rsidRPr="0034180A" w:rsidRDefault="00690F7D" w:rsidP="00690F7D">
      <w:pPr>
        <w:rPr>
          <w:sz w:val="24"/>
          <w:szCs w:val="24"/>
        </w:rPr>
      </w:pPr>
    </w:p>
    <w:p w14:paraId="3E1C3851" w14:textId="77777777" w:rsidR="00690F7D" w:rsidRPr="00E05E60" w:rsidRDefault="00A9355B" w:rsidP="00690F7D">
      <w:pPr>
        <w:ind w:left="709" w:hanging="709"/>
        <w:rPr>
          <w:sz w:val="24"/>
          <w:szCs w:val="24"/>
        </w:rPr>
      </w:pPr>
      <w:r w:rsidRPr="0034180A">
        <w:rPr>
          <w:sz w:val="24"/>
          <w:szCs w:val="24"/>
        </w:rPr>
        <w:t>3.4</w:t>
      </w:r>
      <w:r w:rsidR="004277FA" w:rsidRPr="0034180A">
        <w:rPr>
          <w:sz w:val="24"/>
          <w:szCs w:val="24"/>
        </w:rPr>
        <w:t>4</w:t>
      </w:r>
      <w:r w:rsidR="00690F7D" w:rsidRPr="0034180A">
        <w:rPr>
          <w:sz w:val="24"/>
          <w:szCs w:val="24"/>
        </w:rPr>
        <w:tab/>
        <w:t>The Authority remains committed to supporting joint and collaborative working with fire and other emergency service sector colleagues across the region</w:t>
      </w:r>
      <w:r w:rsidR="002C7F1C">
        <w:rPr>
          <w:sz w:val="24"/>
          <w:szCs w:val="24"/>
        </w:rPr>
        <w:t>.</w:t>
      </w:r>
    </w:p>
    <w:p w14:paraId="5BA95843" w14:textId="77777777" w:rsidR="00C85F10" w:rsidRDefault="00C85F10" w:rsidP="00690F7D">
      <w:pPr>
        <w:ind w:left="709" w:hanging="709"/>
        <w:rPr>
          <w:sz w:val="24"/>
          <w:szCs w:val="24"/>
        </w:rPr>
      </w:pPr>
    </w:p>
    <w:p w14:paraId="0AABDE35" w14:textId="77777777" w:rsidR="00DF22CD" w:rsidRPr="00E05E60" w:rsidRDefault="00DF22CD" w:rsidP="00690F7D">
      <w:pPr>
        <w:ind w:left="709" w:hanging="709"/>
        <w:rPr>
          <w:sz w:val="24"/>
          <w:szCs w:val="24"/>
        </w:rPr>
      </w:pPr>
    </w:p>
    <w:p w14:paraId="7E783EE3" w14:textId="77777777" w:rsidR="00C85F10" w:rsidRPr="00E05E60" w:rsidRDefault="00C85F10" w:rsidP="00C85F10">
      <w:pPr>
        <w:jc w:val="both"/>
        <w:rPr>
          <w:b/>
          <w:sz w:val="24"/>
          <w:szCs w:val="24"/>
        </w:rPr>
      </w:pPr>
      <w:r w:rsidRPr="00E05E60">
        <w:rPr>
          <w:b/>
          <w:sz w:val="24"/>
          <w:szCs w:val="24"/>
        </w:rPr>
        <w:t xml:space="preserve">SECTION </w:t>
      </w:r>
      <w:r w:rsidR="00FD0231" w:rsidRPr="00E05E60">
        <w:rPr>
          <w:b/>
          <w:sz w:val="24"/>
          <w:szCs w:val="24"/>
        </w:rPr>
        <w:t>4</w:t>
      </w:r>
      <w:r w:rsidRPr="00E05E60">
        <w:rPr>
          <w:b/>
          <w:sz w:val="24"/>
          <w:szCs w:val="24"/>
        </w:rPr>
        <w:t>: UNPREDICTABILITY OF FUTURE YEARS PUBLIC FUNDING</w:t>
      </w:r>
    </w:p>
    <w:p w14:paraId="66118E09" w14:textId="77777777" w:rsidR="00C85F10" w:rsidRPr="00E05E60" w:rsidRDefault="00C85F10" w:rsidP="00C85F10">
      <w:pPr>
        <w:ind w:left="720" w:hanging="720"/>
        <w:rPr>
          <w:sz w:val="24"/>
          <w:szCs w:val="24"/>
        </w:rPr>
      </w:pPr>
    </w:p>
    <w:p w14:paraId="4A82EDF9" w14:textId="77777777" w:rsidR="00FD1559" w:rsidRPr="00E05E60" w:rsidRDefault="00FD1559" w:rsidP="00C85F10">
      <w:pPr>
        <w:ind w:left="720" w:hanging="720"/>
        <w:rPr>
          <w:b/>
          <w:bCs/>
          <w:sz w:val="24"/>
          <w:szCs w:val="24"/>
        </w:rPr>
      </w:pPr>
      <w:r w:rsidRPr="00E05E60">
        <w:rPr>
          <w:b/>
          <w:bCs/>
          <w:sz w:val="24"/>
          <w:szCs w:val="24"/>
        </w:rPr>
        <w:t>Government Grant</w:t>
      </w:r>
    </w:p>
    <w:p w14:paraId="1BF04938" w14:textId="77777777" w:rsidR="00E600B7" w:rsidRDefault="00FD0231" w:rsidP="00FD1559">
      <w:pPr>
        <w:pStyle w:val="NormalWeb"/>
        <w:ind w:left="709" w:hanging="709"/>
        <w:rPr>
          <w:rFonts w:ascii="Arial" w:hAnsi="Arial" w:cs="Arial"/>
        </w:rPr>
      </w:pPr>
      <w:r w:rsidRPr="00E05E60">
        <w:rPr>
          <w:rFonts w:ascii="Arial" w:hAnsi="Arial" w:cs="Arial"/>
        </w:rPr>
        <w:t>4</w:t>
      </w:r>
      <w:r w:rsidR="00C85F10" w:rsidRPr="00E05E60">
        <w:rPr>
          <w:rFonts w:ascii="Arial" w:hAnsi="Arial" w:cs="Arial"/>
        </w:rPr>
        <w:t>.</w:t>
      </w:r>
      <w:r w:rsidR="00905743">
        <w:rPr>
          <w:rFonts w:ascii="Arial" w:hAnsi="Arial" w:cs="Arial"/>
        </w:rPr>
        <w:t>1</w:t>
      </w:r>
      <w:r w:rsidR="00C85F10" w:rsidRPr="00E05E60">
        <w:rPr>
          <w:rFonts w:ascii="Arial" w:hAnsi="Arial" w:cs="Arial"/>
        </w:rPr>
        <w:tab/>
      </w:r>
      <w:r w:rsidR="00C85F10" w:rsidRPr="000E7CF3">
        <w:rPr>
          <w:rFonts w:ascii="Arial" w:hAnsi="Arial" w:cs="Arial"/>
        </w:rPr>
        <w:t xml:space="preserve">The </w:t>
      </w:r>
      <w:bookmarkStart w:id="5" w:name="_Hlk55880712"/>
      <w:r w:rsidR="00C85F10" w:rsidRPr="000E7CF3">
        <w:rPr>
          <w:rFonts w:ascii="Arial" w:hAnsi="Arial" w:cs="Arial"/>
        </w:rPr>
        <w:t xml:space="preserve">funding for </w:t>
      </w:r>
      <w:r w:rsidR="004B6C98" w:rsidRPr="000E7CF3">
        <w:rPr>
          <w:rFonts w:ascii="Arial" w:hAnsi="Arial" w:cs="Arial"/>
        </w:rPr>
        <w:t>2024/25</w:t>
      </w:r>
      <w:r w:rsidR="00C85F10" w:rsidRPr="000E7CF3">
        <w:rPr>
          <w:rFonts w:ascii="Arial" w:hAnsi="Arial" w:cs="Arial"/>
        </w:rPr>
        <w:t xml:space="preserve"> to </w:t>
      </w:r>
      <w:r w:rsidR="004B6C98" w:rsidRPr="000E7CF3">
        <w:rPr>
          <w:rFonts w:ascii="Arial" w:hAnsi="Arial" w:cs="Arial"/>
        </w:rPr>
        <w:t>202</w:t>
      </w:r>
      <w:r w:rsidR="00BA6A9F" w:rsidRPr="000E7CF3">
        <w:rPr>
          <w:rFonts w:ascii="Arial" w:hAnsi="Arial" w:cs="Arial"/>
        </w:rPr>
        <w:t>7</w:t>
      </w:r>
      <w:r w:rsidR="004B6C98" w:rsidRPr="000E7CF3">
        <w:rPr>
          <w:rFonts w:ascii="Arial" w:hAnsi="Arial" w:cs="Arial"/>
        </w:rPr>
        <w:t>/2</w:t>
      </w:r>
      <w:r w:rsidR="00BA6A9F" w:rsidRPr="000E7CF3">
        <w:rPr>
          <w:rFonts w:ascii="Arial" w:hAnsi="Arial" w:cs="Arial"/>
        </w:rPr>
        <w:t>8</w:t>
      </w:r>
      <w:r w:rsidRPr="000E7CF3">
        <w:rPr>
          <w:rFonts w:ascii="Arial" w:hAnsi="Arial" w:cs="Arial"/>
        </w:rPr>
        <w:t xml:space="preserve"> remains</w:t>
      </w:r>
      <w:r w:rsidR="00C85F10" w:rsidRPr="000E7CF3">
        <w:rPr>
          <w:rFonts w:ascii="Arial" w:hAnsi="Arial" w:cs="Arial"/>
        </w:rPr>
        <w:t xml:space="preserve"> </w:t>
      </w:r>
      <w:r w:rsidR="00C85F10" w:rsidRPr="00B00C42">
        <w:rPr>
          <w:rFonts w:ascii="Arial" w:hAnsi="Arial" w:cs="Arial"/>
        </w:rPr>
        <w:t xml:space="preserve">uncertain.  </w:t>
      </w:r>
      <w:r w:rsidR="00BA6A9F" w:rsidRPr="00B00C42">
        <w:rPr>
          <w:rFonts w:ascii="Arial" w:hAnsi="Arial" w:cs="Arial"/>
        </w:rPr>
        <w:t>Whilst t</w:t>
      </w:r>
      <w:r w:rsidRPr="00B00C42">
        <w:rPr>
          <w:rFonts w:ascii="Arial" w:hAnsi="Arial" w:cs="Arial"/>
        </w:rPr>
        <w:t xml:space="preserve">he </w:t>
      </w:r>
      <w:r w:rsidR="00AC4538" w:rsidRPr="00B00C42">
        <w:rPr>
          <w:rFonts w:ascii="Arial" w:hAnsi="Arial" w:cs="Arial"/>
        </w:rPr>
        <w:t>November</w:t>
      </w:r>
      <w:r w:rsidR="00100173" w:rsidRPr="00B00C42">
        <w:rPr>
          <w:rFonts w:ascii="Arial" w:hAnsi="Arial" w:cs="Arial"/>
        </w:rPr>
        <w:t xml:space="preserve"> </w:t>
      </w:r>
      <w:r w:rsidR="00DF22CD">
        <w:rPr>
          <w:rFonts w:ascii="Arial" w:hAnsi="Arial" w:cs="Arial"/>
        </w:rPr>
        <w:t>20</w:t>
      </w:r>
      <w:r w:rsidR="00100173" w:rsidRPr="00B00C42">
        <w:rPr>
          <w:rFonts w:ascii="Arial" w:hAnsi="Arial" w:cs="Arial"/>
        </w:rPr>
        <w:t>2</w:t>
      </w:r>
      <w:r w:rsidR="00BA6A9F" w:rsidRPr="00B00C42">
        <w:rPr>
          <w:rFonts w:ascii="Arial" w:hAnsi="Arial" w:cs="Arial"/>
        </w:rPr>
        <w:t>3</w:t>
      </w:r>
      <w:r w:rsidRPr="00B00C42">
        <w:rPr>
          <w:rFonts w:ascii="Arial" w:hAnsi="Arial" w:cs="Arial"/>
        </w:rPr>
        <w:t xml:space="preserve"> </w:t>
      </w:r>
      <w:r w:rsidR="00100173" w:rsidRPr="00B00C42">
        <w:rPr>
          <w:rFonts w:ascii="Arial" w:hAnsi="Arial" w:cs="Arial"/>
        </w:rPr>
        <w:t>Autumn Statement</w:t>
      </w:r>
      <w:r w:rsidRPr="00B00C42">
        <w:rPr>
          <w:rFonts w:ascii="Arial" w:hAnsi="Arial" w:cs="Arial"/>
        </w:rPr>
        <w:t xml:space="preserve"> indicated that Local Government funding would</w:t>
      </w:r>
      <w:r w:rsidR="00100173" w:rsidRPr="00B00C42">
        <w:rPr>
          <w:rFonts w:ascii="Arial" w:hAnsi="Arial" w:cs="Arial"/>
        </w:rPr>
        <w:t xml:space="preserve"> be</w:t>
      </w:r>
      <w:r w:rsidRPr="00B00C42">
        <w:rPr>
          <w:rFonts w:ascii="Arial" w:hAnsi="Arial" w:cs="Arial"/>
        </w:rPr>
        <w:t xml:space="preserve"> increas</w:t>
      </w:r>
      <w:r w:rsidR="00100173" w:rsidRPr="00B00C42">
        <w:rPr>
          <w:rFonts w:ascii="Arial" w:hAnsi="Arial" w:cs="Arial"/>
        </w:rPr>
        <w:t xml:space="preserve">ing, there were no specific references to </w:t>
      </w:r>
      <w:r w:rsidR="00DF22CD">
        <w:rPr>
          <w:rFonts w:ascii="Arial" w:hAnsi="Arial" w:cs="Arial"/>
        </w:rPr>
        <w:t>f</w:t>
      </w:r>
      <w:r w:rsidR="00100173" w:rsidRPr="00B00C42">
        <w:rPr>
          <w:rFonts w:ascii="Arial" w:hAnsi="Arial" w:cs="Arial"/>
        </w:rPr>
        <w:t xml:space="preserve">ire and </w:t>
      </w:r>
      <w:r w:rsidR="00DF22CD">
        <w:rPr>
          <w:rFonts w:ascii="Arial" w:hAnsi="Arial" w:cs="Arial"/>
        </w:rPr>
        <w:t>r</w:t>
      </w:r>
      <w:r w:rsidR="00100173" w:rsidRPr="00B00C42">
        <w:rPr>
          <w:rFonts w:ascii="Arial" w:hAnsi="Arial" w:cs="Arial"/>
        </w:rPr>
        <w:t>escue</w:t>
      </w:r>
      <w:r w:rsidRPr="00B00C42">
        <w:rPr>
          <w:rFonts w:ascii="Arial" w:hAnsi="Arial" w:cs="Arial"/>
        </w:rPr>
        <w:t>.</w:t>
      </w:r>
    </w:p>
    <w:p w14:paraId="6C35A210" w14:textId="77777777" w:rsidR="00FD0231" w:rsidRPr="00E05E60" w:rsidRDefault="00E600B7" w:rsidP="00FD1559">
      <w:pPr>
        <w:pStyle w:val="NormalWeb"/>
        <w:ind w:left="709" w:hanging="709"/>
        <w:rPr>
          <w:rFonts w:ascii="Arial" w:hAnsi="Arial" w:cs="Arial"/>
        </w:rPr>
      </w:pPr>
      <w:r>
        <w:rPr>
          <w:rFonts w:ascii="Arial" w:hAnsi="Arial" w:cs="Arial"/>
        </w:rPr>
        <w:lastRenderedPageBreak/>
        <w:t>4.2</w:t>
      </w:r>
      <w:r>
        <w:rPr>
          <w:rFonts w:ascii="Arial" w:hAnsi="Arial" w:cs="Arial"/>
        </w:rPr>
        <w:tab/>
      </w:r>
      <w:r w:rsidRPr="0034180A">
        <w:rPr>
          <w:rFonts w:ascii="Arial" w:hAnsi="Arial" w:cs="Arial"/>
        </w:rPr>
        <w:t xml:space="preserve">The Department </w:t>
      </w:r>
      <w:r w:rsidR="00FF4F14" w:rsidRPr="0034180A">
        <w:rPr>
          <w:rFonts w:ascii="Arial" w:hAnsi="Arial" w:cs="Arial"/>
        </w:rPr>
        <w:t>for Levelling Up, Housing and Communities</w:t>
      </w:r>
      <w:r w:rsidRPr="0034180A">
        <w:rPr>
          <w:rFonts w:ascii="Arial" w:hAnsi="Arial" w:cs="Arial"/>
        </w:rPr>
        <w:t xml:space="preserve"> </w:t>
      </w:r>
      <w:r w:rsidR="00FF4F14" w:rsidRPr="0034180A">
        <w:rPr>
          <w:rFonts w:ascii="Arial" w:hAnsi="Arial" w:cs="Arial"/>
        </w:rPr>
        <w:t xml:space="preserve">(DLUHC) </w:t>
      </w:r>
      <w:r w:rsidR="00DF22CD">
        <w:rPr>
          <w:rFonts w:ascii="Arial" w:hAnsi="Arial" w:cs="Arial"/>
        </w:rPr>
        <w:t>is</w:t>
      </w:r>
      <w:r w:rsidR="00FF4F14" w:rsidRPr="0034180A">
        <w:rPr>
          <w:rFonts w:ascii="Arial" w:hAnsi="Arial" w:cs="Arial"/>
        </w:rPr>
        <w:t xml:space="preserve"> expected to complete a Fair Funding Review which will revise the methodology for distributing grant across Local Government.  This has been delayed for several years and although it is now expected to take effect from 2026/27, this is </w:t>
      </w:r>
      <w:r w:rsidR="009304F6" w:rsidRPr="0034180A">
        <w:rPr>
          <w:rFonts w:ascii="Arial" w:hAnsi="Arial" w:cs="Arial"/>
        </w:rPr>
        <w:t xml:space="preserve">still </w:t>
      </w:r>
      <w:r w:rsidR="00FF4F14" w:rsidRPr="0034180A">
        <w:rPr>
          <w:rFonts w:ascii="Arial" w:hAnsi="Arial" w:cs="Arial"/>
        </w:rPr>
        <w:t xml:space="preserve">not certain.  </w:t>
      </w:r>
      <w:r w:rsidR="009304F6" w:rsidRPr="0034180A">
        <w:rPr>
          <w:rFonts w:ascii="Arial" w:hAnsi="Arial" w:cs="Arial"/>
        </w:rPr>
        <w:t>It is anticipated that the Authority will lose the Services Grant it receives at this point (estimated to be £366k in 2024/25)</w:t>
      </w:r>
      <w:r w:rsidR="00FF4F14" w:rsidRPr="0034180A">
        <w:rPr>
          <w:rFonts w:ascii="Arial" w:hAnsi="Arial" w:cs="Arial"/>
        </w:rPr>
        <w:t>.</w:t>
      </w:r>
    </w:p>
    <w:bookmarkEnd w:id="5"/>
    <w:p w14:paraId="60972CE8" w14:textId="77777777" w:rsidR="00C85F10" w:rsidRPr="00E05E60" w:rsidRDefault="00C85F10" w:rsidP="00C85F10">
      <w:pPr>
        <w:pStyle w:val="ListParagraph"/>
        <w:ind w:left="709" w:hanging="709"/>
        <w:rPr>
          <w:sz w:val="24"/>
          <w:szCs w:val="24"/>
        </w:rPr>
      </w:pPr>
    </w:p>
    <w:p w14:paraId="22A2AC1B" w14:textId="77777777" w:rsidR="00C85F10" w:rsidRPr="0034180A" w:rsidRDefault="00FD1559" w:rsidP="00C85F10">
      <w:pPr>
        <w:pStyle w:val="ListParagraph"/>
        <w:ind w:left="709" w:hanging="709"/>
        <w:rPr>
          <w:sz w:val="24"/>
          <w:szCs w:val="24"/>
        </w:rPr>
      </w:pPr>
      <w:r w:rsidRPr="0034180A">
        <w:rPr>
          <w:sz w:val="24"/>
          <w:szCs w:val="24"/>
        </w:rPr>
        <w:t>4</w:t>
      </w:r>
      <w:r w:rsidR="00C85F10" w:rsidRPr="0034180A">
        <w:rPr>
          <w:sz w:val="24"/>
          <w:szCs w:val="24"/>
        </w:rPr>
        <w:t>.</w:t>
      </w:r>
      <w:r w:rsidR="009304F6" w:rsidRPr="0034180A">
        <w:rPr>
          <w:sz w:val="24"/>
          <w:szCs w:val="24"/>
        </w:rPr>
        <w:t>3</w:t>
      </w:r>
      <w:r w:rsidR="00C85F10" w:rsidRPr="0034180A">
        <w:rPr>
          <w:sz w:val="24"/>
          <w:szCs w:val="24"/>
        </w:rPr>
        <w:tab/>
        <w:t>The firefighter pension scheme employer superannuation rates increased significantly in 20</w:t>
      </w:r>
      <w:r w:rsidRPr="0034180A">
        <w:rPr>
          <w:sz w:val="24"/>
          <w:szCs w:val="24"/>
        </w:rPr>
        <w:t>19/20</w:t>
      </w:r>
      <w:r w:rsidR="00C85F10" w:rsidRPr="0034180A">
        <w:rPr>
          <w:sz w:val="24"/>
          <w:szCs w:val="24"/>
        </w:rPr>
        <w:t xml:space="preserve"> following the scheme valuation exercise. This had the impact of increasing superannuation costs for the </w:t>
      </w:r>
      <w:r w:rsidR="00DF22CD">
        <w:rPr>
          <w:sz w:val="24"/>
          <w:szCs w:val="24"/>
        </w:rPr>
        <w:t>S</w:t>
      </w:r>
      <w:r w:rsidR="00C85F10" w:rsidRPr="0034180A">
        <w:rPr>
          <w:sz w:val="24"/>
          <w:szCs w:val="24"/>
        </w:rPr>
        <w:t>ervice in excess of £2.5m.  In response, the Treasury issued an additional Section 31 grant of £2.</w:t>
      </w:r>
      <w:r w:rsidR="00100F65" w:rsidRPr="0034180A">
        <w:rPr>
          <w:sz w:val="24"/>
          <w:szCs w:val="24"/>
        </w:rPr>
        <w:t>3</w:t>
      </w:r>
      <w:r w:rsidR="00C85F10" w:rsidRPr="0034180A">
        <w:rPr>
          <w:sz w:val="24"/>
          <w:szCs w:val="24"/>
        </w:rPr>
        <w:t xml:space="preserve">m to part cover the costs.  </w:t>
      </w:r>
      <w:r w:rsidRPr="0034180A">
        <w:rPr>
          <w:sz w:val="24"/>
          <w:szCs w:val="24"/>
        </w:rPr>
        <w:t>This has continued to be paid each year</w:t>
      </w:r>
      <w:r w:rsidR="00DF22CD">
        <w:rPr>
          <w:sz w:val="24"/>
          <w:szCs w:val="24"/>
        </w:rPr>
        <w:t>,</w:t>
      </w:r>
      <w:r w:rsidRPr="0034180A">
        <w:rPr>
          <w:sz w:val="24"/>
          <w:szCs w:val="24"/>
        </w:rPr>
        <w:t xml:space="preserve"> but not increased for inflation and it has been assumed that this will continue for the duration of the MTFS</w:t>
      </w:r>
      <w:r w:rsidR="00C85F10" w:rsidRPr="0034180A">
        <w:rPr>
          <w:sz w:val="24"/>
          <w:szCs w:val="24"/>
        </w:rPr>
        <w:t>.  It has been assumed that it will continue to be paid as a Section 31 grant at flat cash level</w:t>
      </w:r>
      <w:r w:rsidR="00100173" w:rsidRPr="0034180A">
        <w:rPr>
          <w:sz w:val="24"/>
          <w:szCs w:val="24"/>
        </w:rPr>
        <w:t xml:space="preserve">, although it is possible that this will be built into the </w:t>
      </w:r>
      <w:r w:rsidR="00DF22CD">
        <w:rPr>
          <w:sz w:val="24"/>
          <w:szCs w:val="24"/>
        </w:rPr>
        <w:t>S</w:t>
      </w:r>
      <w:r w:rsidR="00100173" w:rsidRPr="0034180A">
        <w:rPr>
          <w:sz w:val="24"/>
          <w:szCs w:val="24"/>
        </w:rPr>
        <w:t>ervice’s base line funding at some point</w:t>
      </w:r>
      <w:r w:rsidR="00C85F10" w:rsidRPr="0034180A">
        <w:rPr>
          <w:sz w:val="24"/>
          <w:szCs w:val="24"/>
        </w:rPr>
        <w:t>.</w:t>
      </w:r>
      <w:r w:rsidR="00100F65" w:rsidRPr="0034180A">
        <w:rPr>
          <w:sz w:val="24"/>
          <w:szCs w:val="24"/>
        </w:rPr>
        <w:t xml:space="preserve">  Depending on the pay award, this grant is reducing in real spending terms by approximately £5</w:t>
      </w:r>
      <w:r w:rsidR="00BA6A9F" w:rsidRPr="0034180A">
        <w:rPr>
          <w:sz w:val="24"/>
          <w:szCs w:val="24"/>
        </w:rPr>
        <w:t>5</w:t>
      </w:r>
      <w:r w:rsidR="00100F65" w:rsidRPr="0034180A">
        <w:rPr>
          <w:sz w:val="24"/>
          <w:szCs w:val="24"/>
        </w:rPr>
        <w:t>k per year.</w:t>
      </w:r>
      <w:r w:rsidR="00FF4F14" w:rsidRPr="0034180A">
        <w:rPr>
          <w:sz w:val="24"/>
          <w:szCs w:val="24"/>
        </w:rPr>
        <w:t xml:space="preserve">  The results of the 2020 valuation are expected shortly and is likely to result in a further increase to employer rates.  The Home Office </w:t>
      </w:r>
      <w:r w:rsidR="00DF22CD">
        <w:rPr>
          <w:sz w:val="24"/>
          <w:szCs w:val="24"/>
        </w:rPr>
        <w:t>has</w:t>
      </w:r>
      <w:r w:rsidR="00FF4F14" w:rsidRPr="0034180A">
        <w:rPr>
          <w:sz w:val="24"/>
          <w:szCs w:val="24"/>
        </w:rPr>
        <w:t xml:space="preserve"> agreed to fund any additional costs until 2025/26.  After this point they will form part of the spending review.</w:t>
      </w:r>
    </w:p>
    <w:p w14:paraId="55B149E5" w14:textId="77777777" w:rsidR="00C85F10" w:rsidRPr="0034180A" w:rsidRDefault="00C85F10" w:rsidP="00C85F10">
      <w:pPr>
        <w:pStyle w:val="ListParagraph"/>
        <w:ind w:left="709" w:hanging="709"/>
        <w:rPr>
          <w:sz w:val="24"/>
          <w:szCs w:val="24"/>
        </w:rPr>
      </w:pPr>
    </w:p>
    <w:p w14:paraId="0D6CB7FA" w14:textId="77777777" w:rsidR="00C85F10" w:rsidRPr="00E05E60" w:rsidRDefault="00C85F10" w:rsidP="00C85F10">
      <w:pPr>
        <w:pStyle w:val="ListParagraph"/>
        <w:ind w:left="709" w:hanging="709"/>
        <w:rPr>
          <w:b/>
          <w:sz w:val="24"/>
          <w:szCs w:val="24"/>
        </w:rPr>
      </w:pPr>
      <w:r w:rsidRPr="0034180A">
        <w:rPr>
          <w:b/>
          <w:sz w:val="24"/>
          <w:szCs w:val="24"/>
        </w:rPr>
        <w:t>Business Rates</w:t>
      </w:r>
    </w:p>
    <w:p w14:paraId="1EDAA6DF" w14:textId="77777777" w:rsidR="00C85F10" w:rsidRPr="00E05E60" w:rsidRDefault="00C85F10" w:rsidP="00C85F10">
      <w:pPr>
        <w:pStyle w:val="ListParagraph"/>
        <w:ind w:left="709" w:hanging="709"/>
        <w:rPr>
          <w:b/>
          <w:sz w:val="24"/>
          <w:szCs w:val="24"/>
        </w:rPr>
      </w:pPr>
    </w:p>
    <w:p w14:paraId="45408391" w14:textId="77777777" w:rsidR="00252075" w:rsidRPr="0034180A" w:rsidRDefault="00100F65" w:rsidP="00C85F10">
      <w:pPr>
        <w:pStyle w:val="ListParagraph"/>
        <w:ind w:left="709" w:hanging="709"/>
        <w:rPr>
          <w:sz w:val="24"/>
          <w:szCs w:val="24"/>
        </w:rPr>
      </w:pPr>
      <w:r w:rsidRPr="0034180A">
        <w:rPr>
          <w:sz w:val="24"/>
          <w:szCs w:val="24"/>
        </w:rPr>
        <w:t>4.</w:t>
      </w:r>
      <w:r w:rsidR="009304F6" w:rsidRPr="0034180A">
        <w:rPr>
          <w:sz w:val="24"/>
          <w:szCs w:val="24"/>
        </w:rPr>
        <w:t>4</w:t>
      </w:r>
      <w:r w:rsidR="006D013C" w:rsidRPr="0034180A">
        <w:rPr>
          <w:sz w:val="24"/>
          <w:szCs w:val="24"/>
        </w:rPr>
        <w:tab/>
      </w:r>
      <w:r w:rsidR="0081323D" w:rsidRPr="0034180A">
        <w:rPr>
          <w:sz w:val="24"/>
          <w:szCs w:val="24"/>
        </w:rPr>
        <w:t xml:space="preserve">Business </w:t>
      </w:r>
      <w:r w:rsidR="00C443B1">
        <w:rPr>
          <w:sz w:val="24"/>
          <w:szCs w:val="24"/>
        </w:rPr>
        <w:t>r</w:t>
      </w:r>
      <w:r w:rsidR="0081323D" w:rsidRPr="0034180A">
        <w:rPr>
          <w:sz w:val="24"/>
          <w:szCs w:val="24"/>
        </w:rPr>
        <w:t xml:space="preserve">ate growth within Nottinghamshire has held strong, largely due to a significant number of new industrial buildings along the county’s transport networks.  The revaluation of business rate properties from 1 April 2023 also provided additional income to the Authority. </w:t>
      </w:r>
    </w:p>
    <w:p w14:paraId="57042140" w14:textId="77777777" w:rsidR="00252075" w:rsidRPr="0034180A" w:rsidRDefault="00252075" w:rsidP="00C85F10">
      <w:pPr>
        <w:pStyle w:val="ListParagraph"/>
        <w:ind w:left="709" w:hanging="709"/>
        <w:rPr>
          <w:sz w:val="24"/>
          <w:szCs w:val="24"/>
        </w:rPr>
      </w:pPr>
    </w:p>
    <w:p w14:paraId="547C6A57" w14:textId="77777777" w:rsidR="006D013C" w:rsidRPr="00E05E60" w:rsidRDefault="00252075" w:rsidP="0081323D">
      <w:pPr>
        <w:pStyle w:val="ListParagraph"/>
        <w:ind w:left="709" w:hanging="709"/>
        <w:rPr>
          <w:sz w:val="24"/>
          <w:szCs w:val="24"/>
        </w:rPr>
      </w:pPr>
      <w:r w:rsidRPr="0034180A">
        <w:rPr>
          <w:sz w:val="24"/>
          <w:szCs w:val="24"/>
        </w:rPr>
        <w:t>4.</w:t>
      </w:r>
      <w:r w:rsidR="009304F6" w:rsidRPr="0034180A">
        <w:rPr>
          <w:sz w:val="24"/>
          <w:szCs w:val="24"/>
        </w:rPr>
        <w:t>5</w:t>
      </w:r>
      <w:r w:rsidRPr="0034180A">
        <w:rPr>
          <w:sz w:val="24"/>
          <w:szCs w:val="24"/>
        </w:rPr>
        <w:tab/>
      </w:r>
      <w:r w:rsidR="0081323D" w:rsidRPr="0034180A">
        <w:rPr>
          <w:sz w:val="24"/>
          <w:szCs w:val="24"/>
        </w:rPr>
        <w:t xml:space="preserve">Business </w:t>
      </w:r>
      <w:r w:rsidR="00C443B1">
        <w:rPr>
          <w:sz w:val="24"/>
          <w:szCs w:val="24"/>
        </w:rPr>
        <w:t>r</w:t>
      </w:r>
      <w:r w:rsidR="0081323D" w:rsidRPr="0034180A">
        <w:rPr>
          <w:sz w:val="24"/>
          <w:szCs w:val="24"/>
        </w:rPr>
        <w:t>ate</w:t>
      </w:r>
      <w:r w:rsidR="00C443B1">
        <w:rPr>
          <w:sz w:val="24"/>
          <w:szCs w:val="24"/>
        </w:rPr>
        <w:t>s</w:t>
      </w:r>
      <w:r w:rsidR="0081323D" w:rsidRPr="0034180A">
        <w:rPr>
          <w:sz w:val="24"/>
          <w:szCs w:val="24"/>
        </w:rPr>
        <w:t xml:space="preserve"> legislation requires that rates increase in line with CPI inflation, which means that this element of the Authority’s income is largely protected.  Since the Covid-19 pandemic, these increases have not been passed on to local businesses and the Authority has received </w:t>
      </w:r>
      <w:r w:rsidR="00C443B1">
        <w:rPr>
          <w:sz w:val="24"/>
          <w:szCs w:val="24"/>
        </w:rPr>
        <w:t xml:space="preserve">an </w:t>
      </w:r>
      <w:r w:rsidR="0081323D" w:rsidRPr="0034180A">
        <w:rPr>
          <w:sz w:val="24"/>
          <w:szCs w:val="24"/>
        </w:rPr>
        <w:t xml:space="preserve">additional Section 31 </w:t>
      </w:r>
      <w:r w:rsidR="00DF22CD">
        <w:rPr>
          <w:sz w:val="24"/>
          <w:szCs w:val="24"/>
        </w:rPr>
        <w:t>G</w:t>
      </w:r>
      <w:r w:rsidR="0081323D" w:rsidRPr="0034180A">
        <w:rPr>
          <w:sz w:val="24"/>
          <w:szCs w:val="24"/>
        </w:rPr>
        <w:t>rant by way of compensation.  This grant is expected to be in the region of £1.9m for 2024/25.</w:t>
      </w:r>
    </w:p>
    <w:p w14:paraId="4408807E" w14:textId="77777777" w:rsidR="000F7A02" w:rsidRPr="00E05E60" w:rsidRDefault="000F7A02" w:rsidP="00C85F10">
      <w:pPr>
        <w:pStyle w:val="ListParagraph"/>
        <w:ind w:left="709" w:hanging="709"/>
        <w:rPr>
          <w:sz w:val="24"/>
          <w:szCs w:val="24"/>
        </w:rPr>
      </w:pPr>
    </w:p>
    <w:p w14:paraId="15364967" w14:textId="77777777" w:rsidR="006D013C" w:rsidRDefault="00A725DF" w:rsidP="00C85F10">
      <w:pPr>
        <w:pStyle w:val="ListParagraph"/>
        <w:ind w:left="709" w:hanging="709"/>
        <w:rPr>
          <w:sz w:val="24"/>
          <w:szCs w:val="24"/>
        </w:rPr>
      </w:pPr>
      <w:r w:rsidRPr="005936B2">
        <w:rPr>
          <w:sz w:val="24"/>
          <w:szCs w:val="24"/>
        </w:rPr>
        <w:t>4.</w:t>
      </w:r>
      <w:r w:rsidR="009304F6" w:rsidRPr="005936B2">
        <w:rPr>
          <w:sz w:val="24"/>
          <w:szCs w:val="24"/>
        </w:rPr>
        <w:t>6</w:t>
      </w:r>
      <w:r w:rsidRPr="005936B2">
        <w:rPr>
          <w:sz w:val="24"/>
          <w:szCs w:val="24"/>
        </w:rPr>
        <w:tab/>
      </w:r>
      <w:r w:rsidR="00C85F10" w:rsidRPr="005936B2">
        <w:rPr>
          <w:sz w:val="24"/>
          <w:szCs w:val="24"/>
        </w:rPr>
        <w:t xml:space="preserve">As part of the </w:t>
      </w:r>
      <w:r w:rsidR="006D013C" w:rsidRPr="005936B2">
        <w:rPr>
          <w:sz w:val="24"/>
          <w:szCs w:val="24"/>
        </w:rPr>
        <w:t xml:space="preserve">Autumn Statement on </w:t>
      </w:r>
      <w:r w:rsidR="00C443B1" w:rsidRPr="005936B2">
        <w:rPr>
          <w:sz w:val="24"/>
          <w:szCs w:val="24"/>
        </w:rPr>
        <w:t>22</w:t>
      </w:r>
      <w:r w:rsidR="006D013C" w:rsidRPr="005936B2">
        <w:rPr>
          <w:sz w:val="24"/>
          <w:szCs w:val="24"/>
        </w:rPr>
        <w:t xml:space="preserve"> November</w:t>
      </w:r>
      <w:r w:rsidR="00DF22CD">
        <w:rPr>
          <w:sz w:val="24"/>
          <w:szCs w:val="24"/>
        </w:rPr>
        <w:t xml:space="preserve"> 2023</w:t>
      </w:r>
      <w:r w:rsidR="006D013C" w:rsidRPr="005936B2">
        <w:rPr>
          <w:sz w:val="24"/>
          <w:szCs w:val="24"/>
        </w:rPr>
        <w:t>, the Chancellor announced:</w:t>
      </w:r>
    </w:p>
    <w:p w14:paraId="5EAAAFE9" w14:textId="77777777" w:rsidR="005936B2" w:rsidRDefault="005936B2" w:rsidP="005936B2">
      <w:pPr>
        <w:rPr>
          <w:rFonts w:ascii="Calibri" w:hAnsi="Calibri" w:cs="Calibri"/>
          <w:lang w:val="en-US"/>
        </w:rPr>
      </w:pPr>
    </w:p>
    <w:p w14:paraId="552B6006" w14:textId="77777777" w:rsidR="006D013C" w:rsidRPr="00C334D0" w:rsidRDefault="005936B2" w:rsidP="00DF22CD">
      <w:pPr>
        <w:pStyle w:val="ListParagraph"/>
        <w:numPr>
          <w:ilvl w:val="0"/>
          <w:numId w:val="40"/>
        </w:numPr>
        <w:ind w:left="1069"/>
        <w:rPr>
          <w:sz w:val="24"/>
          <w:szCs w:val="24"/>
        </w:rPr>
      </w:pPr>
      <w:r w:rsidRPr="00C334D0">
        <w:rPr>
          <w:sz w:val="24"/>
          <w:szCs w:val="24"/>
        </w:rPr>
        <w:t>New powers to de-couple the business rates multipliers will be used from 2024-25, the small business rates multiplier will be frozen, and the standard multiplier indexed</w:t>
      </w:r>
      <w:r w:rsidR="00DF22CD">
        <w:rPr>
          <w:sz w:val="24"/>
          <w:szCs w:val="24"/>
        </w:rPr>
        <w:t>.</w:t>
      </w:r>
    </w:p>
    <w:p w14:paraId="7C0FB2F9" w14:textId="77777777" w:rsidR="005936B2" w:rsidRPr="00C334D0" w:rsidRDefault="00FC3D6C" w:rsidP="00DF22CD">
      <w:pPr>
        <w:pStyle w:val="ListParagraph"/>
        <w:numPr>
          <w:ilvl w:val="0"/>
          <w:numId w:val="40"/>
        </w:numPr>
        <w:ind w:left="1069"/>
        <w:rPr>
          <w:sz w:val="24"/>
          <w:szCs w:val="24"/>
        </w:rPr>
      </w:pPr>
      <w:r w:rsidRPr="00C334D0">
        <w:rPr>
          <w:sz w:val="24"/>
          <w:szCs w:val="24"/>
        </w:rPr>
        <w:t>75</w:t>
      </w:r>
      <w:r w:rsidR="005936B2" w:rsidRPr="00C334D0">
        <w:rPr>
          <w:sz w:val="24"/>
          <w:szCs w:val="24"/>
        </w:rPr>
        <w:t xml:space="preserve">% Retail, </w:t>
      </w:r>
      <w:r w:rsidRPr="00C334D0">
        <w:rPr>
          <w:sz w:val="24"/>
          <w:szCs w:val="24"/>
        </w:rPr>
        <w:t>H</w:t>
      </w:r>
      <w:r w:rsidR="005936B2" w:rsidRPr="00C334D0">
        <w:rPr>
          <w:sz w:val="24"/>
          <w:szCs w:val="24"/>
        </w:rPr>
        <w:t xml:space="preserve">ospitality and Leisure (RHL) discounts will continue for a further year.  </w:t>
      </w:r>
    </w:p>
    <w:p w14:paraId="0151F0C6" w14:textId="77777777" w:rsidR="00FC3D6C" w:rsidRPr="00C334D0" w:rsidRDefault="006D013C" w:rsidP="00DF22CD">
      <w:pPr>
        <w:pStyle w:val="ListParagraph"/>
        <w:numPr>
          <w:ilvl w:val="0"/>
          <w:numId w:val="31"/>
        </w:numPr>
        <w:ind w:left="1069"/>
        <w:rPr>
          <w:sz w:val="24"/>
          <w:szCs w:val="24"/>
        </w:rPr>
      </w:pPr>
      <w:r w:rsidRPr="00C334D0">
        <w:rPr>
          <w:sz w:val="24"/>
          <w:szCs w:val="24"/>
        </w:rPr>
        <w:t xml:space="preserve">A freezing of business rates multipliers, meaning that there will be no inflationary increases in charges to </w:t>
      </w:r>
      <w:r w:rsidR="001B7D9B" w:rsidRPr="00C334D0">
        <w:rPr>
          <w:sz w:val="24"/>
          <w:szCs w:val="24"/>
        </w:rPr>
        <w:t>businesses.</w:t>
      </w:r>
    </w:p>
    <w:p w14:paraId="3F8E8836" w14:textId="77777777" w:rsidR="00FC3D6C" w:rsidRPr="00C334D0" w:rsidRDefault="00FC3D6C" w:rsidP="00DF22CD">
      <w:pPr>
        <w:pStyle w:val="ListParagraph"/>
        <w:numPr>
          <w:ilvl w:val="0"/>
          <w:numId w:val="31"/>
        </w:numPr>
        <w:ind w:left="1069"/>
        <w:rPr>
          <w:sz w:val="24"/>
          <w:szCs w:val="24"/>
        </w:rPr>
      </w:pPr>
      <w:r w:rsidRPr="00C334D0">
        <w:rPr>
          <w:sz w:val="24"/>
          <w:szCs w:val="24"/>
        </w:rPr>
        <w:t xml:space="preserve">Local authorities will be “fully compensated for the loss of income from these business rates measures”. </w:t>
      </w:r>
    </w:p>
    <w:p w14:paraId="5A0C66DE" w14:textId="77777777" w:rsidR="00A725DF" w:rsidRPr="00C334D0" w:rsidRDefault="00A725DF" w:rsidP="00C85F10">
      <w:pPr>
        <w:pStyle w:val="ListParagraph"/>
        <w:ind w:left="709" w:hanging="709"/>
        <w:rPr>
          <w:sz w:val="24"/>
          <w:szCs w:val="24"/>
        </w:rPr>
      </w:pPr>
    </w:p>
    <w:p w14:paraId="28D3437E" w14:textId="77777777" w:rsidR="006D013C" w:rsidRPr="00E05E60" w:rsidRDefault="00B6563B" w:rsidP="00C85F10">
      <w:pPr>
        <w:pStyle w:val="ListParagraph"/>
        <w:ind w:left="709" w:hanging="709"/>
        <w:rPr>
          <w:sz w:val="24"/>
          <w:szCs w:val="24"/>
        </w:rPr>
      </w:pPr>
      <w:r w:rsidRPr="00C334D0">
        <w:rPr>
          <w:sz w:val="24"/>
          <w:szCs w:val="24"/>
        </w:rPr>
        <w:t>4.</w:t>
      </w:r>
      <w:r w:rsidR="009304F6" w:rsidRPr="00C334D0">
        <w:rPr>
          <w:sz w:val="24"/>
          <w:szCs w:val="24"/>
        </w:rPr>
        <w:t>7</w:t>
      </w:r>
      <w:r w:rsidRPr="00C334D0">
        <w:rPr>
          <w:sz w:val="24"/>
          <w:szCs w:val="24"/>
        </w:rPr>
        <w:tab/>
        <w:t>The Authority will be compensated for lost income from the</w:t>
      </w:r>
      <w:r w:rsidRPr="0034180A">
        <w:rPr>
          <w:sz w:val="24"/>
          <w:szCs w:val="24"/>
        </w:rPr>
        <w:t xml:space="preserve"> measures outlined </w:t>
      </w:r>
      <w:r w:rsidRPr="00FC3D6C">
        <w:rPr>
          <w:sz w:val="24"/>
          <w:szCs w:val="24"/>
        </w:rPr>
        <w:t xml:space="preserve">in </w:t>
      </w:r>
      <w:r w:rsidR="00DF22CD">
        <w:rPr>
          <w:sz w:val="24"/>
          <w:szCs w:val="24"/>
        </w:rPr>
        <w:t>S</w:t>
      </w:r>
      <w:r w:rsidRPr="00FC3D6C">
        <w:rPr>
          <w:sz w:val="24"/>
          <w:szCs w:val="24"/>
        </w:rPr>
        <w:t>ection 4.</w:t>
      </w:r>
      <w:r w:rsidR="00F5409D" w:rsidRPr="00FC3D6C">
        <w:rPr>
          <w:sz w:val="24"/>
          <w:szCs w:val="24"/>
        </w:rPr>
        <w:t>6</w:t>
      </w:r>
      <w:r w:rsidRPr="0034180A">
        <w:rPr>
          <w:sz w:val="24"/>
          <w:szCs w:val="24"/>
        </w:rPr>
        <w:t xml:space="preserve"> by way of additional Section 31 Grant.</w:t>
      </w:r>
    </w:p>
    <w:p w14:paraId="4BD10161" w14:textId="77777777" w:rsidR="006D013C" w:rsidRPr="00E05E60" w:rsidRDefault="006D013C" w:rsidP="00C85F10">
      <w:pPr>
        <w:pStyle w:val="ListParagraph"/>
        <w:ind w:left="709" w:hanging="709"/>
        <w:rPr>
          <w:sz w:val="24"/>
          <w:szCs w:val="24"/>
        </w:rPr>
      </w:pPr>
    </w:p>
    <w:p w14:paraId="2C2EC074" w14:textId="77777777" w:rsidR="0081323D" w:rsidRPr="0034180A" w:rsidRDefault="0081323D" w:rsidP="00C85F10">
      <w:pPr>
        <w:pStyle w:val="ListParagraph"/>
        <w:ind w:left="709" w:hanging="709"/>
        <w:rPr>
          <w:sz w:val="24"/>
          <w:szCs w:val="24"/>
        </w:rPr>
      </w:pPr>
      <w:r w:rsidRPr="0034180A">
        <w:rPr>
          <w:sz w:val="24"/>
          <w:szCs w:val="24"/>
        </w:rPr>
        <w:lastRenderedPageBreak/>
        <w:t>4.</w:t>
      </w:r>
      <w:r w:rsidR="009304F6" w:rsidRPr="0034180A">
        <w:rPr>
          <w:sz w:val="24"/>
          <w:szCs w:val="24"/>
        </w:rPr>
        <w:t>8</w:t>
      </w:r>
      <w:r w:rsidRPr="0034180A">
        <w:rPr>
          <w:sz w:val="24"/>
          <w:szCs w:val="24"/>
        </w:rPr>
        <w:tab/>
        <w:t>The Government ha</w:t>
      </w:r>
      <w:r w:rsidR="00AC62B1" w:rsidRPr="0034180A">
        <w:rPr>
          <w:sz w:val="24"/>
          <w:szCs w:val="24"/>
        </w:rPr>
        <w:t xml:space="preserve">s delayed a </w:t>
      </w:r>
      <w:r w:rsidR="00C443B1">
        <w:rPr>
          <w:sz w:val="24"/>
          <w:szCs w:val="24"/>
        </w:rPr>
        <w:t>b</w:t>
      </w:r>
      <w:r w:rsidRPr="0034180A">
        <w:rPr>
          <w:sz w:val="24"/>
          <w:szCs w:val="24"/>
        </w:rPr>
        <w:t xml:space="preserve">usiness </w:t>
      </w:r>
      <w:r w:rsidR="00C443B1">
        <w:rPr>
          <w:sz w:val="24"/>
          <w:szCs w:val="24"/>
        </w:rPr>
        <w:t>r</w:t>
      </w:r>
      <w:r w:rsidRPr="0034180A">
        <w:rPr>
          <w:sz w:val="24"/>
          <w:szCs w:val="24"/>
        </w:rPr>
        <w:t xml:space="preserve">ate reset </w:t>
      </w:r>
      <w:r w:rsidR="00AC62B1" w:rsidRPr="0034180A">
        <w:rPr>
          <w:sz w:val="24"/>
          <w:szCs w:val="24"/>
        </w:rPr>
        <w:t>several times since it was originally expected in 2020/21.  It is now anticipated that this will not happen until 2026/27 at the earliest to take account of the 2024 General Election.  The reset will establish new baseline funding levels and business rate baselines for each local authority that is party to the rates retention system.  It is anticipated that the Authority would benefit from the reset and the anticipated increase in income has been built into funding projections from 2026/27.</w:t>
      </w:r>
    </w:p>
    <w:p w14:paraId="1899F04B" w14:textId="77777777" w:rsidR="0081323D" w:rsidRPr="0034180A" w:rsidRDefault="0081323D" w:rsidP="00C85F10">
      <w:pPr>
        <w:pStyle w:val="ListParagraph"/>
        <w:ind w:left="709" w:hanging="709"/>
        <w:rPr>
          <w:sz w:val="24"/>
          <w:szCs w:val="24"/>
        </w:rPr>
      </w:pPr>
    </w:p>
    <w:p w14:paraId="64A43207" w14:textId="77777777" w:rsidR="006D013C" w:rsidRPr="00E05E60" w:rsidRDefault="000F7A02" w:rsidP="00C85F10">
      <w:pPr>
        <w:pStyle w:val="ListParagraph"/>
        <w:ind w:left="709" w:hanging="709"/>
        <w:rPr>
          <w:sz w:val="24"/>
          <w:szCs w:val="24"/>
        </w:rPr>
      </w:pPr>
      <w:r w:rsidRPr="0034180A">
        <w:rPr>
          <w:sz w:val="24"/>
          <w:szCs w:val="24"/>
        </w:rPr>
        <w:t>4.</w:t>
      </w:r>
      <w:r w:rsidR="009304F6" w:rsidRPr="0034180A">
        <w:rPr>
          <w:sz w:val="24"/>
          <w:szCs w:val="24"/>
        </w:rPr>
        <w:t>9</w:t>
      </w:r>
      <w:r w:rsidRPr="0034180A">
        <w:rPr>
          <w:sz w:val="24"/>
          <w:szCs w:val="24"/>
        </w:rPr>
        <w:tab/>
        <w:t xml:space="preserve">Business </w:t>
      </w:r>
      <w:r w:rsidR="0013393C">
        <w:rPr>
          <w:sz w:val="24"/>
          <w:szCs w:val="24"/>
        </w:rPr>
        <w:t>r</w:t>
      </w:r>
      <w:r w:rsidRPr="0034180A">
        <w:rPr>
          <w:sz w:val="24"/>
          <w:szCs w:val="24"/>
        </w:rPr>
        <w:t>ates income accounts for almost a quarter of the Authority’s funding</w:t>
      </w:r>
      <w:r w:rsidR="00C443B1">
        <w:rPr>
          <w:sz w:val="24"/>
          <w:szCs w:val="24"/>
        </w:rPr>
        <w:t>,</w:t>
      </w:r>
      <w:r w:rsidRPr="0034180A">
        <w:rPr>
          <w:sz w:val="24"/>
          <w:szCs w:val="24"/>
        </w:rPr>
        <w:t xml:space="preserve"> although much of this is funded from the top up grant received from the government.  A 10% </w:t>
      </w:r>
      <w:r w:rsidR="008E6A4B" w:rsidRPr="0034180A">
        <w:rPr>
          <w:sz w:val="24"/>
          <w:szCs w:val="24"/>
        </w:rPr>
        <w:t>movement</w:t>
      </w:r>
      <w:r w:rsidRPr="0034180A">
        <w:rPr>
          <w:sz w:val="24"/>
          <w:szCs w:val="24"/>
        </w:rPr>
        <w:t xml:space="preserve"> in</w:t>
      </w:r>
      <w:r w:rsidR="005C0315" w:rsidRPr="0034180A">
        <w:rPr>
          <w:sz w:val="24"/>
          <w:szCs w:val="24"/>
        </w:rPr>
        <w:t xml:space="preserve"> </w:t>
      </w:r>
      <w:r w:rsidR="0013393C">
        <w:rPr>
          <w:sz w:val="24"/>
          <w:szCs w:val="24"/>
        </w:rPr>
        <w:t>b</w:t>
      </w:r>
      <w:r w:rsidRPr="0034180A">
        <w:rPr>
          <w:sz w:val="24"/>
          <w:szCs w:val="24"/>
        </w:rPr>
        <w:t xml:space="preserve">usiness </w:t>
      </w:r>
      <w:r w:rsidR="0013393C">
        <w:rPr>
          <w:sz w:val="24"/>
          <w:szCs w:val="24"/>
        </w:rPr>
        <w:t>r</w:t>
      </w:r>
      <w:r w:rsidRPr="0034180A">
        <w:rPr>
          <w:sz w:val="24"/>
          <w:szCs w:val="24"/>
        </w:rPr>
        <w:t>ate income</w:t>
      </w:r>
      <w:r w:rsidR="005C0315" w:rsidRPr="0034180A">
        <w:rPr>
          <w:sz w:val="24"/>
          <w:szCs w:val="24"/>
        </w:rPr>
        <w:t xml:space="preserve"> from local businesses would see a</w:t>
      </w:r>
      <w:r w:rsidR="008E6A4B" w:rsidRPr="0034180A">
        <w:rPr>
          <w:sz w:val="24"/>
          <w:szCs w:val="24"/>
        </w:rPr>
        <w:t>n increase or decrease</w:t>
      </w:r>
      <w:r w:rsidR="005C0315" w:rsidRPr="0034180A">
        <w:rPr>
          <w:sz w:val="24"/>
          <w:szCs w:val="24"/>
        </w:rPr>
        <w:t xml:space="preserve"> in income in the region of £3</w:t>
      </w:r>
      <w:r w:rsidR="00963C37" w:rsidRPr="0034180A">
        <w:rPr>
          <w:sz w:val="24"/>
          <w:szCs w:val="24"/>
        </w:rPr>
        <w:t>9</w:t>
      </w:r>
      <w:r w:rsidR="005C0315" w:rsidRPr="0034180A">
        <w:rPr>
          <w:sz w:val="24"/>
          <w:szCs w:val="24"/>
        </w:rPr>
        <w:t>0k.</w:t>
      </w:r>
    </w:p>
    <w:p w14:paraId="0A202D02" w14:textId="77777777" w:rsidR="006D013C" w:rsidRPr="00E05E60" w:rsidRDefault="006D013C" w:rsidP="00C85F10">
      <w:pPr>
        <w:pStyle w:val="ListParagraph"/>
        <w:ind w:left="709" w:hanging="709"/>
        <w:rPr>
          <w:sz w:val="24"/>
          <w:szCs w:val="24"/>
        </w:rPr>
      </w:pPr>
    </w:p>
    <w:p w14:paraId="0F6B5FE0" w14:textId="77777777" w:rsidR="00C85F10" w:rsidRPr="00E05E60" w:rsidRDefault="00C85F10" w:rsidP="00C85F10">
      <w:pPr>
        <w:rPr>
          <w:b/>
          <w:sz w:val="24"/>
          <w:szCs w:val="24"/>
        </w:rPr>
      </w:pPr>
      <w:r w:rsidRPr="00E05E60">
        <w:rPr>
          <w:b/>
          <w:sz w:val="24"/>
          <w:szCs w:val="24"/>
        </w:rPr>
        <w:t>Council Tax</w:t>
      </w:r>
    </w:p>
    <w:p w14:paraId="2549C60E" w14:textId="77777777" w:rsidR="00C85F10" w:rsidRPr="00E05E60" w:rsidRDefault="00C85F10" w:rsidP="00C85F10">
      <w:pPr>
        <w:rPr>
          <w:b/>
          <w:sz w:val="24"/>
          <w:szCs w:val="24"/>
        </w:rPr>
      </w:pPr>
    </w:p>
    <w:p w14:paraId="1A3FCAF9" w14:textId="77777777" w:rsidR="00C85F10" w:rsidRPr="00E05E60" w:rsidRDefault="00ED17A1" w:rsidP="00DF22CD">
      <w:pPr>
        <w:pStyle w:val="ListParagraph"/>
        <w:ind w:left="709" w:hanging="709"/>
        <w:rPr>
          <w:sz w:val="24"/>
          <w:szCs w:val="24"/>
        </w:rPr>
      </w:pPr>
      <w:bookmarkStart w:id="6" w:name="_Hlk55880910"/>
      <w:bookmarkStart w:id="7" w:name="_Hlk121232029"/>
      <w:r w:rsidRPr="00E05E60">
        <w:rPr>
          <w:sz w:val="24"/>
          <w:szCs w:val="24"/>
        </w:rPr>
        <w:t>4.</w:t>
      </w:r>
      <w:r w:rsidR="009304F6">
        <w:rPr>
          <w:sz w:val="24"/>
          <w:szCs w:val="24"/>
        </w:rPr>
        <w:t>10</w:t>
      </w:r>
      <w:r w:rsidR="00C85F10" w:rsidRPr="00E05E60">
        <w:rPr>
          <w:sz w:val="24"/>
          <w:szCs w:val="24"/>
        </w:rPr>
        <w:tab/>
      </w:r>
      <w:bookmarkStart w:id="8" w:name="_Hlk89802793"/>
      <w:r w:rsidR="00D31FBF" w:rsidRPr="00C334D0">
        <w:rPr>
          <w:sz w:val="24"/>
          <w:szCs w:val="24"/>
        </w:rPr>
        <w:t>I</w:t>
      </w:r>
      <w:r w:rsidR="00503E75" w:rsidRPr="00C334D0">
        <w:rPr>
          <w:sz w:val="24"/>
          <w:szCs w:val="24"/>
        </w:rPr>
        <w:t xml:space="preserve">t was announced in the Autumn Statement that the </w:t>
      </w:r>
      <w:r w:rsidR="00DF22CD">
        <w:rPr>
          <w:sz w:val="24"/>
          <w:szCs w:val="24"/>
        </w:rPr>
        <w:t>G</w:t>
      </w:r>
      <w:r w:rsidR="00503E75" w:rsidRPr="00C334D0">
        <w:rPr>
          <w:sz w:val="24"/>
          <w:szCs w:val="24"/>
        </w:rPr>
        <w:t xml:space="preserve">overnment is giving local authorities in England </w:t>
      </w:r>
      <w:r w:rsidR="006104FA" w:rsidRPr="00C334D0">
        <w:rPr>
          <w:sz w:val="24"/>
          <w:szCs w:val="24"/>
        </w:rPr>
        <w:t>the same</w:t>
      </w:r>
      <w:r w:rsidR="00D302D9" w:rsidRPr="00C334D0">
        <w:rPr>
          <w:sz w:val="24"/>
          <w:szCs w:val="24"/>
        </w:rPr>
        <w:t xml:space="preserve"> core council tax referendum principles as in 2023-24. The core Band D threshold will be 2.99%, and the adult social care precept a further 2%. </w:t>
      </w:r>
      <w:r w:rsidR="006104FA" w:rsidRPr="00C334D0">
        <w:rPr>
          <w:sz w:val="24"/>
          <w:szCs w:val="24"/>
        </w:rPr>
        <w:t>T</w:t>
      </w:r>
      <w:r w:rsidR="00D302D9" w:rsidRPr="00C334D0">
        <w:rPr>
          <w:sz w:val="24"/>
          <w:szCs w:val="24"/>
        </w:rPr>
        <w:t xml:space="preserve">he £5 minimum increase </w:t>
      </w:r>
      <w:r w:rsidR="006104FA" w:rsidRPr="00C334D0">
        <w:rPr>
          <w:sz w:val="24"/>
          <w:szCs w:val="24"/>
        </w:rPr>
        <w:t xml:space="preserve">was not confirmed </w:t>
      </w:r>
      <w:r w:rsidR="00D302D9" w:rsidRPr="00C334D0">
        <w:rPr>
          <w:sz w:val="24"/>
          <w:szCs w:val="24"/>
        </w:rPr>
        <w:t>to</w:t>
      </w:r>
      <w:r w:rsidR="006104FA" w:rsidRPr="00C334D0">
        <w:rPr>
          <w:sz w:val="24"/>
          <w:szCs w:val="24"/>
        </w:rPr>
        <w:t xml:space="preserve"> continue to apply</w:t>
      </w:r>
      <w:r w:rsidR="00D302D9" w:rsidRPr="00C334D0">
        <w:rPr>
          <w:sz w:val="24"/>
          <w:szCs w:val="24"/>
        </w:rPr>
        <w:t xml:space="preserve"> to district councils and fire authorities.</w:t>
      </w:r>
      <w:r w:rsidR="00DF22CD">
        <w:rPr>
          <w:sz w:val="24"/>
          <w:szCs w:val="24"/>
        </w:rPr>
        <w:t xml:space="preserve"> </w:t>
      </w:r>
      <w:r w:rsidR="00D31FBF" w:rsidRPr="00C334D0">
        <w:rPr>
          <w:sz w:val="24"/>
          <w:szCs w:val="24"/>
        </w:rPr>
        <w:t>These will be included in the provisional local government finance settlement which will be released for consultation in late December.</w:t>
      </w:r>
      <w:r w:rsidR="00D31FBF" w:rsidRPr="00E05E60">
        <w:rPr>
          <w:sz w:val="24"/>
          <w:szCs w:val="24"/>
        </w:rPr>
        <w:t xml:space="preserve">  </w:t>
      </w:r>
      <w:bookmarkEnd w:id="8"/>
    </w:p>
    <w:p w14:paraId="1C5A7BAA" w14:textId="77777777" w:rsidR="00D31FBF" w:rsidRPr="00E05E60" w:rsidRDefault="00D31FBF" w:rsidP="00C85F10">
      <w:pPr>
        <w:pStyle w:val="ListParagraph"/>
        <w:ind w:left="709" w:hanging="709"/>
        <w:rPr>
          <w:sz w:val="24"/>
          <w:szCs w:val="24"/>
        </w:rPr>
      </w:pPr>
    </w:p>
    <w:p w14:paraId="5646EDFE" w14:textId="77777777" w:rsidR="00D31FBF" w:rsidRPr="00006DFB" w:rsidRDefault="00D31FBF" w:rsidP="00C85F10">
      <w:pPr>
        <w:pStyle w:val="ListParagraph"/>
        <w:ind w:left="709" w:hanging="709"/>
        <w:rPr>
          <w:sz w:val="24"/>
          <w:szCs w:val="24"/>
        </w:rPr>
      </w:pPr>
      <w:r w:rsidRPr="00E05E60">
        <w:rPr>
          <w:sz w:val="24"/>
          <w:szCs w:val="24"/>
        </w:rPr>
        <w:t>4.</w:t>
      </w:r>
      <w:r w:rsidR="00520064">
        <w:rPr>
          <w:sz w:val="24"/>
          <w:szCs w:val="24"/>
        </w:rPr>
        <w:t>1</w:t>
      </w:r>
      <w:r w:rsidR="009304F6">
        <w:rPr>
          <w:sz w:val="24"/>
          <w:szCs w:val="24"/>
        </w:rPr>
        <w:t>1</w:t>
      </w:r>
      <w:r w:rsidRPr="00E05E60">
        <w:rPr>
          <w:sz w:val="24"/>
          <w:szCs w:val="24"/>
        </w:rPr>
        <w:tab/>
      </w:r>
      <w:r w:rsidR="00FB6DE3" w:rsidRPr="00006DFB">
        <w:rPr>
          <w:sz w:val="24"/>
          <w:szCs w:val="24"/>
        </w:rPr>
        <w:t>A</w:t>
      </w:r>
      <w:r w:rsidR="00B27214" w:rsidRPr="00006DFB">
        <w:rPr>
          <w:sz w:val="24"/>
          <w:szCs w:val="24"/>
        </w:rPr>
        <w:t xml:space="preserve"> </w:t>
      </w:r>
      <w:r w:rsidR="00DB6D75" w:rsidRPr="00006DFB">
        <w:rPr>
          <w:sz w:val="24"/>
          <w:szCs w:val="24"/>
        </w:rPr>
        <w:t>2.95</w:t>
      </w:r>
      <w:r w:rsidR="00B27214" w:rsidRPr="00006DFB">
        <w:rPr>
          <w:sz w:val="24"/>
          <w:szCs w:val="24"/>
        </w:rPr>
        <w:t xml:space="preserve">% additional increase in </w:t>
      </w:r>
      <w:r w:rsidR="00DF22CD">
        <w:rPr>
          <w:sz w:val="24"/>
          <w:szCs w:val="24"/>
        </w:rPr>
        <w:t>c</w:t>
      </w:r>
      <w:r w:rsidR="00B27214" w:rsidRPr="00006DFB">
        <w:rPr>
          <w:sz w:val="24"/>
          <w:szCs w:val="24"/>
        </w:rPr>
        <w:t xml:space="preserve">ouncil </w:t>
      </w:r>
      <w:r w:rsidR="00DF22CD">
        <w:rPr>
          <w:sz w:val="24"/>
          <w:szCs w:val="24"/>
        </w:rPr>
        <w:t>t</w:t>
      </w:r>
      <w:r w:rsidR="00B27214" w:rsidRPr="00006DFB">
        <w:rPr>
          <w:sz w:val="24"/>
          <w:szCs w:val="24"/>
        </w:rPr>
        <w:t>ax will create additional funding in the region of £</w:t>
      </w:r>
      <w:r w:rsidR="00F3422D" w:rsidRPr="00006DFB">
        <w:rPr>
          <w:sz w:val="24"/>
          <w:szCs w:val="24"/>
        </w:rPr>
        <w:t>991</w:t>
      </w:r>
      <w:r w:rsidR="00B27214" w:rsidRPr="00006DFB">
        <w:rPr>
          <w:sz w:val="24"/>
          <w:szCs w:val="24"/>
        </w:rPr>
        <w:t>k.</w:t>
      </w:r>
      <w:r w:rsidR="00FC56A0" w:rsidRPr="00006DFB">
        <w:rPr>
          <w:sz w:val="24"/>
          <w:szCs w:val="24"/>
        </w:rPr>
        <w:t xml:space="preserve">  A £5 increase would create additional funding in the region of £</w:t>
      </w:r>
      <w:r w:rsidR="00F3422D" w:rsidRPr="00006DFB">
        <w:rPr>
          <w:sz w:val="24"/>
          <w:szCs w:val="24"/>
        </w:rPr>
        <w:t>2,085</w:t>
      </w:r>
      <w:r w:rsidR="000E7CF3">
        <w:rPr>
          <w:sz w:val="24"/>
          <w:szCs w:val="24"/>
        </w:rPr>
        <w:t>m.</w:t>
      </w:r>
    </w:p>
    <w:p w14:paraId="7A24FCD1" w14:textId="77777777" w:rsidR="00C85F10" w:rsidRPr="00006DFB" w:rsidRDefault="00C85F10" w:rsidP="00C85F10">
      <w:pPr>
        <w:pStyle w:val="ListParagraph"/>
        <w:ind w:left="709" w:hanging="709"/>
        <w:rPr>
          <w:sz w:val="24"/>
          <w:szCs w:val="24"/>
        </w:rPr>
      </w:pPr>
    </w:p>
    <w:p w14:paraId="7803CC11" w14:textId="77777777" w:rsidR="00C85F10" w:rsidRPr="00006DFB" w:rsidRDefault="00ED17A1" w:rsidP="00C85F10">
      <w:pPr>
        <w:pStyle w:val="ListParagraph"/>
        <w:ind w:left="709" w:hanging="709"/>
        <w:rPr>
          <w:sz w:val="24"/>
          <w:szCs w:val="24"/>
        </w:rPr>
      </w:pPr>
      <w:r w:rsidRPr="00006DFB">
        <w:rPr>
          <w:sz w:val="24"/>
          <w:szCs w:val="24"/>
        </w:rPr>
        <w:t>4.</w:t>
      </w:r>
      <w:r w:rsidR="00520064" w:rsidRPr="00006DFB">
        <w:rPr>
          <w:sz w:val="24"/>
          <w:szCs w:val="24"/>
        </w:rPr>
        <w:t>1</w:t>
      </w:r>
      <w:r w:rsidR="009304F6" w:rsidRPr="00006DFB">
        <w:rPr>
          <w:sz w:val="24"/>
          <w:szCs w:val="24"/>
        </w:rPr>
        <w:t>2</w:t>
      </w:r>
      <w:r w:rsidR="00C85F10" w:rsidRPr="00006DFB">
        <w:rPr>
          <w:sz w:val="24"/>
          <w:szCs w:val="24"/>
        </w:rPr>
        <w:tab/>
        <w:t xml:space="preserve">Council </w:t>
      </w:r>
      <w:r w:rsidR="00DF22CD">
        <w:rPr>
          <w:sz w:val="24"/>
          <w:szCs w:val="24"/>
        </w:rPr>
        <w:t>t</w:t>
      </w:r>
      <w:r w:rsidR="00C85F10" w:rsidRPr="00006DFB">
        <w:rPr>
          <w:sz w:val="24"/>
          <w:szCs w:val="24"/>
        </w:rPr>
        <w:t xml:space="preserve">ax </w:t>
      </w:r>
      <w:bookmarkStart w:id="9" w:name="_Hlk89802824"/>
      <w:r w:rsidR="00C85F10" w:rsidRPr="00006DFB">
        <w:rPr>
          <w:sz w:val="24"/>
          <w:szCs w:val="24"/>
        </w:rPr>
        <w:t>for the Authority is currently £8</w:t>
      </w:r>
      <w:r w:rsidR="00FC56A0" w:rsidRPr="00006DFB">
        <w:rPr>
          <w:sz w:val="24"/>
          <w:szCs w:val="24"/>
        </w:rPr>
        <w:t>9</w:t>
      </w:r>
      <w:r w:rsidR="00F4237A" w:rsidRPr="00006DFB">
        <w:rPr>
          <w:sz w:val="24"/>
          <w:szCs w:val="24"/>
        </w:rPr>
        <w:t>.57</w:t>
      </w:r>
      <w:r w:rsidR="00C85F10" w:rsidRPr="00006DFB">
        <w:rPr>
          <w:sz w:val="24"/>
          <w:szCs w:val="24"/>
        </w:rPr>
        <w:t xml:space="preserve"> at Band D. </w:t>
      </w:r>
      <w:r w:rsidR="00F4237A" w:rsidRPr="00006DFB">
        <w:rPr>
          <w:sz w:val="24"/>
          <w:szCs w:val="24"/>
        </w:rPr>
        <w:t xml:space="preserve"> </w:t>
      </w:r>
      <w:r w:rsidR="00C85F10" w:rsidRPr="00006DFB">
        <w:rPr>
          <w:sz w:val="24"/>
          <w:szCs w:val="24"/>
        </w:rPr>
        <w:t xml:space="preserve">A </w:t>
      </w:r>
      <w:r w:rsidR="00F4237A" w:rsidRPr="00006DFB">
        <w:rPr>
          <w:sz w:val="24"/>
          <w:szCs w:val="24"/>
        </w:rPr>
        <w:t>2</w:t>
      </w:r>
      <w:r w:rsidR="00C85F10" w:rsidRPr="00006DFB">
        <w:rPr>
          <w:sz w:val="24"/>
          <w:szCs w:val="24"/>
        </w:rPr>
        <w:t>.95% increase would raise it by £</w:t>
      </w:r>
      <w:r w:rsidR="00F4237A" w:rsidRPr="00006DFB">
        <w:rPr>
          <w:sz w:val="24"/>
          <w:szCs w:val="24"/>
        </w:rPr>
        <w:t>2.</w:t>
      </w:r>
      <w:r w:rsidR="00B53F8D" w:rsidRPr="00006DFB">
        <w:rPr>
          <w:sz w:val="24"/>
          <w:szCs w:val="24"/>
        </w:rPr>
        <w:t>64</w:t>
      </w:r>
      <w:r w:rsidR="00C85F10" w:rsidRPr="00006DFB">
        <w:rPr>
          <w:sz w:val="24"/>
          <w:szCs w:val="24"/>
        </w:rPr>
        <w:t xml:space="preserve"> to £</w:t>
      </w:r>
      <w:r w:rsidR="00B53F8D" w:rsidRPr="00006DFB">
        <w:rPr>
          <w:sz w:val="24"/>
          <w:szCs w:val="24"/>
        </w:rPr>
        <w:t>92.21</w:t>
      </w:r>
      <w:r w:rsidR="00C85F10" w:rsidRPr="00006DFB">
        <w:rPr>
          <w:sz w:val="24"/>
          <w:szCs w:val="24"/>
        </w:rPr>
        <w:t xml:space="preserve"> per year which equates to £1.</w:t>
      </w:r>
      <w:r w:rsidR="00B53F8D" w:rsidRPr="00006DFB">
        <w:rPr>
          <w:sz w:val="24"/>
          <w:szCs w:val="24"/>
        </w:rPr>
        <w:t>7</w:t>
      </w:r>
      <w:r w:rsidR="0000194F" w:rsidRPr="00006DFB">
        <w:rPr>
          <w:sz w:val="24"/>
          <w:szCs w:val="24"/>
        </w:rPr>
        <w:t>5</w:t>
      </w:r>
      <w:r w:rsidR="00C85F10" w:rsidRPr="00006DFB">
        <w:rPr>
          <w:sz w:val="24"/>
          <w:szCs w:val="24"/>
        </w:rPr>
        <w:t xml:space="preserve"> per week.  A £5 increase would raise it to £</w:t>
      </w:r>
      <w:r w:rsidR="00B53F8D" w:rsidRPr="00006DFB">
        <w:rPr>
          <w:sz w:val="24"/>
          <w:szCs w:val="24"/>
        </w:rPr>
        <w:t>94</w:t>
      </w:r>
      <w:r w:rsidR="00C85F10" w:rsidRPr="00006DFB">
        <w:rPr>
          <w:sz w:val="24"/>
          <w:szCs w:val="24"/>
        </w:rPr>
        <w:t>.</w:t>
      </w:r>
      <w:r w:rsidR="00DB6D75" w:rsidRPr="00006DFB">
        <w:rPr>
          <w:sz w:val="24"/>
          <w:szCs w:val="24"/>
        </w:rPr>
        <w:t>57</w:t>
      </w:r>
      <w:r w:rsidR="00C85F10" w:rsidRPr="00006DFB">
        <w:rPr>
          <w:sz w:val="24"/>
          <w:szCs w:val="24"/>
        </w:rPr>
        <w:t xml:space="preserve"> - £1.</w:t>
      </w:r>
      <w:r w:rsidR="00B53F8D" w:rsidRPr="00006DFB">
        <w:rPr>
          <w:sz w:val="24"/>
          <w:szCs w:val="24"/>
        </w:rPr>
        <w:t>81</w:t>
      </w:r>
      <w:r w:rsidR="00C85F10" w:rsidRPr="00006DFB">
        <w:rPr>
          <w:sz w:val="24"/>
          <w:szCs w:val="24"/>
        </w:rPr>
        <w:t xml:space="preserve"> per week</w:t>
      </w:r>
      <w:bookmarkEnd w:id="9"/>
      <w:r w:rsidR="00C85F10" w:rsidRPr="00006DFB">
        <w:rPr>
          <w:sz w:val="24"/>
          <w:szCs w:val="24"/>
        </w:rPr>
        <w:t>.</w:t>
      </w:r>
    </w:p>
    <w:p w14:paraId="44B8A8FA" w14:textId="77777777" w:rsidR="00F4237A" w:rsidRPr="00006DFB" w:rsidRDefault="00F4237A" w:rsidP="00C85F10">
      <w:pPr>
        <w:pStyle w:val="ListParagraph"/>
        <w:ind w:left="709" w:hanging="709"/>
        <w:rPr>
          <w:sz w:val="24"/>
          <w:szCs w:val="24"/>
        </w:rPr>
      </w:pPr>
    </w:p>
    <w:p w14:paraId="7B3761F2" w14:textId="77777777" w:rsidR="004277FA" w:rsidRPr="00006DFB" w:rsidRDefault="004277FA" w:rsidP="00C85F10">
      <w:pPr>
        <w:pStyle w:val="ListParagraph"/>
        <w:ind w:left="709" w:hanging="709"/>
        <w:rPr>
          <w:b/>
          <w:bCs/>
          <w:sz w:val="24"/>
          <w:szCs w:val="24"/>
        </w:rPr>
      </w:pPr>
      <w:r w:rsidRPr="00006DFB">
        <w:rPr>
          <w:sz w:val="24"/>
          <w:szCs w:val="24"/>
        </w:rPr>
        <w:tab/>
      </w:r>
      <w:r w:rsidRPr="00006DFB">
        <w:rPr>
          <w:b/>
          <w:bCs/>
          <w:sz w:val="24"/>
          <w:szCs w:val="24"/>
        </w:rPr>
        <w:t>Table 1 – Council Tax Options Analysis</w:t>
      </w:r>
    </w:p>
    <w:p w14:paraId="16B58D08" w14:textId="77777777" w:rsidR="00F4237A" w:rsidRPr="00006DFB" w:rsidRDefault="00F4237A" w:rsidP="00C85F10">
      <w:pPr>
        <w:pStyle w:val="ListParagraph"/>
        <w:ind w:left="709" w:hanging="709"/>
        <w:rPr>
          <w:b/>
          <w:bCs/>
          <w:sz w:val="24"/>
          <w:szCs w:val="24"/>
        </w:rPr>
      </w:pPr>
      <w:r w:rsidRPr="00006DFB">
        <w:rPr>
          <w:sz w:val="24"/>
          <w:szCs w:val="24"/>
        </w:rPr>
        <w:tab/>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1338"/>
        <w:gridCol w:w="1338"/>
        <w:gridCol w:w="1390"/>
      </w:tblGrid>
      <w:tr w:rsidR="004876C8" w:rsidRPr="00006DFB" w14:paraId="2B91EDF3" w14:textId="77777777" w:rsidTr="00286807">
        <w:tc>
          <w:tcPr>
            <w:tcW w:w="4297" w:type="dxa"/>
            <w:shd w:val="clear" w:color="auto" w:fill="auto"/>
          </w:tcPr>
          <w:p w14:paraId="4DF03928" w14:textId="77777777" w:rsidR="004876C8" w:rsidRPr="00006DFB" w:rsidRDefault="004876C8" w:rsidP="003E5285">
            <w:pPr>
              <w:pStyle w:val="ListParagraph"/>
              <w:ind w:left="0"/>
              <w:rPr>
                <w:b/>
                <w:bCs/>
                <w:sz w:val="24"/>
                <w:szCs w:val="24"/>
              </w:rPr>
            </w:pPr>
          </w:p>
        </w:tc>
        <w:tc>
          <w:tcPr>
            <w:tcW w:w="1339" w:type="dxa"/>
            <w:shd w:val="clear" w:color="auto" w:fill="auto"/>
          </w:tcPr>
          <w:p w14:paraId="13CD97CA" w14:textId="77777777" w:rsidR="004876C8" w:rsidRPr="00006DFB" w:rsidRDefault="004876C8" w:rsidP="004876C8">
            <w:pPr>
              <w:pStyle w:val="ListParagraph"/>
              <w:ind w:left="0"/>
              <w:jc w:val="right"/>
              <w:rPr>
                <w:b/>
                <w:bCs/>
                <w:sz w:val="24"/>
                <w:szCs w:val="24"/>
              </w:rPr>
            </w:pPr>
            <w:r w:rsidRPr="00006DFB">
              <w:rPr>
                <w:b/>
                <w:bCs/>
                <w:sz w:val="24"/>
                <w:szCs w:val="24"/>
              </w:rPr>
              <w:t>Amount</w:t>
            </w:r>
          </w:p>
          <w:p w14:paraId="5144D535" w14:textId="77777777" w:rsidR="004876C8" w:rsidRPr="00006DFB" w:rsidRDefault="004876C8" w:rsidP="004876C8">
            <w:pPr>
              <w:pStyle w:val="ListParagraph"/>
              <w:ind w:left="0"/>
              <w:jc w:val="right"/>
              <w:rPr>
                <w:b/>
                <w:bCs/>
                <w:sz w:val="24"/>
                <w:szCs w:val="24"/>
              </w:rPr>
            </w:pPr>
            <w:r w:rsidRPr="00006DFB">
              <w:rPr>
                <w:b/>
                <w:bCs/>
                <w:sz w:val="24"/>
                <w:szCs w:val="24"/>
              </w:rPr>
              <w:t>£</w:t>
            </w:r>
          </w:p>
        </w:tc>
        <w:tc>
          <w:tcPr>
            <w:tcW w:w="1339" w:type="dxa"/>
            <w:shd w:val="clear" w:color="auto" w:fill="auto"/>
          </w:tcPr>
          <w:p w14:paraId="58B42E44" w14:textId="77777777" w:rsidR="004876C8" w:rsidRPr="00006DFB" w:rsidRDefault="004876C8" w:rsidP="004876C8">
            <w:pPr>
              <w:pStyle w:val="ListParagraph"/>
              <w:ind w:left="0"/>
              <w:jc w:val="right"/>
              <w:rPr>
                <w:b/>
                <w:bCs/>
                <w:sz w:val="24"/>
                <w:szCs w:val="24"/>
              </w:rPr>
            </w:pPr>
            <w:r w:rsidRPr="00006DFB">
              <w:rPr>
                <w:b/>
                <w:bCs/>
                <w:sz w:val="24"/>
                <w:szCs w:val="24"/>
              </w:rPr>
              <w:t>Increase</w:t>
            </w:r>
          </w:p>
          <w:p w14:paraId="135FC2A5" w14:textId="77777777" w:rsidR="004876C8" w:rsidRPr="00006DFB" w:rsidRDefault="004876C8" w:rsidP="004876C8">
            <w:pPr>
              <w:pStyle w:val="ListParagraph"/>
              <w:ind w:left="0"/>
              <w:jc w:val="right"/>
              <w:rPr>
                <w:b/>
                <w:bCs/>
                <w:sz w:val="24"/>
                <w:szCs w:val="24"/>
              </w:rPr>
            </w:pPr>
            <w:r w:rsidRPr="00006DFB">
              <w:rPr>
                <w:b/>
                <w:bCs/>
                <w:sz w:val="24"/>
                <w:szCs w:val="24"/>
              </w:rPr>
              <w:t>£</w:t>
            </w:r>
          </w:p>
        </w:tc>
        <w:tc>
          <w:tcPr>
            <w:tcW w:w="1339" w:type="dxa"/>
          </w:tcPr>
          <w:p w14:paraId="5BBAE28C" w14:textId="77777777" w:rsidR="004876C8" w:rsidRPr="00006DFB" w:rsidRDefault="004876C8" w:rsidP="004876C8">
            <w:pPr>
              <w:pStyle w:val="ListParagraph"/>
              <w:ind w:left="0"/>
              <w:jc w:val="right"/>
              <w:rPr>
                <w:b/>
                <w:bCs/>
                <w:sz w:val="24"/>
                <w:szCs w:val="24"/>
              </w:rPr>
            </w:pPr>
            <w:r w:rsidRPr="00006DFB">
              <w:rPr>
                <w:b/>
                <w:bCs/>
                <w:sz w:val="24"/>
                <w:szCs w:val="24"/>
              </w:rPr>
              <w:t>Additional Income £’000</w:t>
            </w:r>
          </w:p>
        </w:tc>
      </w:tr>
      <w:tr w:rsidR="004876C8" w:rsidRPr="00006DFB" w14:paraId="3B6CC7A8" w14:textId="77777777" w:rsidTr="00286807">
        <w:tc>
          <w:tcPr>
            <w:tcW w:w="4297" w:type="dxa"/>
            <w:shd w:val="clear" w:color="auto" w:fill="auto"/>
          </w:tcPr>
          <w:p w14:paraId="18625BFF" w14:textId="77777777" w:rsidR="004876C8" w:rsidRPr="00006DFB" w:rsidRDefault="004876C8" w:rsidP="003E5285">
            <w:pPr>
              <w:pStyle w:val="ListParagraph"/>
              <w:ind w:left="0"/>
              <w:rPr>
                <w:sz w:val="24"/>
                <w:szCs w:val="24"/>
              </w:rPr>
            </w:pPr>
            <w:r w:rsidRPr="00006DFB">
              <w:rPr>
                <w:sz w:val="24"/>
                <w:szCs w:val="24"/>
              </w:rPr>
              <w:t>Current Band D Council Tax</w:t>
            </w:r>
          </w:p>
        </w:tc>
        <w:tc>
          <w:tcPr>
            <w:tcW w:w="1339" w:type="dxa"/>
            <w:shd w:val="clear" w:color="auto" w:fill="auto"/>
          </w:tcPr>
          <w:p w14:paraId="106FFB83" w14:textId="77777777" w:rsidR="004876C8" w:rsidRPr="00006DFB" w:rsidRDefault="004876C8" w:rsidP="004876C8">
            <w:pPr>
              <w:pStyle w:val="ListParagraph"/>
              <w:ind w:left="0"/>
              <w:jc w:val="right"/>
              <w:rPr>
                <w:sz w:val="24"/>
                <w:szCs w:val="24"/>
              </w:rPr>
            </w:pPr>
            <w:r w:rsidRPr="00006DFB">
              <w:rPr>
                <w:sz w:val="24"/>
                <w:szCs w:val="24"/>
              </w:rPr>
              <w:t>£8</w:t>
            </w:r>
            <w:r w:rsidR="00B53F8D" w:rsidRPr="00006DFB">
              <w:rPr>
                <w:sz w:val="24"/>
                <w:szCs w:val="24"/>
              </w:rPr>
              <w:t>9</w:t>
            </w:r>
            <w:r w:rsidRPr="00006DFB">
              <w:rPr>
                <w:sz w:val="24"/>
                <w:szCs w:val="24"/>
              </w:rPr>
              <w:t>.57</w:t>
            </w:r>
          </w:p>
        </w:tc>
        <w:tc>
          <w:tcPr>
            <w:tcW w:w="1339" w:type="dxa"/>
            <w:shd w:val="clear" w:color="auto" w:fill="auto"/>
          </w:tcPr>
          <w:p w14:paraId="33109B12" w14:textId="77777777" w:rsidR="004876C8" w:rsidRPr="00006DFB" w:rsidRDefault="004876C8" w:rsidP="004876C8">
            <w:pPr>
              <w:pStyle w:val="ListParagraph"/>
              <w:ind w:left="0"/>
              <w:jc w:val="right"/>
              <w:rPr>
                <w:sz w:val="24"/>
                <w:szCs w:val="24"/>
              </w:rPr>
            </w:pPr>
          </w:p>
        </w:tc>
        <w:tc>
          <w:tcPr>
            <w:tcW w:w="1339" w:type="dxa"/>
          </w:tcPr>
          <w:p w14:paraId="1F19CA26" w14:textId="77777777" w:rsidR="004876C8" w:rsidRPr="00006DFB" w:rsidRDefault="004876C8" w:rsidP="004876C8">
            <w:pPr>
              <w:pStyle w:val="ListParagraph"/>
              <w:ind w:left="0"/>
              <w:jc w:val="right"/>
              <w:rPr>
                <w:sz w:val="24"/>
                <w:szCs w:val="24"/>
              </w:rPr>
            </w:pPr>
          </w:p>
        </w:tc>
      </w:tr>
      <w:tr w:rsidR="004876C8" w:rsidRPr="00006DFB" w14:paraId="6858A131" w14:textId="77777777" w:rsidTr="00C4137F">
        <w:trPr>
          <w:trHeight w:val="291"/>
        </w:trPr>
        <w:tc>
          <w:tcPr>
            <w:tcW w:w="4297" w:type="dxa"/>
            <w:shd w:val="clear" w:color="auto" w:fill="auto"/>
          </w:tcPr>
          <w:p w14:paraId="5734462E" w14:textId="77777777" w:rsidR="004876C8" w:rsidRPr="00006DFB" w:rsidRDefault="004876C8" w:rsidP="003E5285">
            <w:pPr>
              <w:pStyle w:val="ListParagraph"/>
              <w:ind w:left="0"/>
              <w:rPr>
                <w:sz w:val="24"/>
                <w:szCs w:val="24"/>
              </w:rPr>
            </w:pPr>
            <w:r w:rsidRPr="00006DFB">
              <w:rPr>
                <w:sz w:val="24"/>
                <w:szCs w:val="24"/>
              </w:rPr>
              <w:t>1.95% increase</w:t>
            </w:r>
          </w:p>
        </w:tc>
        <w:tc>
          <w:tcPr>
            <w:tcW w:w="1339" w:type="dxa"/>
            <w:shd w:val="clear" w:color="auto" w:fill="auto"/>
          </w:tcPr>
          <w:p w14:paraId="0B753DDD" w14:textId="77777777" w:rsidR="004876C8" w:rsidRPr="00006DFB" w:rsidRDefault="004876C8" w:rsidP="004876C8">
            <w:pPr>
              <w:pStyle w:val="ListParagraph"/>
              <w:ind w:left="0"/>
              <w:jc w:val="right"/>
              <w:rPr>
                <w:sz w:val="24"/>
                <w:szCs w:val="24"/>
              </w:rPr>
            </w:pPr>
            <w:r w:rsidRPr="00006DFB">
              <w:rPr>
                <w:sz w:val="24"/>
                <w:szCs w:val="24"/>
              </w:rPr>
              <w:t>£</w:t>
            </w:r>
            <w:r w:rsidR="00B53F8D" w:rsidRPr="00006DFB">
              <w:rPr>
                <w:sz w:val="24"/>
                <w:szCs w:val="24"/>
              </w:rPr>
              <w:t>91</w:t>
            </w:r>
            <w:r w:rsidRPr="00006DFB">
              <w:rPr>
                <w:sz w:val="24"/>
                <w:szCs w:val="24"/>
              </w:rPr>
              <w:t>.</w:t>
            </w:r>
            <w:r w:rsidR="0000194F" w:rsidRPr="00006DFB">
              <w:rPr>
                <w:sz w:val="24"/>
                <w:szCs w:val="24"/>
              </w:rPr>
              <w:t>32</w:t>
            </w:r>
          </w:p>
        </w:tc>
        <w:tc>
          <w:tcPr>
            <w:tcW w:w="1339" w:type="dxa"/>
            <w:shd w:val="clear" w:color="auto" w:fill="auto"/>
          </w:tcPr>
          <w:p w14:paraId="2BD2F106" w14:textId="77777777" w:rsidR="004876C8" w:rsidRPr="00006DFB" w:rsidRDefault="00B53F8D" w:rsidP="004876C8">
            <w:pPr>
              <w:pStyle w:val="ListParagraph"/>
              <w:ind w:left="0"/>
              <w:jc w:val="right"/>
              <w:rPr>
                <w:sz w:val="24"/>
                <w:szCs w:val="24"/>
              </w:rPr>
            </w:pPr>
            <w:r w:rsidRPr="00006DFB">
              <w:rPr>
                <w:sz w:val="24"/>
                <w:szCs w:val="24"/>
              </w:rPr>
              <w:t>1.75</w:t>
            </w:r>
          </w:p>
        </w:tc>
        <w:tc>
          <w:tcPr>
            <w:tcW w:w="1339" w:type="dxa"/>
          </w:tcPr>
          <w:p w14:paraId="56752D53" w14:textId="77777777" w:rsidR="004876C8" w:rsidRPr="00006DFB" w:rsidRDefault="0000194F" w:rsidP="004876C8">
            <w:pPr>
              <w:pStyle w:val="ListParagraph"/>
              <w:ind w:left="0"/>
              <w:jc w:val="right"/>
              <w:rPr>
                <w:sz w:val="24"/>
                <w:szCs w:val="24"/>
              </w:rPr>
            </w:pPr>
            <w:r w:rsidRPr="00006DFB">
              <w:rPr>
                <w:sz w:val="24"/>
                <w:szCs w:val="24"/>
              </w:rPr>
              <w:t>991</w:t>
            </w:r>
          </w:p>
        </w:tc>
      </w:tr>
      <w:tr w:rsidR="004876C8" w:rsidRPr="00006DFB" w14:paraId="0C2B1C67" w14:textId="77777777" w:rsidTr="00286807">
        <w:tc>
          <w:tcPr>
            <w:tcW w:w="4297" w:type="dxa"/>
            <w:shd w:val="clear" w:color="auto" w:fill="auto"/>
          </w:tcPr>
          <w:p w14:paraId="2B2CBF0D" w14:textId="77777777" w:rsidR="004876C8" w:rsidRPr="00006DFB" w:rsidRDefault="004876C8" w:rsidP="003E5285">
            <w:pPr>
              <w:pStyle w:val="ListParagraph"/>
              <w:ind w:left="0"/>
              <w:rPr>
                <w:sz w:val="24"/>
                <w:szCs w:val="24"/>
              </w:rPr>
            </w:pPr>
            <w:r w:rsidRPr="00006DFB">
              <w:rPr>
                <w:sz w:val="24"/>
                <w:szCs w:val="24"/>
              </w:rPr>
              <w:t>2.95% increase</w:t>
            </w:r>
          </w:p>
        </w:tc>
        <w:tc>
          <w:tcPr>
            <w:tcW w:w="1339" w:type="dxa"/>
            <w:shd w:val="clear" w:color="auto" w:fill="auto"/>
          </w:tcPr>
          <w:p w14:paraId="6EAA1EED" w14:textId="77777777" w:rsidR="004876C8" w:rsidRPr="00006DFB" w:rsidRDefault="004876C8" w:rsidP="004876C8">
            <w:pPr>
              <w:pStyle w:val="ListParagraph"/>
              <w:ind w:left="0"/>
              <w:jc w:val="right"/>
              <w:rPr>
                <w:sz w:val="24"/>
                <w:szCs w:val="24"/>
              </w:rPr>
            </w:pPr>
            <w:r w:rsidRPr="00006DFB">
              <w:rPr>
                <w:sz w:val="24"/>
                <w:szCs w:val="24"/>
              </w:rPr>
              <w:t>£</w:t>
            </w:r>
            <w:r w:rsidR="00B53F8D" w:rsidRPr="00006DFB">
              <w:rPr>
                <w:sz w:val="24"/>
                <w:szCs w:val="24"/>
              </w:rPr>
              <w:t>92.21</w:t>
            </w:r>
          </w:p>
        </w:tc>
        <w:tc>
          <w:tcPr>
            <w:tcW w:w="1339" w:type="dxa"/>
            <w:shd w:val="clear" w:color="auto" w:fill="auto"/>
          </w:tcPr>
          <w:p w14:paraId="0F7155B3" w14:textId="77777777" w:rsidR="004876C8" w:rsidRPr="00006DFB" w:rsidRDefault="00B53F8D" w:rsidP="004876C8">
            <w:pPr>
              <w:pStyle w:val="ListParagraph"/>
              <w:ind w:left="0"/>
              <w:jc w:val="right"/>
              <w:rPr>
                <w:sz w:val="24"/>
                <w:szCs w:val="24"/>
              </w:rPr>
            </w:pPr>
            <w:r w:rsidRPr="00006DFB">
              <w:rPr>
                <w:sz w:val="24"/>
                <w:szCs w:val="24"/>
              </w:rPr>
              <w:t>2.64</w:t>
            </w:r>
          </w:p>
        </w:tc>
        <w:tc>
          <w:tcPr>
            <w:tcW w:w="1339" w:type="dxa"/>
          </w:tcPr>
          <w:p w14:paraId="09F16136" w14:textId="77777777" w:rsidR="004876C8" w:rsidRPr="00006DFB" w:rsidRDefault="0000194F" w:rsidP="004876C8">
            <w:pPr>
              <w:pStyle w:val="ListParagraph"/>
              <w:ind w:left="0"/>
              <w:jc w:val="right"/>
              <w:rPr>
                <w:sz w:val="24"/>
                <w:szCs w:val="24"/>
              </w:rPr>
            </w:pPr>
            <w:r w:rsidRPr="00006DFB">
              <w:rPr>
                <w:sz w:val="24"/>
                <w:szCs w:val="24"/>
              </w:rPr>
              <w:t>1,290</w:t>
            </w:r>
          </w:p>
        </w:tc>
      </w:tr>
      <w:tr w:rsidR="004876C8" w:rsidRPr="00E05E60" w14:paraId="77B4E704" w14:textId="77777777" w:rsidTr="00286807">
        <w:tc>
          <w:tcPr>
            <w:tcW w:w="4297" w:type="dxa"/>
            <w:shd w:val="clear" w:color="auto" w:fill="auto"/>
          </w:tcPr>
          <w:p w14:paraId="6CED4F57" w14:textId="77777777" w:rsidR="004876C8" w:rsidRPr="00006DFB" w:rsidRDefault="004876C8" w:rsidP="003E5285">
            <w:pPr>
              <w:pStyle w:val="ListParagraph"/>
              <w:ind w:left="0"/>
              <w:rPr>
                <w:sz w:val="24"/>
                <w:szCs w:val="24"/>
              </w:rPr>
            </w:pPr>
            <w:r w:rsidRPr="00006DFB">
              <w:rPr>
                <w:sz w:val="24"/>
                <w:szCs w:val="24"/>
              </w:rPr>
              <w:t>£5 increase</w:t>
            </w:r>
          </w:p>
        </w:tc>
        <w:tc>
          <w:tcPr>
            <w:tcW w:w="1339" w:type="dxa"/>
            <w:shd w:val="clear" w:color="auto" w:fill="auto"/>
          </w:tcPr>
          <w:p w14:paraId="6709B816" w14:textId="77777777" w:rsidR="004876C8" w:rsidRPr="00006DFB" w:rsidRDefault="004876C8" w:rsidP="004876C8">
            <w:pPr>
              <w:pStyle w:val="ListParagraph"/>
              <w:ind w:left="0"/>
              <w:jc w:val="right"/>
              <w:rPr>
                <w:sz w:val="24"/>
                <w:szCs w:val="24"/>
              </w:rPr>
            </w:pPr>
            <w:r w:rsidRPr="00006DFB">
              <w:rPr>
                <w:sz w:val="24"/>
                <w:szCs w:val="24"/>
              </w:rPr>
              <w:t>£</w:t>
            </w:r>
            <w:r w:rsidR="00B53F8D" w:rsidRPr="00006DFB">
              <w:rPr>
                <w:sz w:val="24"/>
                <w:szCs w:val="24"/>
              </w:rPr>
              <w:t>94</w:t>
            </w:r>
            <w:r w:rsidRPr="00006DFB">
              <w:rPr>
                <w:sz w:val="24"/>
                <w:szCs w:val="24"/>
              </w:rPr>
              <w:t>.57</w:t>
            </w:r>
          </w:p>
        </w:tc>
        <w:tc>
          <w:tcPr>
            <w:tcW w:w="1339" w:type="dxa"/>
            <w:shd w:val="clear" w:color="auto" w:fill="auto"/>
          </w:tcPr>
          <w:p w14:paraId="7AE80B04" w14:textId="77777777" w:rsidR="004876C8" w:rsidRPr="00006DFB" w:rsidRDefault="004876C8" w:rsidP="004876C8">
            <w:pPr>
              <w:pStyle w:val="ListParagraph"/>
              <w:ind w:left="0"/>
              <w:jc w:val="right"/>
              <w:rPr>
                <w:sz w:val="24"/>
                <w:szCs w:val="24"/>
              </w:rPr>
            </w:pPr>
            <w:r w:rsidRPr="00006DFB">
              <w:rPr>
                <w:sz w:val="24"/>
                <w:szCs w:val="24"/>
              </w:rPr>
              <w:t>5.00</w:t>
            </w:r>
          </w:p>
        </w:tc>
        <w:tc>
          <w:tcPr>
            <w:tcW w:w="1339" w:type="dxa"/>
          </w:tcPr>
          <w:p w14:paraId="32FB8F4A" w14:textId="77777777" w:rsidR="004876C8" w:rsidRPr="00006DFB" w:rsidRDefault="0000194F" w:rsidP="004876C8">
            <w:pPr>
              <w:pStyle w:val="ListParagraph"/>
              <w:ind w:left="0"/>
              <w:jc w:val="right"/>
              <w:rPr>
                <w:sz w:val="24"/>
                <w:szCs w:val="24"/>
              </w:rPr>
            </w:pPr>
            <w:r w:rsidRPr="00006DFB">
              <w:rPr>
                <w:sz w:val="24"/>
                <w:szCs w:val="24"/>
              </w:rPr>
              <w:t>2,085</w:t>
            </w:r>
          </w:p>
        </w:tc>
      </w:tr>
    </w:tbl>
    <w:p w14:paraId="720F7C30" w14:textId="77777777" w:rsidR="00F4237A" w:rsidRPr="00E05E60" w:rsidRDefault="00F4237A" w:rsidP="00C85F10">
      <w:pPr>
        <w:pStyle w:val="ListParagraph"/>
        <w:ind w:left="709" w:hanging="709"/>
        <w:rPr>
          <w:sz w:val="24"/>
          <w:szCs w:val="24"/>
        </w:rPr>
      </w:pPr>
    </w:p>
    <w:bookmarkEnd w:id="6"/>
    <w:bookmarkEnd w:id="7"/>
    <w:p w14:paraId="571C2177" w14:textId="77777777" w:rsidR="00C85F10" w:rsidRPr="00E05E60" w:rsidRDefault="00C85F10" w:rsidP="00C85F10">
      <w:pPr>
        <w:tabs>
          <w:tab w:val="num" w:pos="709"/>
        </w:tabs>
        <w:ind w:left="709" w:hanging="709"/>
        <w:rPr>
          <w:b/>
          <w:sz w:val="24"/>
          <w:szCs w:val="24"/>
        </w:rPr>
      </w:pPr>
      <w:r w:rsidRPr="00E05E60">
        <w:rPr>
          <w:b/>
          <w:sz w:val="24"/>
          <w:szCs w:val="24"/>
        </w:rPr>
        <w:t>SECTION 5: RESERVES</w:t>
      </w:r>
    </w:p>
    <w:p w14:paraId="6D3CBEF3" w14:textId="77777777" w:rsidR="00C85F10" w:rsidRPr="00E05E60" w:rsidRDefault="00C85F10" w:rsidP="00C85F10">
      <w:pPr>
        <w:ind w:left="720" w:hanging="720"/>
        <w:rPr>
          <w:sz w:val="24"/>
          <w:szCs w:val="24"/>
        </w:rPr>
      </w:pPr>
    </w:p>
    <w:p w14:paraId="4E765F9F" w14:textId="77777777" w:rsidR="00C85F10" w:rsidRPr="00006DFB" w:rsidRDefault="00C85F10" w:rsidP="00C85F10">
      <w:pPr>
        <w:ind w:left="720" w:hanging="720"/>
        <w:rPr>
          <w:sz w:val="24"/>
          <w:szCs w:val="24"/>
        </w:rPr>
      </w:pPr>
      <w:bookmarkStart w:id="10" w:name="_Hlk121232099"/>
      <w:r w:rsidRPr="00006DFB">
        <w:rPr>
          <w:sz w:val="24"/>
          <w:szCs w:val="24"/>
        </w:rPr>
        <w:t>5.1</w:t>
      </w:r>
      <w:r w:rsidRPr="00006DFB">
        <w:rPr>
          <w:sz w:val="24"/>
          <w:szCs w:val="24"/>
        </w:rPr>
        <w:tab/>
        <w:t xml:space="preserve">The Local Government Act 2003 requires that </w:t>
      </w:r>
      <w:r w:rsidR="00DF22CD">
        <w:rPr>
          <w:sz w:val="24"/>
          <w:szCs w:val="24"/>
        </w:rPr>
        <w:t>a</w:t>
      </w:r>
      <w:r w:rsidRPr="00006DFB">
        <w:rPr>
          <w:sz w:val="24"/>
          <w:szCs w:val="24"/>
        </w:rPr>
        <w:t>uthorities maintain adequate reserves and provisions to help ensure that the medium-term policy programme is sustainable and that it can be delivered.</w:t>
      </w:r>
      <w:r w:rsidRPr="00006DFB">
        <w:rPr>
          <w:i/>
          <w:sz w:val="24"/>
          <w:szCs w:val="24"/>
        </w:rPr>
        <w:t xml:space="preserve"> </w:t>
      </w:r>
      <w:r w:rsidRPr="00006DFB">
        <w:rPr>
          <w:sz w:val="24"/>
          <w:szCs w:val="24"/>
        </w:rPr>
        <w:t xml:space="preserve">In accordance with good accounting and financial practice, reserves and provisions will always be held in the accounts where appropriate. In simple terms, the difference between a reserve and a provision is that a provision is made for a known liability arising from a legal obligation whereas a reserve is created for a discretionary purpose.  The Authority’s Reserves Strategy is attached at Appendix </w:t>
      </w:r>
      <w:r w:rsidR="007A6D02">
        <w:rPr>
          <w:sz w:val="24"/>
          <w:szCs w:val="24"/>
        </w:rPr>
        <w:t>3</w:t>
      </w:r>
      <w:r w:rsidR="00324D44">
        <w:rPr>
          <w:sz w:val="24"/>
          <w:szCs w:val="24"/>
        </w:rPr>
        <w:t xml:space="preserve"> to this strategy</w:t>
      </w:r>
      <w:r w:rsidRPr="00006DFB">
        <w:rPr>
          <w:sz w:val="24"/>
          <w:szCs w:val="24"/>
        </w:rPr>
        <w:t xml:space="preserve"> for approval by Authority alongside the MTFS.</w:t>
      </w:r>
    </w:p>
    <w:p w14:paraId="2E3F2D9B" w14:textId="77777777" w:rsidR="00C85F10" w:rsidRPr="009304F6" w:rsidRDefault="00C85F10" w:rsidP="00C85F10">
      <w:pPr>
        <w:tabs>
          <w:tab w:val="num" w:pos="709"/>
        </w:tabs>
        <w:ind w:left="709" w:hanging="709"/>
        <w:rPr>
          <w:sz w:val="24"/>
          <w:szCs w:val="24"/>
          <w:highlight w:val="yellow"/>
        </w:rPr>
      </w:pPr>
    </w:p>
    <w:p w14:paraId="48C55ACA" w14:textId="77777777" w:rsidR="00C85F10" w:rsidRPr="006E72B0" w:rsidRDefault="00C85F10" w:rsidP="00C85F10">
      <w:pPr>
        <w:tabs>
          <w:tab w:val="num" w:pos="709"/>
        </w:tabs>
        <w:ind w:left="709" w:hanging="709"/>
        <w:rPr>
          <w:sz w:val="24"/>
          <w:szCs w:val="24"/>
        </w:rPr>
      </w:pPr>
      <w:r w:rsidRPr="006E72B0">
        <w:rPr>
          <w:sz w:val="24"/>
          <w:szCs w:val="24"/>
        </w:rPr>
        <w:t>5.2</w:t>
      </w:r>
      <w:r w:rsidRPr="006E72B0">
        <w:rPr>
          <w:sz w:val="24"/>
          <w:szCs w:val="24"/>
        </w:rPr>
        <w:tab/>
      </w:r>
      <w:bookmarkStart w:id="11" w:name="_Hlk89801160"/>
      <w:r w:rsidRPr="006E72B0">
        <w:rPr>
          <w:sz w:val="24"/>
          <w:szCs w:val="24"/>
        </w:rPr>
        <w:t xml:space="preserve">Total estimated </w:t>
      </w:r>
      <w:r w:rsidR="0013393C">
        <w:rPr>
          <w:sz w:val="24"/>
          <w:szCs w:val="24"/>
        </w:rPr>
        <w:t>r</w:t>
      </w:r>
      <w:r w:rsidRPr="006E72B0">
        <w:rPr>
          <w:sz w:val="24"/>
          <w:szCs w:val="24"/>
        </w:rPr>
        <w:t>eserve levels as at 31 March 202</w:t>
      </w:r>
      <w:r w:rsidR="009F027B" w:rsidRPr="006E72B0">
        <w:rPr>
          <w:sz w:val="24"/>
          <w:szCs w:val="24"/>
        </w:rPr>
        <w:t>4</w:t>
      </w:r>
      <w:r w:rsidRPr="006E72B0">
        <w:rPr>
          <w:sz w:val="24"/>
          <w:szCs w:val="24"/>
        </w:rPr>
        <w:t xml:space="preserve"> are £</w:t>
      </w:r>
      <w:r w:rsidR="006E72B0" w:rsidRPr="006E72B0">
        <w:rPr>
          <w:sz w:val="24"/>
          <w:szCs w:val="24"/>
        </w:rPr>
        <w:t>9.4</w:t>
      </w:r>
      <w:r w:rsidRPr="006E72B0">
        <w:rPr>
          <w:sz w:val="24"/>
          <w:szCs w:val="24"/>
        </w:rPr>
        <w:t>m, consisting of £</w:t>
      </w:r>
      <w:r w:rsidR="00DD258D" w:rsidRPr="006E72B0">
        <w:rPr>
          <w:sz w:val="24"/>
          <w:szCs w:val="24"/>
        </w:rPr>
        <w:t>5.</w:t>
      </w:r>
      <w:r w:rsidR="009F027B" w:rsidRPr="006E72B0">
        <w:rPr>
          <w:sz w:val="24"/>
          <w:szCs w:val="24"/>
        </w:rPr>
        <w:t>0</w:t>
      </w:r>
      <w:r w:rsidRPr="006E72B0">
        <w:rPr>
          <w:sz w:val="24"/>
          <w:szCs w:val="24"/>
        </w:rPr>
        <w:t>m General Reserve and £</w:t>
      </w:r>
      <w:r w:rsidR="009F027B" w:rsidRPr="006E72B0">
        <w:rPr>
          <w:sz w:val="24"/>
          <w:szCs w:val="24"/>
        </w:rPr>
        <w:t>4.</w:t>
      </w:r>
      <w:r w:rsidR="006E72B0" w:rsidRPr="006E72B0">
        <w:rPr>
          <w:sz w:val="24"/>
          <w:szCs w:val="24"/>
        </w:rPr>
        <w:t>4</w:t>
      </w:r>
      <w:r w:rsidR="009F027B" w:rsidRPr="006E72B0">
        <w:rPr>
          <w:sz w:val="24"/>
          <w:szCs w:val="24"/>
        </w:rPr>
        <w:t>m</w:t>
      </w:r>
      <w:r w:rsidRPr="006E72B0">
        <w:rPr>
          <w:sz w:val="24"/>
          <w:szCs w:val="24"/>
        </w:rPr>
        <w:t xml:space="preserve"> Earmarked Reserves</w:t>
      </w:r>
      <w:bookmarkEnd w:id="11"/>
      <w:r w:rsidRPr="006E72B0">
        <w:rPr>
          <w:sz w:val="24"/>
          <w:szCs w:val="24"/>
        </w:rPr>
        <w:t>.</w:t>
      </w:r>
    </w:p>
    <w:p w14:paraId="5638DC29" w14:textId="77777777" w:rsidR="00C85F10" w:rsidRPr="00052A7E" w:rsidRDefault="00C85F10" w:rsidP="00C85F10">
      <w:pPr>
        <w:tabs>
          <w:tab w:val="num" w:pos="709"/>
        </w:tabs>
        <w:ind w:left="709" w:hanging="709"/>
        <w:rPr>
          <w:sz w:val="24"/>
          <w:szCs w:val="24"/>
          <w:highlight w:val="green"/>
        </w:rPr>
      </w:pPr>
    </w:p>
    <w:p w14:paraId="5E62F67F" w14:textId="77777777" w:rsidR="00C85F10" w:rsidRPr="00407745" w:rsidRDefault="00C85F10" w:rsidP="00C85F10">
      <w:pPr>
        <w:tabs>
          <w:tab w:val="num" w:pos="709"/>
        </w:tabs>
        <w:ind w:left="709" w:hanging="709"/>
        <w:rPr>
          <w:sz w:val="24"/>
          <w:szCs w:val="24"/>
        </w:rPr>
      </w:pPr>
      <w:r w:rsidRPr="00407745">
        <w:rPr>
          <w:sz w:val="24"/>
          <w:szCs w:val="24"/>
        </w:rPr>
        <w:t>5.3</w:t>
      </w:r>
      <w:r w:rsidRPr="00407745">
        <w:rPr>
          <w:sz w:val="24"/>
          <w:szCs w:val="24"/>
        </w:rPr>
        <w:tab/>
        <w:t xml:space="preserve">The </w:t>
      </w:r>
      <w:r w:rsidR="0003123E" w:rsidRPr="00407745">
        <w:rPr>
          <w:sz w:val="24"/>
          <w:szCs w:val="24"/>
        </w:rPr>
        <w:t>A</w:t>
      </w:r>
      <w:r w:rsidRPr="00407745">
        <w:rPr>
          <w:sz w:val="24"/>
          <w:szCs w:val="24"/>
        </w:rPr>
        <w:t xml:space="preserve">uthority reviews the levels of reserves it requires as part of the Reserves Strategy.  A </w:t>
      </w:r>
      <w:r w:rsidR="00622272" w:rsidRPr="00407745">
        <w:rPr>
          <w:sz w:val="24"/>
          <w:szCs w:val="24"/>
        </w:rPr>
        <w:t xml:space="preserve">General Fund reserve </w:t>
      </w:r>
      <w:r w:rsidRPr="00407745">
        <w:rPr>
          <w:sz w:val="24"/>
          <w:szCs w:val="24"/>
        </w:rPr>
        <w:t>minimum level of £4.</w:t>
      </w:r>
      <w:r w:rsidR="008F6D33" w:rsidRPr="00407745">
        <w:rPr>
          <w:sz w:val="24"/>
          <w:szCs w:val="24"/>
        </w:rPr>
        <w:t>1</w:t>
      </w:r>
      <w:r w:rsidRPr="00407745">
        <w:rPr>
          <w:sz w:val="24"/>
          <w:szCs w:val="24"/>
        </w:rPr>
        <w:t xml:space="preserve">m has been proposed for </w:t>
      </w:r>
      <w:r w:rsidR="004B6C98" w:rsidRPr="00407745">
        <w:rPr>
          <w:sz w:val="24"/>
          <w:szCs w:val="24"/>
        </w:rPr>
        <w:t>2024/25</w:t>
      </w:r>
      <w:r w:rsidR="00DD258D" w:rsidRPr="00407745">
        <w:rPr>
          <w:sz w:val="24"/>
          <w:szCs w:val="24"/>
        </w:rPr>
        <w:t xml:space="preserve">, </w:t>
      </w:r>
      <w:bookmarkStart w:id="12" w:name="_Hlk89801222"/>
      <w:r w:rsidR="00DD258D" w:rsidRPr="00407745">
        <w:rPr>
          <w:sz w:val="24"/>
          <w:szCs w:val="24"/>
        </w:rPr>
        <w:t>which</w:t>
      </w:r>
      <w:r w:rsidR="005569B7">
        <w:rPr>
          <w:sz w:val="24"/>
          <w:szCs w:val="24"/>
        </w:rPr>
        <w:t xml:space="preserve"> is a reduction of £400k from 2023/2</w:t>
      </w:r>
      <w:r w:rsidR="0013393C">
        <w:rPr>
          <w:sz w:val="24"/>
          <w:szCs w:val="24"/>
        </w:rPr>
        <w:t>4</w:t>
      </w:r>
      <w:r w:rsidR="00DD258D" w:rsidRPr="00407745">
        <w:rPr>
          <w:sz w:val="24"/>
          <w:szCs w:val="24"/>
        </w:rPr>
        <w:t>, although several adjustments have been made to reflect changes in risk</w:t>
      </w:r>
      <w:r w:rsidRPr="00407745">
        <w:rPr>
          <w:sz w:val="24"/>
          <w:szCs w:val="24"/>
        </w:rPr>
        <w:t xml:space="preserve">.  </w:t>
      </w:r>
      <w:r w:rsidR="00DD258D" w:rsidRPr="00407745">
        <w:rPr>
          <w:sz w:val="24"/>
          <w:szCs w:val="24"/>
        </w:rPr>
        <w:t>The three highest areas of identified risk are</w:t>
      </w:r>
      <w:r w:rsidR="00622272" w:rsidRPr="00407745">
        <w:rPr>
          <w:sz w:val="24"/>
          <w:szCs w:val="24"/>
        </w:rPr>
        <w:t xml:space="preserve"> detailed below (see section 2.12 of the Reserves Strategy for more information)</w:t>
      </w:r>
      <w:r w:rsidR="00DD258D" w:rsidRPr="00407745">
        <w:rPr>
          <w:sz w:val="24"/>
          <w:szCs w:val="24"/>
        </w:rPr>
        <w:t>:</w:t>
      </w:r>
      <w:r w:rsidRPr="00407745">
        <w:rPr>
          <w:sz w:val="24"/>
          <w:szCs w:val="24"/>
        </w:rPr>
        <w:t xml:space="preserve"> </w:t>
      </w:r>
    </w:p>
    <w:p w14:paraId="15974BAB" w14:textId="77777777" w:rsidR="00622272" w:rsidRPr="00006DFB" w:rsidRDefault="00622272" w:rsidP="00C85F10">
      <w:pPr>
        <w:tabs>
          <w:tab w:val="num" w:pos="709"/>
        </w:tabs>
        <w:ind w:left="709" w:hanging="709"/>
        <w:rPr>
          <w:sz w:val="24"/>
          <w:szCs w:val="24"/>
        </w:rPr>
      </w:pPr>
    </w:p>
    <w:p w14:paraId="683E9751" w14:textId="77777777" w:rsidR="00622272" w:rsidRPr="00006DFB" w:rsidRDefault="00622272" w:rsidP="00332C87">
      <w:pPr>
        <w:numPr>
          <w:ilvl w:val="0"/>
          <w:numId w:val="29"/>
        </w:numPr>
        <w:ind w:left="1134" w:hanging="425"/>
        <w:rPr>
          <w:sz w:val="24"/>
          <w:szCs w:val="24"/>
        </w:rPr>
      </w:pPr>
      <w:r w:rsidRPr="00006DFB">
        <w:rPr>
          <w:sz w:val="24"/>
          <w:szCs w:val="24"/>
        </w:rPr>
        <w:t xml:space="preserve">Pay award above </w:t>
      </w:r>
      <w:r w:rsidR="0013393C">
        <w:rPr>
          <w:sz w:val="24"/>
          <w:szCs w:val="24"/>
        </w:rPr>
        <w:t xml:space="preserve">the </w:t>
      </w:r>
      <w:r w:rsidRPr="00006DFB">
        <w:rPr>
          <w:sz w:val="24"/>
          <w:szCs w:val="24"/>
        </w:rPr>
        <w:t xml:space="preserve">rate included in the </w:t>
      </w:r>
      <w:r w:rsidR="00D11867" w:rsidRPr="00006DFB">
        <w:rPr>
          <w:sz w:val="24"/>
          <w:szCs w:val="24"/>
        </w:rPr>
        <w:t>budget.</w:t>
      </w:r>
    </w:p>
    <w:p w14:paraId="443FE11B" w14:textId="77777777" w:rsidR="00622272" w:rsidRPr="00006DFB" w:rsidRDefault="00622272" w:rsidP="00332C87">
      <w:pPr>
        <w:numPr>
          <w:ilvl w:val="0"/>
          <w:numId w:val="29"/>
        </w:numPr>
        <w:ind w:left="1134" w:hanging="425"/>
        <w:rPr>
          <w:sz w:val="24"/>
          <w:szCs w:val="24"/>
        </w:rPr>
      </w:pPr>
      <w:r w:rsidRPr="00006DFB">
        <w:rPr>
          <w:sz w:val="24"/>
          <w:szCs w:val="24"/>
        </w:rPr>
        <w:t>Pension related issues (due to McCloud, the 2020 revaluation and Matthews/O’Brien case</w:t>
      </w:r>
      <w:r w:rsidR="0003123E" w:rsidRPr="00006DFB">
        <w:rPr>
          <w:sz w:val="24"/>
          <w:szCs w:val="24"/>
        </w:rPr>
        <w:t>)</w:t>
      </w:r>
    </w:p>
    <w:p w14:paraId="61ABAB1D" w14:textId="77777777" w:rsidR="008F6D33" w:rsidRPr="00006DFB" w:rsidRDefault="008F6D33" w:rsidP="008F6D33">
      <w:pPr>
        <w:numPr>
          <w:ilvl w:val="0"/>
          <w:numId w:val="29"/>
        </w:numPr>
        <w:ind w:left="1134" w:hanging="425"/>
        <w:rPr>
          <w:sz w:val="24"/>
          <w:szCs w:val="24"/>
        </w:rPr>
      </w:pPr>
      <w:r w:rsidRPr="00006DFB">
        <w:rPr>
          <w:sz w:val="24"/>
          <w:szCs w:val="24"/>
        </w:rPr>
        <w:t>Risk of significant overspend against budgets due to price increases, undeliverable savings, supply chain issues, fixed price external contracts failing to deliver and potential requirement for market supplement to recruit staff.</w:t>
      </w:r>
    </w:p>
    <w:bookmarkEnd w:id="12"/>
    <w:p w14:paraId="11D05D5E" w14:textId="77777777" w:rsidR="00622272" w:rsidRPr="00006DFB" w:rsidRDefault="00622272" w:rsidP="00C85F10">
      <w:pPr>
        <w:tabs>
          <w:tab w:val="num" w:pos="709"/>
        </w:tabs>
        <w:ind w:left="709" w:hanging="709"/>
        <w:rPr>
          <w:sz w:val="24"/>
          <w:szCs w:val="24"/>
        </w:rPr>
      </w:pPr>
    </w:p>
    <w:p w14:paraId="019A8CDC" w14:textId="77777777" w:rsidR="002478FA" w:rsidRPr="00006DFB" w:rsidRDefault="006C1485" w:rsidP="00C85F10">
      <w:pPr>
        <w:tabs>
          <w:tab w:val="num" w:pos="709"/>
        </w:tabs>
        <w:ind w:left="709" w:hanging="709"/>
        <w:rPr>
          <w:sz w:val="24"/>
          <w:szCs w:val="24"/>
        </w:rPr>
      </w:pPr>
      <w:r w:rsidRPr="00006DFB">
        <w:rPr>
          <w:sz w:val="24"/>
          <w:szCs w:val="24"/>
        </w:rPr>
        <w:t>5.4</w:t>
      </w:r>
      <w:r w:rsidRPr="00006DFB">
        <w:rPr>
          <w:sz w:val="24"/>
          <w:szCs w:val="24"/>
        </w:rPr>
        <w:tab/>
      </w:r>
      <w:bookmarkStart w:id="13" w:name="_Hlk89801293"/>
      <w:r w:rsidR="0003123E" w:rsidRPr="00006DFB">
        <w:rPr>
          <w:sz w:val="24"/>
          <w:szCs w:val="24"/>
        </w:rPr>
        <w:t>A</w:t>
      </w:r>
      <w:r w:rsidRPr="00006DFB">
        <w:rPr>
          <w:sz w:val="24"/>
          <w:szCs w:val="24"/>
        </w:rPr>
        <w:t xml:space="preserve"> review of the Earmarked Reserves has been undertaken in the Reserves Strategy</w:t>
      </w:r>
      <w:r w:rsidR="00DC1DE7" w:rsidRPr="00006DFB">
        <w:rPr>
          <w:sz w:val="24"/>
          <w:szCs w:val="24"/>
        </w:rPr>
        <w:t>.  This has identified £</w:t>
      </w:r>
      <w:r w:rsidR="009F027B" w:rsidRPr="00006DFB">
        <w:rPr>
          <w:sz w:val="24"/>
          <w:szCs w:val="24"/>
        </w:rPr>
        <w:t>485</w:t>
      </w:r>
      <w:r w:rsidR="002478FA" w:rsidRPr="00006DFB">
        <w:rPr>
          <w:sz w:val="24"/>
          <w:szCs w:val="24"/>
        </w:rPr>
        <w:t>k</w:t>
      </w:r>
      <w:r w:rsidR="00DC1DE7" w:rsidRPr="00006DFB">
        <w:rPr>
          <w:sz w:val="24"/>
          <w:szCs w:val="24"/>
        </w:rPr>
        <w:t xml:space="preserve"> of available reserves either are no longer required or have not yet been allocated to projects.  It is proposed that these </w:t>
      </w:r>
      <w:r w:rsidR="002478FA" w:rsidRPr="00006DFB">
        <w:rPr>
          <w:sz w:val="24"/>
          <w:szCs w:val="24"/>
        </w:rPr>
        <w:t>are reallocated to the following existing earmarked reserves:</w:t>
      </w:r>
    </w:p>
    <w:p w14:paraId="211A7FC2" w14:textId="77777777" w:rsidR="002478FA" w:rsidRPr="00006DFB" w:rsidRDefault="002478FA" w:rsidP="00324D44">
      <w:pPr>
        <w:tabs>
          <w:tab w:val="num" w:pos="709"/>
        </w:tabs>
        <w:ind w:left="709" w:hanging="709"/>
        <w:rPr>
          <w:sz w:val="24"/>
          <w:szCs w:val="24"/>
        </w:rPr>
      </w:pPr>
    </w:p>
    <w:p w14:paraId="10A3F2EC" w14:textId="77777777" w:rsidR="002478FA" w:rsidRPr="00006DFB" w:rsidRDefault="009F027B" w:rsidP="00324D44">
      <w:pPr>
        <w:numPr>
          <w:ilvl w:val="0"/>
          <w:numId w:val="19"/>
        </w:numPr>
        <w:autoSpaceDE w:val="0"/>
        <w:autoSpaceDN w:val="0"/>
        <w:adjustRightInd w:val="0"/>
        <w:ind w:left="1134" w:hanging="425"/>
        <w:contextualSpacing/>
        <w:rPr>
          <w:rFonts w:eastAsia="Calibri"/>
          <w:sz w:val="24"/>
          <w:szCs w:val="24"/>
        </w:rPr>
      </w:pPr>
      <w:r w:rsidRPr="00006DFB">
        <w:rPr>
          <w:rFonts w:eastAsia="Calibri"/>
          <w:sz w:val="24"/>
          <w:szCs w:val="24"/>
        </w:rPr>
        <w:t>Replacement Mobilising System</w:t>
      </w:r>
      <w:r w:rsidR="002478FA" w:rsidRPr="00006DFB">
        <w:rPr>
          <w:rFonts w:eastAsia="Calibri"/>
          <w:sz w:val="24"/>
          <w:szCs w:val="24"/>
        </w:rPr>
        <w:t xml:space="preserve"> </w:t>
      </w:r>
      <w:r w:rsidR="00D11867">
        <w:rPr>
          <w:rFonts w:eastAsia="Calibri"/>
          <w:sz w:val="24"/>
          <w:szCs w:val="24"/>
        </w:rPr>
        <w:tab/>
      </w:r>
      <w:r w:rsidR="00D11867">
        <w:rPr>
          <w:rFonts w:eastAsia="Calibri"/>
          <w:sz w:val="24"/>
          <w:szCs w:val="24"/>
        </w:rPr>
        <w:tab/>
      </w:r>
      <w:r w:rsidR="002478FA" w:rsidRPr="00006DFB">
        <w:rPr>
          <w:rFonts w:eastAsia="Calibri"/>
          <w:sz w:val="24"/>
          <w:szCs w:val="24"/>
        </w:rPr>
        <w:t>£</w:t>
      </w:r>
      <w:r w:rsidR="00D11867" w:rsidRPr="00006DFB">
        <w:rPr>
          <w:rFonts w:eastAsia="Calibri"/>
          <w:sz w:val="24"/>
          <w:szCs w:val="24"/>
        </w:rPr>
        <w:t>475k.</w:t>
      </w:r>
    </w:p>
    <w:p w14:paraId="7CAB049C" w14:textId="77777777" w:rsidR="002478FA" w:rsidRPr="00006DFB" w:rsidRDefault="009F027B" w:rsidP="00324D44">
      <w:pPr>
        <w:numPr>
          <w:ilvl w:val="0"/>
          <w:numId w:val="19"/>
        </w:numPr>
        <w:autoSpaceDE w:val="0"/>
        <w:autoSpaceDN w:val="0"/>
        <w:adjustRightInd w:val="0"/>
        <w:ind w:left="1134" w:hanging="425"/>
        <w:contextualSpacing/>
        <w:rPr>
          <w:rFonts w:eastAsia="Calibri"/>
          <w:sz w:val="24"/>
          <w:szCs w:val="24"/>
        </w:rPr>
      </w:pPr>
      <w:r w:rsidRPr="00006DFB">
        <w:rPr>
          <w:rFonts w:eastAsia="Calibri"/>
          <w:sz w:val="24"/>
          <w:szCs w:val="24"/>
        </w:rPr>
        <w:t>Efficiency Programme</w:t>
      </w:r>
      <w:r w:rsidR="002478FA" w:rsidRPr="00006DFB">
        <w:rPr>
          <w:rFonts w:eastAsia="Calibri"/>
          <w:sz w:val="24"/>
          <w:szCs w:val="24"/>
        </w:rPr>
        <w:t xml:space="preserve"> </w:t>
      </w:r>
      <w:r w:rsidR="00D11867">
        <w:rPr>
          <w:rFonts w:eastAsia="Calibri"/>
          <w:sz w:val="24"/>
          <w:szCs w:val="24"/>
        </w:rPr>
        <w:tab/>
      </w:r>
      <w:r w:rsidR="00D11867">
        <w:rPr>
          <w:rFonts w:eastAsia="Calibri"/>
          <w:sz w:val="24"/>
          <w:szCs w:val="24"/>
        </w:rPr>
        <w:tab/>
      </w:r>
      <w:r w:rsidR="00D11867">
        <w:rPr>
          <w:rFonts w:eastAsia="Calibri"/>
          <w:sz w:val="24"/>
          <w:szCs w:val="24"/>
        </w:rPr>
        <w:tab/>
      </w:r>
      <w:r w:rsidR="00D11867">
        <w:rPr>
          <w:rFonts w:eastAsia="Calibri"/>
          <w:sz w:val="24"/>
          <w:szCs w:val="24"/>
        </w:rPr>
        <w:tab/>
      </w:r>
      <w:r w:rsidR="002478FA" w:rsidRPr="00006DFB">
        <w:rPr>
          <w:rFonts w:eastAsia="Calibri"/>
          <w:sz w:val="24"/>
          <w:szCs w:val="24"/>
        </w:rPr>
        <w:t>£</w:t>
      </w:r>
      <w:r w:rsidRPr="00006DFB">
        <w:rPr>
          <w:rFonts w:eastAsia="Calibri"/>
          <w:sz w:val="24"/>
          <w:szCs w:val="24"/>
        </w:rPr>
        <w:t>10</w:t>
      </w:r>
      <w:r w:rsidR="002478FA" w:rsidRPr="00006DFB">
        <w:rPr>
          <w:rFonts w:eastAsia="Calibri"/>
          <w:sz w:val="24"/>
          <w:szCs w:val="24"/>
        </w:rPr>
        <w:t>k.</w:t>
      </w:r>
    </w:p>
    <w:bookmarkEnd w:id="10"/>
    <w:bookmarkEnd w:id="13"/>
    <w:p w14:paraId="47DCD80F" w14:textId="77777777" w:rsidR="006C1485" w:rsidRPr="00006DFB" w:rsidRDefault="006C1485" w:rsidP="00324D44">
      <w:pPr>
        <w:tabs>
          <w:tab w:val="num" w:pos="709"/>
        </w:tabs>
        <w:ind w:left="709" w:hanging="709"/>
        <w:rPr>
          <w:sz w:val="24"/>
          <w:szCs w:val="24"/>
        </w:rPr>
      </w:pPr>
    </w:p>
    <w:p w14:paraId="7E599196" w14:textId="77777777" w:rsidR="00C85F10" w:rsidRPr="00F720CC" w:rsidRDefault="00C85F10" w:rsidP="00C85F10">
      <w:pPr>
        <w:tabs>
          <w:tab w:val="num" w:pos="709"/>
        </w:tabs>
        <w:ind w:left="709" w:hanging="709"/>
        <w:rPr>
          <w:sz w:val="24"/>
          <w:szCs w:val="24"/>
        </w:rPr>
      </w:pPr>
      <w:r w:rsidRPr="00006DFB">
        <w:rPr>
          <w:sz w:val="24"/>
          <w:szCs w:val="24"/>
        </w:rPr>
        <w:t>5.</w:t>
      </w:r>
      <w:r w:rsidR="00DC1DE7" w:rsidRPr="00006DFB">
        <w:rPr>
          <w:sz w:val="24"/>
          <w:szCs w:val="24"/>
        </w:rPr>
        <w:t>5</w:t>
      </w:r>
      <w:r w:rsidRPr="00006DFB">
        <w:rPr>
          <w:sz w:val="24"/>
          <w:szCs w:val="24"/>
        </w:rPr>
        <w:tab/>
        <w:t>Any unplanned expenditure or overspends may need to be met from the General Reserve or existing Earmarked Reserves.</w:t>
      </w:r>
      <w:r>
        <w:rPr>
          <w:sz w:val="24"/>
          <w:szCs w:val="24"/>
        </w:rPr>
        <w:t xml:space="preserve">  </w:t>
      </w:r>
    </w:p>
    <w:p w14:paraId="4D331509" w14:textId="77777777" w:rsidR="00C85F10" w:rsidRPr="000D062E" w:rsidRDefault="00C85F10" w:rsidP="00C85F10">
      <w:pPr>
        <w:ind w:left="720" w:hanging="720"/>
        <w:rPr>
          <w:sz w:val="24"/>
          <w:szCs w:val="24"/>
        </w:rPr>
      </w:pPr>
    </w:p>
    <w:p w14:paraId="3BBAE9B0" w14:textId="77777777" w:rsidR="00C85F10" w:rsidRPr="00BA042F" w:rsidRDefault="00C85F10" w:rsidP="00C85F10">
      <w:pPr>
        <w:rPr>
          <w:sz w:val="24"/>
          <w:szCs w:val="24"/>
        </w:rPr>
      </w:pPr>
    </w:p>
    <w:p w14:paraId="0CA3E29A" w14:textId="77777777" w:rsidR="00E43F68" w:rsidRPr="000D062E" w:rsidRDefault="00E43F68" w:rsidP="00E43F68">
      <w:pPr>
        <w:jc w:val="both"/>
        <w:rPr>
          <w:b/>
          <w:sz w:val="24"/>
          <w:szCs w:val="24"/>
        </w:rPr>
      </w:pPr>
      <w:r>
        <w:rPr>
          <w:b/>
          <w:sz w:val="24"/>
          <w:szCs w:val="24"/>
        </w:rPr>
        <w:t xml:space="preserve">SECTION </w:t>
      </w:r>
      <w:r w:rsidR="00DC1DE7">
        <w:rPr>
          <w:b/>
          <w:sz w:val="24"/>
          <w:szCs w:val="24"/>
        </w:rPr>
        <w:t>6</w:t>
      </w:r>
      <w:r>
        <w:rPr>
          <w:b/>
          <w:sz w:val="24"/>
          <w:szCs w:val="24"/>
        </w:rPr>
        <w:t xml:space="preserve">: </w:t>
      </w:r>
      <w:r w:rsidRPr="000D062E">
        <w:rPr>
          <w:b/>
          <w:sz w:val="24"/>
          <w:szCs w:val="24"/>
        </w:rPr>
        <w:t xml:space="preserve">OUTLOOK FOR </w:t>
      </w:r>
      <w:bookmarkStart w:id="14" w:name="_Hlk89803030"/>
      <w:r w:rsidR="004B6C98">
        <w:rPr>
          <w:b/>
          <w:sz w:val="24"/>
          <w:szCs w:val="24"/>
        </w:rPr>
        <w:t>2024/25</w:t>
      </w:r>
      <w:r w:rsidRPr="000D062E">
        <w:rPr>
          <w:b/>
          <w:sz w:val="24"/>
          <w:szCs w:val="24"/>
        </w:rPr>
        <w:t xml:space="preserve">, </w:t>
      </w:r>
      <w:r w:rsidR="004B6C98">
        <w:rPr>
          <w:b/>
          <w:sz w:val="24"/>
          <w:szCs w:val="24"/>
        </w:rPr>
        <w:t>2025/26</w:t>
      </w:r>
      <w:r w:rsidRPr="000D062E">
        <w:rPr>
          <w:b/>
          <w:sz w:val="24"/>
          <w:szCs w:val="24"/>
        </w:rPr>
        <w:t xml:space="preserve"> AND BEYOND</w:t>
      </w:r>
      <w:bookmarkEnd w:id="14"/>
    </w:p>
    <w:p w14:paraId="0638E35F" w14:textId="77777777" w:rsidR="00317CCD" w:rsidRPr="000D062E" w:rsidRDefault="00317CCD" w:rsidP="00E43F68">
      <w:pPr>
        <w:ind w:left="709" w:hanging="709"/>
        <w:jc w:val="both"/>
        <w:rPr>
          <w:b/>
          <w:sz w:val="24"/>
          <w:szCs w:val="24"/>
        </w:rPr>
      </w:pPr>
    </w:p>
    <w:p w14:paraId="4F777A8B" w14:textId="77777777" w:rsidR="00E43F68" w:rsidRDefault="00DC1DE7" w:rsidP="00E43F68">
      <w:pPr>
        <w:ind w:left="709" w:hanging="709"/>
        <w:rPr>
          <w:sz w:val="24"/>
          <w:szCs w:val="24"/>
        </w:rPr>
      </w:pPr>
      <w:r w:rsidRPr="00334FD6">
        <w:rPr>
          <w:sz w:val="24"/>
          <w:szCs w:val="24"/>
        </w:rPr>
        <w:t>6</w:t>
      </w:r>
      <w:r w:rsidR="00E43F68" w:rsidRPr="00334FD6">
        <w:rPr>
          <w:sz w:val="24"/>
          <w:szCs w:val="24"/>
        </w:rPr>
        <w:t>.1</w:t>
      </w:r>
      <w:r w:rsidR="00E43F68" w:rsidRPr="00334FD6">
        <w:rPr>
          <w:sz w:val="24"/>
          <w:szCs w:val="24"/>
        </w:rPr>
        <w:tab/>
      </w:r>
      <w:bookmarkStart w:id="15" w:name="_Hlk121231766"/>
      <w:r w:rsidR="003F3E69" w:rsidRPr="00995BED">
        <w:rPr>
          <w:sz w:val="24"/>
          <w:szCs w:val="24"/>
        </w:rPr>
        <w:t>In February 202</w:t>
      </w:r>
      <w:r w:rsidR="009304F6" w:rsidRPr="00995BED">
        <w:rPr>
          <w:sz w:val="24"/>
          <w:szCs w:val="24"/>
        </w:rPr>
        <w:t>3</w:t>
      </w:r>
      <w:r w:rsidR="003F3E69" w:rsidRPr="00995BED">
        <w:rPr>
          <w:sz w:val="24"/>
          <w:szCs w:val="24"/>
        </w:rPr>
        <w:t>, t</w:t>
      </w:r>
      <w:r w:rsidR="00E43F68" w:rsidRPr="00995BED">
        <w:rPr>
          <w:sz w:val="24"/>
          <w:szCs w:val="24"/>
        </w:rPr>
        <w:t>he Authority set a</w:t>
      </w:r>
      <w:r w:rsidR="003F3E69" w:rsidRPr="00995BED">
        <w:rPr>
          <w:sz w:val="24"/>
          <w:szCs w:val="24"/>
        </w:rPr>
        <w:t xml:space="preserve"> balanced budget for </w:t>
      </w:r>
      <w:r w:rsidR="004B6C98" w:rsidRPr="00995BED">
        <w:rPr>
          <w:sz w:val="24"/>
          <w:szCs w:val="24"/>
        </w:rPr>
        <w:t>2023/24</w:t>
      </w:r>
      <w:r w:rsidR="00334FD6" w:rsidRPr="00995BED">
        <w:rPr>
          <w:sz w:val="24"/>
          <w:szCs w:val="24"/>
        </w:rPr>
        <w:t>, although this was only achieved</w:t>
      </w:r>
      <w:r w:rsidR="009304F6" w:rsidRPr="00995BED">
        <w:rPr>
          <w:sz w:val="24"/>
          <w:szCs w:val="24"/>
        </w:rPr>
        <w:t xml:space="preserve"> by using £404k of Earmarked Reserves and making savings due to </w:t>
      </w:r>
      <w:r w:rsidR="007922FF" w:rsidRPr="00995BED">
        <w:rPr>
          <w:sz w:val="24"/>
          <w:szCs w:val="24"/>
        </w:rPr>
        <w:t>vacancies in the wholetime firefighter establishment</w:t>
      </w:r>
      <w:r w:rsidR="00334FD6" w:rsidRPr="00995BED">
        <w:rPr>
          <w:sz w:val="24"/>
          <w:szCs w:val="24"/>
        </w:rPr>
        <w:t xml:space="preserve">.  The report predicted shortfalls in </w:t>
      </w:r>
      <w:r w:rsidR="004B6C98" w:rsidRPr="00995BED">
        <w:rPr>
          <w:sz w:val="24"/>
          <w:szCs w:val="24"/>
        </w:rPr>
        <w:t>2024/25</w:t>
      </w:r>
      <w:r w:rsidR="00334FD6" w:rsidRPr="00995BED">
        <w:rPr>
          <w:sz w:val="24"/>
          <w:szCs w:val="24"/>
        </w:rPr>
        <w:t xml:space="preserve"> and </w:t>
      </w:r>
      <w:r w:rsidR="004B6C98" w:rsidRPr="00995BED">
        <w:rPr>
          <w:sz w:val="24"/>
          <w:szCs w:val="24"/>
        </w:rPr>
        <w:t>2025/26</w:t>
      </w:r>
      <w:r w:rsidR="00334FD6" w:rsidRPr="00995BED">
        <w:rPr>
          <w:sz w:val="24"/>
          <w:szCs w:val="24"/>
        </w:rPr>
        <w:t xml:space="preserve"> of £</w:t>
      </w:r>
      <w:r w:rsidR="007922FF" w:rsidRPr="00995BED">
        <w:rPr>
          <w:sz w:val="24"/>
          <w:szCs w:val="24"/>
        </w:rPr>
        <w:t>1.1</w:t>
      </w:r>
      <w:r w:rsidR="00334FD6" w:rsidRPr="00995BED">
        <w:rPr>
          <w:sz w:val="24"/>
          <w:szCs w:val="24"/>
        </w:rPr>
        <w:t>m and £</w:t>
      </w:r>
      <w:r w:rsidR="007922FF" w:rsidRPr="00995BED">
        <w:rPr>
          <w:sz w:val="24"/>
          <w:szCs w:val="24"/>
        </w:rPr>
        <w:t>1.8</w:t>
      </w:r>
      <w:r w:rsidR="00334FD6" w:rsidRPr="00995BED">
        <w:rPr>
          <w:sz w:val="24"/>
          <w:szCs w:val="24"/>
        </w:rPr>
        <w:t>m respectively.</w:t>
      </w:r>
      <w:bookmarkEnd w:id="15"/>
    </w:p>
    <w:p w14:paraId="35A507D4" w14:textId="77777777" w:rsidR="001D121A" w:rsidRDefault="001D121A" w:rsidP="00E43F68">
      <w:pPr>
        <w:ind w:left="709" w:hanging="709"/>
        <w:rPr>
          <w:sz w:val="24"/>
          <w:szCs w:val="24"/>
        </w:rPr>
      </w:pPr>
    </w:p>
    <w:p w14:paraId="172A27FC" w14:textId="77777777" w:rsidR="001D121A" w:rsidRDefault="00DC1DE7" w:rsidP="00E43F68">
      <w:pPr>
        <w:ind w:left="709" w:hanging="709"/>
        <w:rPr>
          <w:sz w:val="24"/>
          <w:szCs w:val="24"/>
        </w:rPr>
      </w:pPr>
      <w:bookmarkStart w:id="16" w:name="_Hlk121233153"/>
      <w:r w:rsidRPr="001D121A">
        <w:rPr>
          <w:sz w:val="24"/>
          <w:szCs w:val="24"/>
        </w:rPr>
        <w:t>6</w:t>
      </w:r>
      <w:r w:rsidR="00A2723C" w:rsidRPr="001D121A">
        <w:rPr>
          <w:sz w:val="24"/>
          <w:szCs w:val="24"/>
        </w:rPr>
        <w:t>.</w:t>
      </w:r>
      <w:r w:rsidR="00324D44">
        <w:rPr>
          <w:sz w:val="24"/>
          <w:szCs w:val="24"/>
        </w:rPr>
        <w:t>2</w:t>
      </w:r>
      <w:r w:rsidR="00964D15" w:rsidRPr="001D121A">
        <w:rPr>
          <w:sz w:val="24"/>
          <w:szCs w:val="24"/>
        </w:rPr>
        <w:tab/>
      </w:r>
      <w:r w:rsidR="001D121A">
        <w:rPr>
          <w:sz w:val="24"/>
          <w:szCs w:val="24"/>
        </w:rPr>
        <w:t>Whilst there remain areas of uncertainty, budgets have been updated to reflect revised assumptions and other known changes, which include:</w:t>
      </w:r>
    </w:p>
    <w:p w14:paraId="474CAB77" w14:textId="77777777" w:rsidR="001D121A" w:rsidRDefault="001D121A" w:rsidP="00E43F68">
      <w:pPr>
        <w:ind w:left="709" w:hanging="709"/>
        <w:rPr>
          <w:sz w:val="24"/>
          <w:szCs w:val="24"/>
        </w:rPr>
      </w:pPr>
    </w:p>
    <w:p w14:paraId="635AC18E" w14:textId="77777777" w:rsidR="001D121A" w:rsidRPr="00785601" w:rsidRDefault="004B6C98" w:rsidP="00B553F9">
      <w:pPr>
        <w:numPr>
          <w:ilvl w:val="0"/>
          <w:numId w:val="36"/>
        </w:numPr>
        <w:ind w:left="1134" w:hanging="425"/>
        <w:rPr>
          <w:sz w:val="24"/>
          <w:szCs w:val="24"/>
        </w:rPr>
      </w:pPr>
      <w:r w:rsidRPr="00785601">
        <w:rPr>
          <w:sz w:val="24"/>
          <w:szCs w:val="24"/>
        </w:rPr>
        <w:t>202</w:t>
      </w:r>
      <w:r w:rsidR="00955D1F" w:rsidRPr="00785601">
        <w:rPr>
          <w:sz w:val="24"/>
          <w:szCs w:val="24"/>
        </w:rPr>
        <w:t>4</w:t>
      </w:r>
      <w:r w:rsidRPr="00785601">
        <w:rPr>
          <w:sz w:val="24"/>
          <w:szCs w:val="24"/>
        </w:rPr>
        <w:t>/2</w:t>
      </w:r>
      <w:r w:rsidR="00955D1F" w:rsidRPr="00785601">
        <w:rPr>
          <w:sz w:val="24"/>
          <w:szCs w:val="24"/>
        </w:rPr>
        <w:t>5</w:t>
      </w:r>
      <w:r w:rsidR="0072239A">
        <w:rPr>
          <w:sz w:val="24"/>
          <w:szCs w:val="24"/>
        </w:rPr>
        <w:t xml:space="preserve">, </w:t>
      </w:r>
      <w:r w:rsidRPr="00785601">
        <w:rPr>
          <w:sz w:val="24"/>
          <w:szCs w:val="24"/>
        </w:rPr>
        <w:t>202</w:t>
      </w:r>
      <w:r w:rsidR="00955D1F" w:rsidRPr="00785601">
        <w:rPr>
          <w:sz w:val="24"/>
          <w:szCs w:val="24"/>
        </w:rPr>
        <w:t>5</w:t>
      </w:r>
      <w:r w:rsidRPr="00785601">
        <w:rPr>
          <w:sz w:val="24"/>
          <w:szCs w:val="24"/>
        </w:rPr>
        <w:t>/2</w:t>
      </w:r>
      <w:r w:rsidR="00955D1F" w:rsidRPr="00785601">
        <w:rPr>
          <w:sz w:val="24"/>
          <w:szCs w:val="24"/>
        </w:rPr>
        <w:t>6</w:t>
      </w:r>
      <w:r w:rsidR="0072239A">
        <w:rPr>
          <w:sz w:val="24"/>
          <w:szCs w:val="24"/>
        </w:rPr>
        <w:t xml:space="preserve"> and 2026/27</w:t>
      </w:r>
      <w:r w:rsidR="001D121A" w:rsidRPr="00785601">
        <w:rPr>
          <w:sz w:val="24"/>
          <w:szCs w:val="24"/>
        </w:rPr>
        <w:t xml:space="preserve"> pay </w:t>
      </w:r>
      <w:r w:rsidR="005867A3" w:rsidRPr="00785601">
        <w:rPr>
          <w:sz w:val="24"/>
          <w:szCs w:val="24"/>
        </w:rPr>
        <w:t>awards.</w:t>
      </w:r>
      <w:r w:rsidR="001D121A" w:rsidRPr="00785601">
        <w:rPr>
          <w:sz w:val="24"/>
          <w:szCs w:val="24"/>
        </w:rPr>
        <w:t xml:space="preserve"> </w:t>
      </w:r>
    </w:p>
    <w:p w14:paraId="2BC04FCF" w14:textId="77777777" w:rsidR="001D121A" w:rsidRDefault="007922FF" w:rsidP="00B553F9">
      <w:pPr>
        <w:numPr>
          <w:ilvl w:val="0"/>
          <w:numId w:val="36"/>
        </w:numPr>
        <w:ind w:left="1134" w:hanging="425"/>
        <w:rPr>
          <w:sz w:val="24"/>
          <w:szCs w:val="24"/>
        </w:rPr>
      </w:pPr>
      <w:r>
        <w:rPr>
          <w:sz w:val="24"/>
          <w:szCs w:val="24"/>
        </w:rPr>
        <w:t>Non pay i</w:t>
      </w:r>
      <w:r w:rsidR="00294AE0">
        <w:rPr>
          <w:sz w:val="24"/>
          <w:szCs w:val="24"/>
        </w:rPr>
        <w:t xml:space="preserve">nflation – particularly fuel, </w:t>
      </w:r>
      <w:r w:rsidR="0072239A">
        <w:rPr>
          <w:sz w:val="24"/>
          <w:szCs w:val="24"/>
        </w:rPr>
        <w:t>gas,</w:t>
      </w:r>
      <w:r w:rsidR="00294AE0">
        <w:rPr>
          <w:sz w:val="24"/>
          <w:szCs w:val="24"/>
        </w:rPr>
        <w:t xml:space="preserve"> and electricity</w:t>
      </w:r>
      <w:r>
        <w:rPr>
          <w:sz w:val="24"/>
          <w:szCs w:val="24"/>
        </w:rPr>
        <w:t xml:space="preserve"> (an additional £400k)</w:t>
      </w:r>
    </w:p>
    <w:p w14:paraId="0BC28F45" w14:textId="77777777" w:rsidR="00294AE0" w:rsidRPr="000E7CF3" w:rsidRDefault="00294AE0" w:rsidP="00B553F9">
      <w:pPr>
        <w:numPr>
          <w:ilvl w:val="0"/>
          <w:numId w:val="36"/>
        </w:numPr>
        <w:ind w:left="1134" w:hanging="425"/>
        <w:rPr>
          <w:sz w:val="24"/>
          <w:szCs w:val="24"/>
        </w:rPr>
      </w:pPr>
      <w:r>
        <w:rPr>
          <w:sz w:val="24"/>
          <w:szCs w:val="24"/>
        </w:rPr>
        <w:t>CRMP development</w:t>
      </w:r>
      <w:r w:rsidR="0061136B">
        <w:rPr>
          <w:sz w:val="24"/>
          <w:szCs w:val="24"/>
        </w:rPr>
        <w:t xml:space="preserve"> </w:t>
      </w:r>
      <w:r w:rsidR="0061136B" w:rsidRPr="000E7CF3">
        <w:rPr>
          <w:sz w:val="24"/>
          <w:szCs w:val="24"/>
        </w:rPr>
        <w:t>(</w:t>
      </w:r>
      <w:r w:rsidR="00324D44">
        <w:rPr>
          <w:sz w:val="24"/>
          <w:szCs w:val="24"/>
        </w:rPr>
        <w:t>S</w:t>
      </w:r>
      <w:r w:rsidRPr="000E7CF3">
        <w:rPr>
          <w:sz w:val="24"/>
          <w:szCs w:val="24"/>
        </w:rPr>
        <w:t>ection 3.1)</w:t>
      </w:r>
    </w:p>
    <w:p w14:paraId="41FF0017" w14:textId="77777777" w:rsidR="008E6A4B" w:rsidRDefault="008E6A4B" w:rsidP="00B553F9">
      <w:pPr>
        <w:numPr>
          <w:ilvl w:val="0"/>
          <w:numId w:val="36"/>
        </w:numPr>
        <w:ind w:left="1134" w:hanging="425"/>
        <w:rPr>
          <w:sz w:val="24"/>
          <w:szCs w:val="24"/>
        </w:rPr>
      </w:pPr>
      <w:r>
        <w:rPr>
          <w:sz w:val="24"/>
          <w:szCs w:val="24"/>
        </w:rPr>
        <w:t xml:space="preserve">Business </w:t>
      </w:r>
      <w:r w:rsidR="00324D44">
        <w:rPr>
          <w:sz w:val="24"/>
          <w:szCs w:val="24"/>
        </w:rPr>
        <w:t>r</w:t>
      </w:r>
      <w:r>
        <w:rPr>
          <w:sz w:val="24"/>
          <w:szCs w:val="24"/>
        </w:rPr>
        <w:t>ates revised projections (</w:t>
      </w:r>
      <w:r w:rsidR="00324D44">
        <w:rPr>
          <w:sz w:val="24"/>
          <w:szCs w:val="24"/>
        </w:rPr>
        <w:t>S</w:t>
      </w:r>
      <w:r w:rsidRPr="000E7CF3">
        <w:rPr>
          <w:sz w:val="24"/>
          <w:szCs w:val="24"/>
        </w:rPr>
        <w:t>ections 4.5 – 4.</w:t>
      </w:r>
      <w:r w:rsidR="000E7CF3" w:rsidRPr="000E7CF3">
        <w:rPr>
          <w:sz w:val="24"/>
          <w:szCs w:val="24"/>
        </w:rPr>
        <w:t>9</w:t>
      </w:r>
      <w:r w:rsidRPr="000E7CF3">
        <w:rPr>
          <w:sz w:val="24"/>
          <w:szCs w:val="24"/>
        </w:rPr>
        <w:t>)</w:t>
      </w:r>
    </w:p>
    <w:p w14:paraId="6EB34AC5" w14:textId="77777777" w:rsidR="008E6A4B" w:rsidRPr="000E7CF3" w:rsidRDefault="008E6A4B" w:rsidP="00B553F9">
      <w:pPr>
        <w:numPr>
          <w:ilvl w:val="0"/>
          <w:numId w:val="36"/>
        </w:numPr>
        <w:ind w:left="1134" w:hanging="425"/>
        <w:rPr>
          <w:sz w:val="24"/>
          <w:szCs w:val="24"/>
        </w:rPr>
      </w:pPr>
      <w:r w:rsidRPr="000E7CF3">
        <w:rPr>
          <w:sz w:val="24"/>
          <w:szCs w:val="24"/>
        </w:rPr>
        <w:t xml:space="preserve">Changes in </w:t>
      </w:r>
      <w:r w:rsidR="00324D44">
        <w:rPr>
          <w:sz w:val="24"/>
          <w:szCs w:val="24"/>
        </w:rPr>
        <w:t>c</w:t>
      </w:r>
      <w:r w:rsidRPr="000E7CF3">
        <w:rPr>
          <w:sz w:val="24"/>
          <w:szCs w:val="24"/>
        </w:rPr>
        <w:t xml:space="preserve">ouncil </w:t>
      </w:r>
      <w:r w:rsidR="00324D44">
        <w:rPr>
          <w:sz w:val="24"/>
          <w:szCs w:val="24"/>
        </w:rPr>
        <w:t>t</w:t>
      </w:r>
      <w:r w:rsidRPr="000E7CF3">
        <w:rPr>
          <w:sz w:val="24"/>
          <w:szCs w:val="24"/>
        </w:rPr>
        <w:t>ax precept levels (</w:t>
      </w:r>
      <w:r w:rsidR="00324D44">
        <w:rPr>
          <w:sz w:val="24"/>
          <w:szCs w:val="24"/>
        </w:rPr>
        <w:t>S</w:t>
      </w:r>
      <w:r w:rsidRPr="000E7CF3">
        <w:rPr>
          <w:sz w:val="24"/>
          <w:szCs w:val="24"/>
        </w:rPr>
        <w:t>ection 4.11)</w:t>
      </w:r>
    </w:p>
    <w:p w14:paraId="6F484E4A" w14:textId="77777777" w:rsidR="008E6A4B" w:rsidRPr="000E7CF3" w:rsidRDefault="008E6A4B" w:rsidP="00B553F9">
      <w:pPr>
        <w:numPr>
          <w:ilvl w:val="0"/>
          <w:numId w:val="36"/>
        </w:numPr>
        <w:ind w:left="1134" w:hanging="425"/>
        <w:rPr>
          <w:sz w:val="24"/>
          <w:szCs w:val="24"/>
        </w:rPr>
      </w:pPr>
      <w:r w:rsidRPr="000E7CF3">
        <w:rPr>
          <w:sz w:val="24"/>
          <w:szCs w:val="24"/>
        </w:rPr>
        <w:t>Reductions in MRP due to planned delays in capital programme</w:t>
      </w:r>
      <w:r w:rsidR="00B553F9" w:rsidRPr="000E7CF3">
        <w:rPr>
          <w:sz w:val="24"/>
          <w:szCs w:val="24"/>
        </w:rPr>
        <w:t xml:space="preserve"> (</w:t>
      </w:r>
      <w:r w:rsidR="00324D44">
        <w:rPr>
          <w:sz w:val="24"/>
          <w:szCs w:val="24"/>
        </w:rPr>
        <w:t>S</w:t>
      </w:r>
      <w:r w:rsidR="00B553F9" w:rsidRPr="000E7CF3">
        <w:rPr>
          <w:sz w:val="24"/>
          <w:szCs w:val="24"/>
        </w:rPr>
        <w:t>ection 3.34)</w:t>
      </w:r>
    </w:p>
    <w:p w14:paraId="43F06E49" w14:textId="77777777" w:rsidR="00294AE0" w:rsidRDefault="00294AE0" w:rsidP="001D121A">
      <w:pPr>
        <w:ind w:left="709" w:hanging="709"/>
        <w:rPr>
          <w:sz w:val="24"/>
          <w:szCs w:val="24"/>
        </w:rPr>
      </w:pPr>
    </w:p>
    <w:bookmarkEnd w:id="16"/>
    <w:p w14:paraId="79C3B4AB" w14:textId="77777777" w:rsidR="00577891" w:rsidRPr="00995BED" w:rsidRDefault="00DC1DE7" w:rsidP="00577891">
      <w:pPr>
        <w:tabs>
          <w:tab w:val="num" w:pos="709"/>
        </w:tabs>
        <w:ind w:left="709" w:hanging="709"/>
        <w:rPr>
          <w:sz w:val="24"/>
          <w:szCs w:val="24"/>
        </w:rPr>
      </w:pPr>
      <w:r w:rsidRPr="00B553F9">
        <w:rPr>
          <w:sz w:val="24"/>
          <w:szCs w:val="24"/>
        </w:rPr>
        <w:lastRenderedPageBreak/>
        <w:t>6</w:t>
      </w:r>
      <w:r w:rsidR="00A2723C" w:rsidRPr="00B553F9">
        <w:rPr>
          <w:sz w:val="24"/>
          <w:szCs w:val="24"/>
        </w:rPr>
        <w:t>.</w:t>
      </w:r>
      <w:r w:rsidR="00324D44">
        <w:rPr>
          <w:sz w:val="24"/>
          <w:szCs w:val="24"/>
        </w:rPr>
        <w:t>3</w:t>
      </w:r>
      <w:r w:rsidR="00577891" w:rsidRPr="00B553F9">
        <w:rPr>
          <w:sz w:val="24"/>
          <w:szCs w:val="24"/>
        </w:rPr>
        <w:tab/>
      </w:r>
      <w:r w:rsidR="00577891" w:rsidRPr="00995BED">
        <w:rPr>
          <w:sz w:val="24"/>
          <w:szCs w:val="24"/>
        </w:rPr>
        <w:t>The budget requirement for future years cannot be accurately estimated at this point as the full budget is still to be determined.  It has been amended for known major pressures</w:t>
      </w:r>
      <w:r w:rsidR="00B553F9" w:rsidRPr="00995BED">
        <w:rPr>
          <w:sz w:val="24"/>
          <w:szCs w:val="24"/>
        </w:rPr>
        <w:t xml:space="preserve"> as detailed above</w:t>
      </w:r>
      <w:r w:rsidR="00577891" w:rsidRPr="00995BED">
        <w:rPr>
          <w:sz w:val="24"/>
          <w:szCs w:val="24"/>
        </w:rPr>
        <w:t xml:space="preserve">, but figures are likely to change.  More detailed figures will be provided </w:t>
      </w:r>
      <w:r w:rsidR="0013393C">
        <w:rPr>
          <w:sz w:val="24"/>
          <w:szCs w:val="24"/>
        </w:rPr>
        <w:t>to the</w:t>
      </w:r>
      <w:r w:rsidR="0013393C" w:rsidRPr="00995BED">
        <w:rPr>
          <w:sz w:val="24"/>
          <w:szCs w:val="24"/>
        </w:rPr>
        <w:t xml:space="preserve"> </w:t>
      </w:r>
      <w:r w:rsidR="00577891" w:rsidRPr="00995BED">
        <w:rPr>
          <w:sz w:val="24"/>
          <w:szCs w:val="24"/>
        </w:rPr>
        <w:t>Finance and Resources Committee in January 202</w:t>
      </w:r>
      <w:r w:rsidR="00324D44">
        <w:rPr>
          <w:sz w:val="24"/>
          <w:szCs w:val="24"/>
        </w:rPr>
        <w:t>4</w:t>
      </w:r>
      <w:r w:rsidR="00577891" w:rsidRPr="00995BED">
        <w:rPr>
          <w:sz w:val="24"/>
          <w:szCs w:val="24"/>
        </w:rPr>
        <w:t xml:space="preserve"> and </w:t>
      </w:r>
      <w:r w:rsidR="0013393C">
        <w:rPr>
          <w:sz w:val="24"/>
          <w:szCs w:val="24"/>
        </w:rPr>
        <w:t xml:space="preserve">the </w:t>
      </w:r>
      <w:r w:rsidR="00577891" w:rsidRPr="00995BED">
        <w:rPr>
          <w:sz w:val="24"/>
          <w:szCs w:val="24"/>
        </w:rPr>
        <w:t>Authority in February 202</w:t>
      </w:r>
      <w:r w:rsidR="004F6253" w:rsidRPr="00995BED">
        <w:rPr>
          <w:sz w:val="24"/>
          <w:szCs w:val="24"/>
        </w:rPr>
        <w:t>4</w:t>
      </w:r>
      <w:r w:rsidR="00577891" w:rsidRPr="00995BED">
        <w:rPr>
          <w:sz w:val="24"/>
          <w:szCs w:val="24"/>
        </w:rPr>
        <w:t xml:space="preserve">.  </w:t>
      </w:r>
    </w:p>
    <w:p w14:paraId="63F6EF44" w14:textId="77777777" w:rsidR="00626D80" w:rsidRPr="00995BED" w:rsidRDefault="00626D80" w:rsidP="00E43F68">
      <w:pPr>
        <w:ind w:left="709" w:hanging="709"/>
        <w:rPr>
          <w:sz w:val="24"/>
          <w:szCs w:val="24"/>
        </w:rPr>
      </w:pPr>
    </w:p>
    <w:p w14:paraId="1345FA51" w14:textId="77777777" w:rsidR="00403C5F" w:rsidRPr="00B553F9" w:rsidRDefault="00DC1DE7" w:rsidP="00E43F68">
      <w:pPr>
        <w:ind w:left="709" w:hanging="709"/>
        <w:rPr>
          <w:sz w:val="24"/>
          <w:szCs w:val="24"/>
        </w:rPr>
      </w:pPr>
      <w:bookmarkStart w:id="17" w:name="_Hlk55882089"/>
      <w:r w:rsidRPr="00995BED">
        <w:rPr>
          <w:sz w:val="24"/>
          <w:szCs w:val="24"/>
        </w:rPr>
        <w:t>6</w:t>
      </w:r>
      <w:r w:rsidR="00A2723C" w:rsidRPr="00995BED">
        <w:rPr>
          <w:sz w:val="24"/>
          <w:szCs w:val="24"/>
        </w:rPr>
        <w:t>.</w:t>
      </w:r>
      <w:r w:rsidR="00324D44">
        <w:rPr>
          <w:sz w:val="24"/>
          <w:szCs w:val="24"/>
        </w:rPr>
        <w:t>4</w:t>
      </w:r>
      <w:r w:rsidR="00403C5F" w:rsidRPr="00995BED">
        <w:rPr>
          <w:sz w:val="24"/>
          <w:szCs w:val="24"/>
        </w:rPr>
        <w:tab/>
        <w:t xml:space="preserve">Given the </w:t>
      </w:r>
      <w:r w:rsidR="00D73A62" w:rsidRPr="00995BED">
        <w:rPr>
          <w:sz w:val="24"/>
          <w:szCs w:val="24"/>
        </w:rPr>
        <w:t>uncertainty</w:t>
      </w:r>
      <w:r w:rsidR="00403C5F" w:rsidRPr="00995BED">
        <w:rPr>
          <w:sz w:val="24"/>
          <w:szCs w:val="24"/>
        </w:rPr>
        <w:t xml:space="preserve"> discussed in this strategy, three scenarios have been considered – a worst case, a likely case and a best scenario.</w:t>
      </w:r>
      <w:r w:rsidR="00403C5F" w:rsidRPr="00B553F9">
        <w:rPr>
          <w:sz w:val="24"/>
          <w:szCs w:val="24"/>
        </w:rPr>
        <w:t xml:space="preserve"> </w:t>
      </w:r>
    </w:p>
    <w:p w14:paraId="7EA0BD81" w14:textId="77777777" w:rsidR="00403C5F" w:rsidRDefault="00403C5F" w:rsidP="00E43F68">
      <w:pPr>
        <w:ind w:left="709" w:hanging="709"/>
        <w:rPr>
          <w:sz w:val="24"/>
          <w:szCs w:val="24"/>
          <w:highlight w:val="yellow"/>
        </w:rPr>
      </w:pPr>
    </w:p>
    <w:p w14:paraId="7792F406" w14:textId="77777777" w:rsidR="00406A25" w:rsidRPr="00B553F9" w:rsidRDefault="00406A25" w:rsidP="00406A25">
      <w:pPr>
        <w:rPr>
          <w:sz w:val="24"/>
          <w:szCs w:val="24"/>
        </w:rPr>
      </w:pPr>
      <w:bookmarkStart w:id="18" w:name="_Hlk26105549"/>
      <w:bookmarkStart w:id="19" w:name="_Hlk89803115"/>
      <w:r w:rsidRPr="00B553F9">
        <w:rPr>
          <w:b/>
          <w:sz w:val="24"/>
          <w:szCs w:val="24"/>
        </w:rPr>
        <w:t>SCENARIO 1 –</w:t>
      </w:r>
      <w:r w:rsidRPr="00B553F9">
        <w:rPr>
          <w:sz w:val="24"/>
          <w:szCs w:val="24"/>
        </w:rPr>
        <w:t xml:space="preserve"> </w:t>
      </w:r>
      <w:r w:rsidRPr="00B553F9">
        <w:rPr>
          <w:b/>
          <w:sz w:val="24"/>
          <w:szCs w:val="24"/>
        </w:rPr>
        <w:t>WORST CASE SCENARIO</w:t>
      </w:r>
    </w:p>
    <w:p w14:paraId="5BA87540" w14:textId="77777777" w:rsidR="00406A25" w:rsidRPr="00E05E60" w:rsidRDefault="00406A25" w:rsidP="00406A25">
      <w:pPr>
        <w:rPr>
          <w:sz w:val="24"/>
          <w:szCs w:val="24"/>
          <w:highlight w:val="yellow"/>
        </w:rPr>
      </w:pPr>
    </w:p>
    <w:p w14:paraId="68A707D1" w14:textId="77777777" w:rsidR="00406A25" w:rsidRPr="00EF65B6" w:rsidRDefault="00DC1DE7" w:rsidP="00406A25">
      <w:pPr>
        <w:rPr>
          <w:sz w:val="24"/>
          <w:szCs w:val="24"/>
        </w:rPr>
      </w:pPr>
      <w:r w:rsidRPr="00EF65B6">
        <w:rPr>
          <w:sz w:val="24"/>
          <w:szCs w:val="24"/>
        </w:rPr>
        <w:t>6.</w:t>
      </w:r>
      <w:r w:rsidR="00324D44">
        <w:rPr>
          <w:sz w:val="24"/>
          <w:szCs w:val="24"/>
        </w:rPr>
        <w:t>5</w:t>
      </w:r>
      <w:r w:rsidR="00406A25" w:rsidRPr="00EF65B6">
        <w:rPr>
          <w:sz w:val="24"/>
          <w:szCs w:val="24"/>
        </w:rPr>
        <w:tab/>
        <w:t>The worst-case scenario assumes that:</w:t>
      </w:r>
    </w:p>
    <w:p w14:paraId="6AE3C885" w14:textId="77777777" w:rsidR="00F11238" w:rsidRPr="00E05E60" w:rsidRDefault="00F11238" w:rsidP="00406A25">
      <w:pPr>
        <w:rPr>
          <w:sz w:val="24"/>
          <w:szCs w:val="24"/>
          <w:highlight w:val="yellow"/>
        </w:rPr>
      </w:pPr>
    </w:p>
    <w:p w14:paraId="3F90903A" w14:textId="77777777" w:rsidR="00F11238" w:rsidRPr="00995BED" w:rsidRDefault="00F11238" w:rsidP="00F11238">
      <w:pPr>
        <w:pStyle w:val="ListParagraph"/>
        <w:numPr>
          <w:ilvl w:val="0"/>
          <w:numId w:val="1"/>
        </w:numPr>
        <w:ind w:left="1080"/>
        <w:contextualSpacing/>
        <w:rPr>
          <w:sz w:val="24"/>
          <w:szCs w:val="24"/>
        </w:rPr>
      </w:pPr>
      <w:r w:rsidRPr="00995BED">
        <w:rPr>
          <w:sz w:val="24"/>
          <w:szCs w:val="24"/>
        </w:rPr>
        <w:t xml:space="preserve">The </w:t>
      </w:r>
      <w:r w:rsidR="004B6C98" w:rsidRPr="00995BED">
        <w:rPr>
          <w:sz w:val="24"/>
          <w:szCs w:val="24"/>
        </w:rPr>
        <w:t>2024/25</w:t>
      </w:r>
      <w:r w:rsidRPr="00995BED">
        <w:rPr>
          <w:sz w:val="24"/>
          <w:szCs w:val="24"/>
        </w:rPr>
        <w:t xml:space="preserve"> pay award is settled at </w:t>
      </w:r>
      <w:r w:rsidR="00086C8C" w:rsidRPr="00995BED">
        <w:rPr>
          <w:sz w:val="24"/>
          <w:szCs w:val="24"/>
        </w:rPr>
        <w:t>5</w:t>
      </w:r>
      <w:r w:rsidRPr="00995BED">
        <w:rPr>
          <w:sz w:val="24"/>
          <w:szCs w:val="24"/>
        </w:rPr>
        <w:t xml:space="preserve">% </w:t>
      </w:r>
      <w:r w:rsidR="00742570" w:rsidRPr="00995BED">
        <w:rPr>
          <w:sz w:val="24"/>
          <w:szCs w:val="24"/>
        </w:rPr>
        <w:t xml:space="preserve">for all </w:t>
      </w:r>
      <w:r w:rsidR="00852143" w:rsidRPr="00995BED">
        <w:rPr>
          <w:sz w:val="24"/>
          <w:szCs w:val="24"/>
        </w:rPr>
        <w:t>staff.</w:t>
      </w:r>
      <w:r w:rsidR="00742570" w:rsidRPr="00995BED">
        <w:rPr>
          <w:sz w:val="24"/>
          <w:szCs w:val="24"/>
        </w:rPr>
        <w:t xml:space="preserve"> </w:t>
      </w:r>
    </w:p>
    <w:p w14:paraId="27F9C8EE" w14:textId="77777777" w:rsidR="00F11238" w:rsidRPr="00995BED" w:rsidRDefault="00F11238" w:rsidP="00F11238">
      <w:pPr>
        <w:pStyle w:val="ListParagraph"/>
        <w:ind w:left="0"/>
        <w:contextualSpacing/>
        <w:rPr>
          <w:sz w:val="24"/>
          <w:szCs w:val="24"/>
        </w:rPr>
      </w:pPr>
    </w:p>
    <w:p w14:paraId="349E0D5B" w14:textId="77777777" w:rsidR="009E75CC" w:rsidRPr="00995BED" w:rsidRDefault="009E75CC" w:rsidP="009E75CC">
      <w:pPr>
        <w:pStyle w:val="ListParagraph"/>
        <w:numPr>
          <w:ilvl w:val="0"/>
          <w:numId w:val="1"/>
        </w:numPr>
        <w:ind w:left="1080"/>
        <w:contextualSpacing/>
        <w:rPr>
          <w:sz w:val="24"/>
          <w:szCs w:val="24"/>
        </w:rPr>
      </w:pPr>
      <w:r w:rsidRPr="00995BED">
        <w:rPr>
          <w:sz w:val="24"/>
          <w:szCs w:val="24"/>
        </w:rPr>
        <w:t>Government funding (Revenue Support Grant (RSG) and Business Rates top up grant) increases 6.7% for 2024/25 ,1.8% for 2025/26 and 3.74% for 2026/27</w:t>
      </w:r>
      <w:r w:rsidR="00324D44">
        <w:rPr>
          <w:sz w:val="24"/>
          <w:szCs w:val="24"/>
        </w:rPr>
        <w:t>.</w:t>
      </w:r>
    </w:p>
    <w:p w14:paraId="2E732D0F" w14:textId="77777777" w:rsidR="00F11238" w:rsidRPr="00995BED" w:rsidRDefault="00F11238" w:rsidP="00F11238">
      <w:pPr>
        <w:pStyle w:val="ListParagraph"/>
        <w:ind w:left="1080"/>
        <w:contextualSpacing/>
        <w:rPr>
          <w:sz w:val="24"/>
          <w:szCs w:val="24"/>
        </w:rPr>
      </w:pPr>
    </w:p>
    <w:p w14:paraId="1394597D" w14:textId="77777777" w:rsidR="00F11238" w:rsidRPr="00995BED" w:rsidRDefault="00F11238" w:rsidP="00F11238">
      <w:pPr>
        <w:pStyle w:val="ListParagraph"/>
        <w:numPr>
          <w:ilvl w:val="0"/>
          <w:numId w:val="1"/>
        </w:numPr>
        <w:ind w:left="1080"/>
        <w:contextualSpacing/>
        <w:rPr>
          <w:sz w:val="24"/>
          <w:szCs w:val="24"/>
        </w:rPr>
      </w:pPr>
      <w:r w:rsidRPr="00995BED">
        <w:rPr>
          <w:sz w:val="24"/>
          <w:szCs w:val="24"/>
        </w:rPr>
        <w:t>Pension Grant remains flat in cash terms at £2.34m</w:t>
      </w:r>
      <w:r w:rsidR="00324D44">
        <w:rPr>
          <w:sz w:val="24"/>
          <w:szCs w:val="24"/>
        </w:rPr>
        <w:t>.</w:t>
      </w:r>
    </w:p>
    <w:p w14:paraId="3D39DD5D" w14:textId="77777777" w:rsidR="00F11238" w:rsidRPr="00995BED" w:rsidRDefault="00F11238" w:rsidP="00F11238">
      <w:pPr>
        <w:pStyle w:val="ListParagraph"/>
        <w:ind w:left="0"/>
        <w:contextualSpacing/>
        <w:rPr>
          <w:sz w:val="24"/>
          <w:szCs w:val="24"/>
        </w:rPr>
      </w:pPr>
    </w:p>
    <w:p w14:paraId="6FEE012A" w14:textId="77777777" w:rsidR="00E931E5" w:rsidRPr="00995BED" w:rsidRDefault="00E931E5" w:rsidP="00E931E5">
      <w:pPr>
        <w:pStyle w:val="ListParagraph"/>
        <w:numPr>
          <w:ilvl w:val="0"/>
          <w:numId w:val="1"/>
        </w:numPr>
        <w:ind w:left="1080"/>
        <w:contextualSpacing/>
        <w:rPr>
          <w:sz w:val="24"/>
          <w:szCs w:val="24"/>
        </w:rPr>
      </w:pPr>
      <w:r w:rsidRPr="00995BED">
        <w:rPr>
          <w:sz w:val="24"/>
          <w:szCs w:val="24"/>
        </w:rPr>
        <w:t>Services Grant remains, although reduced to £366k (from £421k)</w:t>
      </w:r>
      <w:r w:rsidR="00324D44">
        <w:rPr>
          <w:sz w:val="24"/>
          <w:szCs w:val="24"/>
        </w:rPr>
        <w:t>.</w:t>
      </w:r>
    </w:p>
    <w:p w14:paraId="18AF93EF" w14:textId="77777777" w:rsidR="00F11238" w:rsidRPr="00995BED" w:rsidRDefault="00F11238" w:rsidP="00F11238">
      <w:pPr>
        <w:pStyle w:val="ListParagraph"/>
        <w:ind w:left="0"/>
        <w:contextualSpacing/>
        <w:rPr>
          <w:sz w:val="24"/>
          <w:szCs w:val="24"/>
        </w:rPr>
      </w:pPr>
    </w:p>
    <w:p w14:paraId="22CAEC0D" w14:textId="77777777" w:rsidR="009E75CC" w:rsidRPr="00995BED" w:rsidRDefault="009E75CC" w:rsidP="009E75CC">
      <w:pPr>
        <w:pStyle w:val="ListParagraph"/>
        <w:numPr>
          <w:ilvl w:val="0"/>
          <w:numId w:val="1"/>
        </w:numPr>
        <w:ind w:left="1080"/>
        <w:contextualSpacing/>
        <w:rPr>
          <w:sz w:val="24"/>
          <w:szCs w:val="24"/>
        </w:rPr>
      </w:pPr>
      <w:r w:rsidRPr="00995BED">
        <w:rPr>
          <w:sz w:val="24"/>
          <w:szCs w:val="24"/>
        </w:rPr>
        <w:t>Business Rate collection increases by 0.9% for 2024/25, 3.02% 2025/26 and 12.19% 2026/27</w:t>
      </w:r>
      <w:r w:rsidR="00324D44">
        <w:rPr>
          <w:sz w:val="24"/>
          <w:szCs w:val="24"/>
        </w:rPr>
        <w:t>.</w:t>
      </w:r>
    </w:p>
    <w:p w14:paraId="5DCE795A" w14:textId="77777777" w:rsidR="00F11238" w:rsidRPr="00995BED" w:rsidRDefault="00F11238" w:rsidP="00E931E5">
      <w:pPr>
        <w:pStyle w:val="ListParagraph"/>
        <w:ind w:left="0"/>
        <w:contextualSpacing/>
        <w:rPr>
          <w:sz w:val="24"/>
          <w:szCs w:val="24"/>
        </w:rPr>
      </w:pPr>
    </w:p>
    <w:p w14:paraId="5512483D" w14:textId="77777777" w:rsidR="00F11238" w:rsidRPr="00995BED" w:rsidRDefault="00F11238" w:rsidP="00F11238">
      <w:pPr>
        <w:pStyle w:val="ListParagraph"/>
        <w:numPr>
          <w:ilvl w:val="0"/>
          <w:numId w:val="1"/>
        </w:numPr>
        <w:ind w:left="1080"/>
        <w:contextualSpacing/>
        <w:rPr>
          <w:sz w:val="24"/>
          <w:szCs w:val="24"/>
        </w:rPr>
      </w:pPr>
      <w:r w:rsidRPr="00995BED">
        <w:rPr>
          <w:sz w:val="24"/>
          <w:szCs w:val="24"/>
        </w:rPr>
        <w:t xml:space="preserve">Council </w:t>
      </w:r>
      <w:r w:rsidR="00324D44">
        <w:rPr>
          <w:sz w:val="24"/>
          <w:szCs w:val="24"/>
        </w:rPr>
        <w:t>t</w:t>
      </w:r>
      <w:r w:rsidRPr="00995BED">
        <w:rPr>
          <w:sz w:val="24"/>
          <w:szCs w:val="24"/>
        </w:rPr>
        <w:t xml:space="preserve">ax collection increases by 1.35% in </w:t>
      </w:r>
      <w:r w:rsidR="004B6C98" w:rsidRPr="00995BED">
        <w:rPr>
          <w:sz w:val="24"/>
          <w:szCs w:val="24"/>
        </w:rPr>
        <w:t>2024/25</w:t>
      </w:r>
      <w:r w:rsidRPr="00995BED">
        <w:rPr>
          <w:sz w:val="24"/>
          <w:szCs w:val="24"/>
        </w:rPr>
        <w:t xml:space="preserve"> and future years</w:t>
      </w:r>
      <w:r w:rsidR="00324D44">
        <w:rPr>
          <w:sz w:val="24"/>
          <w:szCs w:val="24"/>
        </w:rPr>
        <w:t>.</w:t>
      </w:r>
    </w:p>
    <w:p w14:paraId="396A1E22" w14:textId="77777777" w:rsidR="00F11238" w:rsidRPr="00995BED" w:rsidRDefault="00F11238" w:rsidP="00F11238">
      <w:pPr>
        <w:pStyle w:val="ListParagraph"/>
        <w:ind w:left="0"/>
        <w:contextualSpacing/>
        <w:rPr>
          <w:sz w:val="24"/>
          <w:szCs w:val="24"/>
        </w:rPr>
      </w:pPr>
    </w:p>
    <w:p w14:paraId="3712CD40" w14:textId="77777777" w:rsidR="00F11238" w:rsidRPr="00995BED" w:rsidRDefault="00F11238" w:rsidP="00F11238">
      <w:pPr>
        <w:pStyle w:val="ListParagraph"/>
        <w:numPr>
          <w:ilvl w:val="0"/>
          <w:numId w:val="1"/>
        </w:numPr>
        <w:ind w:left="1080"/>
        <w:contextualSpacing/>
        <w:rPr>
          <w:sz w:val="24"/>
          <w:szCs w:val="24"/>
        </w:rPr>
      </w:pPr>
      <w:r w:rsidRPr="00995BED">
        <w:rPr>
          <w:sz w:val="24"/>
          <w:szCs w:val="24"/>
        </w:rPr>
        <w:t xml:space="preserve">Council </w:t>
      </w:r>
      <w:r w:rsidR="00324D44">
        <w:rPr>
          <w:sz w:val="24"/>
          <w:szCs w:val="24"/>
        </w:rPr>
        <w:t>t</w:t>
      </w:r>
      <w:r w:rsidRPr="00995BED">
        <w:rPr>
          <w:sz w:val="24"/>
          <w:szCs w:val="24"/>
        </w:rPr>
        <w:t xml:space="preserve">ax is increased at </w:t>
      </w:r>
      <w:r w:rsidR="004F6253" w:rsidRPr="00995BED">
        <w:rPr>
          <w:sz w:val="24"/>
          <w:szCs w:val="24"/>
        </w:rPr>
        <w:t>2</w:t>
      </w:r>
      <w:r w:rsidRPr="00995BED">
        <w:rPr>
          <w:sz w:val="24"/>
          <w:szCs w:val="24"/>
        </w:rPr>
        <w:t>.95% for each year.</w:t>
      </w:r>
    </w:p>
    <w:p w14:paraId="6758F45A" w14:textId="77777777" w:rsidR="00406A25" w:rsidRPr="00995BED" w:rsidRDefault="00406A25" w:rsidP="00406A25">
      <w:pPr>
        <w:rPr>
          <w:sz w:val="24"/>
          <w:szCs w:val="24"/>
        </w:rPr>
      </w:pPr>
    </w:p>
    <w:p w14:paraId="5AA3144F" w14:textId="77777777" w:rsidR="001674B9" w:rsidRPr="00995BED" w:rsidRDefault="00DC1DE7" w:rsidP="001674B9">
      <w:pPr>
        <w:ind w:left="709" w:hanging="709"/>
        <w:rPr>
          <w:sz w:val="24"/>
          <w:szCs w:val="24"/>
        </w:rPr>
      </w:pPr>
      <w:r w:rsidRPr="00995BED">
        <w:rPr>
          <w:sz w:val="24"/>
          <w:szCs w:val="24"/>
        </w:rPr>
        <w:t>6.</w:t>
      </w:r>
      <w:r w:rsidR="00324D44">
        <w:rPr>
          <w:sz w:val="24"/>
          <w:szCs w:val="24"/>
        </w:rPr>
        <w:t>6</w:t>
      </w:r>
      <w:r w:rsidR="00406A25" w:rsidRPr="00995BED">
        <w:rPr>
          <w:sz w:val="24"/>
          <w:szCs w:val="24"/>
        </w:rPr>
        <w:tab/>
        <w:t>This scenario would result in a £</w:t>
      </w:r>
      <w:r w:rsidR="00F63533" w:rsidRPr="00995BED">
        <w:rPr>
          <w:sz w:val="24"/>
          <w:szCs w:val="24"/>
        </w:rPr>
        <w:t>1.</w:t>
      </w:r>
      <w:r w:rsidR="00EF65B6" w:rsidRPr="00995BED">
        <w:rPr>
          <w:sz w:val="24"/>
          <w:szCs w:val="24"/>
        </w:rPr>
        <w:t>3</w:t>
      </w:r>
      <w:r w:rsidR="00F63533" w:rsidRPr="00995BED">
        <w:rPr>
          <w:sz w:val="24"/>
          <w:szCs w:val="24"/>
        </w:rPr>
        <w:t xml:space="preserve">m </w:t>
      </w:r>
      <w:r w:rsidR="00406A25" w:rsidRPr="00995BED">
        <w:rPr>
          <w:sz w:val="24"/>
          <w:szCs w:val="24"/>
        </w:rPr>
        <w:t xml:space="preserve">deficit in </w:t>
      </w:r>
      <w:r w:rsidR="004B6C98" w:rsidRPr="00995BED">
        <w:rPr>
          <w:sz w:val="24"/>
          <w:szCs w:val="24"/>
        </w:rPr>
        <w:t>2024/25</w:t>
      </w:r>
      <w:r w:rsidR="00406A25" w:rsidRPr="00995BED">
        <w:rPr>
          <w:sz w:val="24"/>
          <w:szCs w:val="24"/>
        </w:rPr>
        <w:t xml:space="preserve"> and has an ongoing </w:t>
      </w:r>
      <w:r w:rsidR="00EF65B6" w:rsidRPr="00995BED">
        <w:rPr>
          <w:sz w:val="24"/>
          <w:szCs w:val="24"/>
        </w:rPr>
        <w:t xml:space="preserve">deficit in excess of </w:t>
      </w:r>
      <w:r w:rsidR="00406A25" w:rsidRPr="00995BED">
        <w:rPr>
          <w:sz w:val="24"/>
          <w:szCs w:val="24"/>
        </w:rPr>
        <w:t>£</w:t>
      </w:r>
      <w:r w:rsidR="00F63533" w:rsidRPr="00995BED">
        <w:rPr>
          <w:sz w:val="24"/>
          <w:szCs w:val="24"/>
        </w:rPr>
        <w:t>2.m</w:t>
      </w:r>
      <w:r w:rsidR="00406A25" w:rsidRPr="00995BED">
        <w:rPr>
          <w:sz w:val="24"/>
          <w:szCs w:val="24"/>
        </w:rPr>
        <w:t xml:space="preserve"> as detailed in the table </w:t>
      </w:r>
      <w:r w:rsidR="00251DF2" w:rsidRPr="00995BED">
        <w:rPr>
          <w:sz w:val="24"/>
          <w:szCs w:val="24"/>
        </w:rPr>
        <w:t>2</w:t>
      </w:r>
      <w:r w:rsidR="00406A25" w:rsidRPr="00995BED">
        <w:rPr>
          <w:sz w:val="24"/>
          <w:szCs w:val="24"/>
        </w:rPr>
        <w:t xml:space="preserve"> below:</w:t>
      </w:r>
    </w:p>
    <w:p w14:paraId="3D4EFEF4" w14:textId="77777777" w:rsidR="001674B9" w:rsidRDefault="001674B9" w:rsidP="001674B9">
      <w:pPr>
        <w:ind w:left="709" w:hanging="709"/>
        <w:rPr>
          <w:sz w:val="24"/>
          <w:szCs w:val="24"/>
        </w:rPr>
      </w:pPr>
    </w:p>
    <w:p w14:paraId="1A97B1D5" w14:textId="77777777" w:rsidR="00414CE6" w:rsidRDefault="00414CE6" w:rsidP="001674B9">
      <w:pPr>
        <w:ind w:left="709" w:hanging="709"/>
        <w:rPr>
          <w:sz w:val="24"/>
          <w:szCs w:val="24"/>
        </w:rPr>
      </w:pPr>
    </w:p>
    <w:p w14:paraId="488DEE07" w14:textId="77777777" w:rsidR="00414CE6" w:rsidRDefault="00414CE6" w:rsidP="001674B9">
      <w:pPr>
        <w:ind w:left="709" w:hanging="709"/>
        <w:rPr>
          <w:sz w:val="24"/>
          <w:szCs w:val="24"/>
        </w:rPr>
      </w:pPr>
    </w:p>
    <w:p w14:paraId="07F15E7C" w14:textId="77777777" w:rsidR="00414CE6" w:rsidRDefault="00414CE6" w:rsidP="001674B9">
      <w:pPr>
        <w:ind w:left="709" w:hanging="709"/>
        <w:rPr>
          <w:sz w:val="24"/>
          <w:szCs w:val="24"/>
        </w:rPr>
      </w:pPr>
    </w:p>
    <w:p w14:paraId="51C269A7" w14:textId="77777777" w:rsidR="00414CE6" w:rsidRDefault="00414CE6" w:rsidP="001674B9">
      <w:pPr>
        <w:ind w:left="709" w:hanging="709"/>
        <w:rPr>
          <w:sz w:val="24"/>
          <w:szCs w:val="24"/>
        </w:rPr>
      </w:pPr>
    </w:p>
    <w:p w14:paraId="2A5C04C2" w14:textId="77777777" w:rsidR="00414CE6" w:rsidRDefault="00414CE6" w:rsidP="001674B9">
      <w:pPr>
        <w:ind w:left="709" w:hanging="709"/>
        <w:rPr>
          <w:sz w:val="24"/>
          <w:szCs w:val="24"/>
        </w:rPr>
      </w:pPr>
    </w:p>
    <w:p w14:paraId="272F5F32" w14:textId="77777777" w:rsidR="00414CE6" w:rsidRDefault="00414CE6" w:rsidP="001674B9">
      <w:pPr>
        <w:ind w:left="709" w:hanging="709"/>
        <w:rPr>
          <w:sz w:val="24"/>
          <w:szCs w:val="24"/>
        </w:rPr>
      </w:pPr>
    </w:p>
    <w:p w14:paraId="5F63B709" w14:textId="77777777" w:rsidR="00414CE6" w:rsidRDefault="00414CE6" w:rsidP="001674B9">
      <w:pPr>
        <w:ind w:left="709" w:hanging="709"/>
        <w:rPr>
          <w:sz w:val="24"/>
          <w:szCs w:val="24"/>
        </w:rPr>
      </w:pPr>
    </w:p>
    <w:p w14:paraId="0F71C51D" w14:textId="77777777" w:rsidR="00414CE6" w:rsidRDefault="00414CE6" w:rsidP="001674B9">
      <w:pPr>
        <w:ind w:left="709" w:hanging="709"/>
        <w:rPr>
          <w:sz w:val="24"/>
          <w:szCs w:val="24"/>
        </w:rPr>
      </w:pPr>
    </w:p>
    <w:p w14:paraId="1AA3B225" w14:textId="77777777" w:rsidR="00414CE6" w:rsidRDefault="00414CE6" w:rsidP="001674B9">
      <w:pPr>
        <w:ind w:left="709" w:hanging="709"/>
        <w:rPr>
          <w:sz w:val="24"/>
          <w:szCs w:val="24"/>
        </w:rPr>
      </w:pPr>
    </w:p>
    <w:p w14:paraId="14F5E94B" w14:textId="77777777" w:rsidR="00414CE6" w:rsidRDefault="00414CE6" w:rsidP="001674B9">
      <w:pPr>
        <w:ind w:left="709" w:hanging="709"/>
        <w:rPr>
          <w:sz w:val="24"/>
          <w:szCs w:val="24"/>
        </w:rPr>
      </w:pPr>
    </w:p>
    <w:p w14:paraId="3903B066" w14:textId="77777777" w:rsidR="00414CE6" w:rsidRDefault="00414CE6" w:rsidP="001674B9">
      <w:pPr>
        <w:ind w:left="709" w:hanging="709"/>
        <w:rPr>
          <w:sz w:val="24"/>
          <w:szCs w:val="24"/>
        </w:rPr>
      </w:pPr>
    </w:p>
    <w:p w14:paraId="5D92FDD6" w14:textId="77777777" w:rsidR="006104FA" w:rsidRDefault="006104FA" w:rsidP="001674B9">
      <w:pPr>
        <w:ind w:left="709" w:hanging="709"/>
        <w:rPr>
          <w:sz w:val="24"/>
          <w:szCs w:val="24"/>
        </w:rPr>
      </w:pPr>
    </w:p>
    <w:p w14:paraId="6B20F134" w14:textId="77777777" w:rsidR="006104FA" w:rsidRDefault="006104FA" w:rsidP="001674B9">
      <w:pPr>
        <w:ind w:left="709" w:hanging="709"/>
        <w:rPr>
          <w:sz w:val="24"/>
          <w:szCs w:val="24"/>
        </w:rPr>
      </w:pPr>
    </w:p>
    <w:p w14:paraId="69D23865" w14:textId="77777777" w:rsidR="00A86597" w:rsidRDefault="00A86597" w:rsidP="001674B9">
      <w:pPr>
        <w:ind w:left="709" w:hanging="709"/>
        <w:rPr>
          <w:sz w:val="24"/>
          <w:szCs w:val="24"/>
        </w:rPr>
      </w:pPr>
    </w:p>
    <w:p w14:paraId="40CA7919" w14:textId="77777777" w:rsidR="00A86597" w:rsidRDefault="00A86597" w:rsidP="001674B9">
      <w:pPr>
        <w:ind w:left="709" w:hanging="709"/>
        <w:rPr>
          <w:sz w:val="24"/>
          <w:szCs w:val="24"/>
        </w:rPr>
      </w:pPr>
    </w:p>
    <w:p w14:paraId="329477F8" w14:textId="77777777" w:rsidR="00A86597" w:rsidRDefault="00A86597" w:rsidP="001674B9">
      <w:pPr>
        <w:ind w:left="709" w:hanging="709"/>
        <w:rPr>
          <w:sz w:val="24"/>
          <w:szCs w:val="24"/>
        </w:rPr>
      </w:pPr>
    </w:p>
    <w:p w14:paraId="04CB2E4D" w14:textId="77777777" w:rsidR="006104FA" w:rsidRDefault="006104FA" w:rsidP="001674B9">
      <w:pPr>
        <w:ind w:left="709" w:hanging="709"/>
        <w:rPr>
          <w:sz w:val="24"/>
          <w:szCs w:val="24"/>
        </w:rPr>
      </w:pPr>
    </w:p>
    <w:p w14:paraId="01BC0536" w14:textId="77777777" w:rsidR="006104FA" w:rsidRDefault="006104FA" w:rsidP="001674B9">
      <w:pPr>
        <w:ind w:left="709" w:hanging="709"/>
        <w:rPr>
          <w:sz w:val="24"/>
          <w:szCs w:val="24"/>
        </w:rPr>
      </w:pPr>
    </w:p>
    <w:p w14:paraId="252095CD" w14:textId="77777777" w:rsidR="00414CE6" w:rsidRDefault="00414CE6" w:rsidP="001674B9">
      <w:pPr>
        <w:ind w:left="709" w:hanging="709"/>
        <w:rPr>
          <w:sz w:val="24"/>
          <w:szCs w:val="24"/>
        </w:rPr>
      </w:pPr>
    </w:p>
    <w:p w14:paraId="6E1FA141" w14:textId="77777777" w:rsidR="00414CE6" w:rsidRPr="00995BED" w:rsidRDefault="00414CE6" w:rsidP="001674B9">
      <w:pPr>
        <w:ind w:left="709" w:hanging="709"/>
        <w:rPr>
          <w:sz w:val="24"/>
          <w:szCs w:val="24"/>
        </w:rPr>
      </w:pPr>
    </w:p>
    <w:p w14:paraId="4E7A2BE8" w14:textId="77777777" w:rsidR="00406A25" w:rsidRPr="00995BED" w:rsidRDefault="00406A25" w:rsidP="001674B9">
      <w:pPr>
        <w:ind w:left="709" w:hanging="709"/>
        <w:rPr>
          <w:b/>
          <w:sz w:val="24"/>
          <w:szCs w:val="24"/>
        </w:rPr>
      </w:pPr>
      <w:r w:rsidRPr="00995BED">
        <w:rPr>
          <w:b/>
          <w:sz w:val="24"/>
          <w:szCs w:val="24"/>
        </w:rPr>
        <w:lastRenderedPageBreak/>
        <w:t xml:space="preserve">Table </w:t>
      </w:r>
      <w:r w:rsidR="00251DF2" w:rsidRPr="00995BED">
        <w:rPr>
          <w:b/>
          <w:sz w:val="24"/>
          <w:szCs w:val="24"/>
        </w:rPr>
        <w:t>2</w:t>
      </w:r>
      <w:r w:rsidRPr="00995BED">
        <w:rPr>
          <w:b/>
          <w:sz w:val="24"/>
          <w:szCs w:val="24"/>
        </w:rPr>
        <w:t xml:space="preserve"> – Worst Case Scenario</w:t>
      </w:r>
      <w:r w:rsidR="00331413" w:rsidRPr="00995BED">
        <w:rPr>
          <w:b/>
          <w:sz w:val="24"/>
          <w:szCs w:val="24"/>
        </w:rPr>
        <w:t xml:space="preserve"> 2.95 % Council Tax increase </w:t>
      </w:r>
    </w:p>
    <w:p w14:paraId="3FF32F55" w14:textId="77777777" w:rsidR="00406A25" w:rsidRPr="00995BED" w:rsidRDefault="00406A25" w:rsidP="00406A25">
      <w:pPr>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110"/>
        <w:gridCol w:w="1276"/>
        <w:gridCol w:w="1215"/>
        <w:gridCol w:w="1215"/>
        <w:gridCol w:w="1303"/>
      </w:tblGrid>
      <w:tr w:rsidR="00EC77F0" w:rsidRPr="00995BED" w14:paraId="607770C9" w14:textId="77777777" w:rsidTr="00AB3F40">
        <w:tc>
          <w:tcPr>
            <w:tcW w:w="2584" w:type="dxa"/>
            <w:tcBorders>
              <w:bottom w:val="single" w:sz="4" w:space="0" w:color="auto"/>
            </w:tcBorders>
            <w:shd w:val="clear" w:color="auto" w:fill="D9D9D9"/>
          </w:tcPr>
          <w:p w14:paraId="6F6BB7BA" w14:textId="77777777" w:rsidR="00EC77F0" w:rsidRPr="00995BED" w:rsidRDefault="00EC77F0" w:rsidP="00064A5A">
            <w:pPr>
              <w:rPr>
                <w:sz w:val="24"/>
                <w:szCs w:val="24"/>
              </w:rPr>
            </w:pPr>
          </w:p>
        </w:tc>
        <w:tc>
          <w:tcPr>
            <w:tcW w:w="1110" w:type="dxa"/>
            <w:tcBorders>
              <w:bottom w:val="single" w:sz="4" w:space="0" w:color="auto"/>
            </w:tcBorders>
            <w:shd w:val="clear" w:color="auto" w:fill="D9D9D9"/>
          </w:tcPr>
          <w:p w14:paraId="12745156" w14:textId="77777777" w:rsidR="00EC77F0" w:rsidRPr="00995BED" w:rsidRDefault="00EC77F0" w:rsidP="00064A5A">
            <w:pPr>
              <w:jc w:val="center"/>
              <w:rPr>
                <w:b/>
                <w:sz w:val="24"/>
                <w:szCs w:val="24"/>
              </w:rPr>
            </w:pPr>
            <w:r w:rsidRPr="00995BED">
              <w:rPr>
                <w:b/>
                <w:sz w:val="24"/>
                <w:szCs w:val="24"/>
              </w:rPr>
              <w:t>2023/24</w:t>
            </w:r>
          </w:p>
          <w:p w14:paraId="1360FFF9" w14:textId="77777777" w:rsidR="00EC77F0" w:rsidRPr="00995BED" w:rsidRDefault="00EC77F0" w:rsidP="00064A5A">
            <w:pPr>
              <w:jc w:val="center"/>
              <w:rPr>
                <w:b/>
                <w:sz w:val="24"/>
                <w:szCs w:val="24"/>
              </w:rPr>
            </w:pPr>
            <w:r w:rsidRPr="00995BED">
              <w:rPr>
                <w:b/>
                <w:sz w:val="24"/>
                <w:szCs w:val="24"/>
              </w:rPr>
              <w:t>£’000</w:t>
            </w:r>
          </w:p>
        </w:tc>
        <w:tc>
          <w:tcPr>
            <w:tcW w:w="1276" w:type="dxa"/>
            <w:tcBorders>
              <w:bottom w:val="single" w:sz="4" w:space="0" w:color="auto"/>
            </w:tcBorders>
            <w:shd w:val="clear" w:color="auto" w:fill="D9D9D9"/>
          </w:tcPr>
          <w:p w14:paraId="0B48C1FC" w14:textId="77777777" w:rsidR="00EC77F0" w:rsidRPr="00995BED" w:rsidRDefault="00EC77F0" w:rsidP="00064A5A">
            <w:pPr>
              <w:jc w:val="center"/>
              <w:rPr>
                <w:b/>
                <w:sz w:val="24"/>
                <w:szCs w:val="24"/>
              </w:rPr>
            </w:pPr>
            <w:r w:rsidRPr="00995BED">
              <w:rPr>
                <w:b/>
                <w:sz w:val="24"/>
                <w:szCs w:val="24"/>
              </w:rPr>
              <w:t>2024/25</w:t>
            </w:r>
          </w:p>
          <w:p w14:paraId="0146A1D0" w14:textId="77777777" w:rsidR="00EC77F0" w:rsidRPr="00995BED" w:rsidRDefault="00EC77F0" w:rsidP="00064A5A">
            <w:pPr>
              <w:jc w:val="center"/>
              <w:rPr>
                <w:b/>
                <w:sz w:val="24"/>
                <w:szCs w:val="24"/>
              </w:rPr>
            </w:pPr>
            <w:r w:rsidRPr="00995BED">
              <w:rPr>
                <w:b/>
                <w:sz w:val="24"/>
                <w:szCs w:val="24"/>
              </w:rPr>
              <w:t>£’000</w:t>
            </w:r>
          </w:p>
        </w:tc>
        <w:tc>
          <w:tcPr>
            <w:tcW w:w="1215" w:type="dxa"/>
            <w:tcBorders>
              <w:bottom w:val="single" w:sz="4" w:space="0" w:color="auto"/>
            </w:tcBorders>
            <w:shd w:val="clear" w:color="auto" w:fill="D9D9D9"/>
          </w:tcPr>
          <w:p w14:paraId="0DBA640F" w14:textId="77777777" w:rsidR="00EC77F0" w:rsidRPr="00995BED" w:rsidRDefault="00EC77F0" w:rsidP="00064A5A">
            <w:pPr>
              <w:jc w:val="center"/>
              <w:rPr>
                <w:b/>
                <w:sz w:val="24"/>
                <w:szCs w:val="24"/>
              </w:rPr>
            </w:pPr>
            <w:r w:rsidRPr="00995BED">
              <w:rPr>
                <w:b/>
                <w:sz w:val="24"/>
                <w:szCs w:val="24"/>
              </w:rPr>
              <w:t>2025/26</w:t>
            </w:r>
          </w:p>
          <w:p w14:paraId="429D4F78" w14:textId="77777777" w:rsidR="00EC77F0" w:rsidRPr="00995BED" w:rsidRDefault="00EC77F0" w:rsidP="00064A5A">
            <w:pPr>
              <w:jc w:val="center"/>
              <w:rPr>
                <w:b/>
                <w:sz w:val="24"/>
                <w:szCs w:val="24"/>
              </w:rPr>
            </w:pPr>
            <w:r w:rsidRPr="00995BED">
              <w:rPr>
                <w:b/>
                <w:sz w:val="24"/>
                <w:szCs w:val="24"/>
              </w:rPr>
              <w:t>£’000</w:t>
            </w:r>
          </w:p>
        </w:tc>
        <w:tc>
          <w:tcPr>
            <w:tcW w:w="1215" w:type="dxa"/>
            <w:tcBorders>
              <w:bottom w:val="single" w:sz="4" w:space="0" w:color="auto"/>
            </w:tcBorders>
            <w:shd w:val="clear" w:color="auto" w:fill="D9D9D9"/>
          </w:tcPr>
          <w:p w14:paraId="27FE8088" w14:textId="77777777" w:rsidR="00EC77F0" w:rsidRPr="00995BED" w:rsidRDefault="00EC77F0" w:rsidP="00064A5A">
            <w:pPr>
              <w:jc w:val="center"/>
              <w:rPr>
                <w:b/>
                <w:sz w:val="24"/>
                <w:szCs w:val="24"/>
              </w:rPr>
            </w:pPr>
            <w:r w:rsidRPr="00995BED">
              <w:rPr>
                <w:b/>
                <w:sz w:val="24"/>
                <w:szCs w:val="24"/>
              </w:rPr>
              <w:t>2026/27</w:t>
            </w:r>
          </w:p>
          <w:p w14:paraId="6995999A" w14:textId="77777777" w:rsidR="00EC77F0" w:rsidRPr="00995BED" w:rsidRDefault="00EC77F0" w:rsidP="00064A5A">
            <w:pPr>
              <w:jc w:val="center"/>
              <w:rPr>
                <w:b/>
                <w:sz w:val="24"/>
                <w:szCs w:val="24"/>
              </w:rPr>
            </w:pPr>
            <w:r w:rsidRPr="00995BED">
              <w:rPr>
                <w:b/>
                <w:sz w:val="24"/>
                <w:szCs w:val="24"/>
              </w:rPr>
              <w:t>£’000</w:t>
            </w:r>
          </w:p>
        </w:tc>
        <w:tc>
          <w:tcPr>
            <w:tcW w:w="1303" w:type="dxa"/>
            <w:tcBorders>
              <w:bottom w:val="single" w:sz="4" w:space="0" w:color="auto"/>
            </w:tcBorders>
            <w:shd w:val="clear" w:color="auto" w:fill="D9D9D9"/>
          </w:tcPr>
          <w:p w14:paraId="2B328BA1" w14:textId="77777777" w:rsidR="00EC77F0" w:rsidRPr="00995BED" w:rsidRDefault="00EC77F0" w:rsidP="00064A5A">
            <w:pPr>
              <w:jc w:val="center"/>
              <w:rPr>
                <w:b/>
                <w:sz w:val="24"/>
                <w:szCs w:val="24"/>
              </w:rPr>
            </w:pPr>
            <w:r w:rsidRPr="00995BED">
              <w:rPr>
                <w:b/>
                <w:sz w:val="24"/>
                <w:szCs w:val="24"/>
              </w:rPr>
              <w:t>2027/28</w:t>
            </w:r>
          </w:p>
          <w:p w14:paraId="4D235B6E" w14:textId="77777777" w:rsidR="00EC77F0" w:rsidRPr="00995BED" w:rsidRDefault="00EC77F0" w:rsidP="00064A5A">
            <w:pPr>
              <w:jc w:val="center"/>
              <w:rPr>
                <w:b/>
                <w:sz w:val="24"/>
                <w:szCs w:val="24"/>
              </w:rPr>
            </w:pPr>
            <w:r w:rsidRPr="00995BED">
              <w:rPr>
                <w:b/>
                <w:sz w:val="24"/>
                <w:szCs w:val="24"/>
              </w:rPr>
              <w:t>£’000</w:t>
            </w:r>
          </w:p>
        </w:tc>
      </w:tr>
      <w:tr w:rsidR="00D57A04" w:rsidRPr="00995BED" w14:paraId="14375F45" w14:textId="77777777" w:rsidTr="00AB3F40">
        <w:tc>
          <w:tcPr>
            <w:tcW w:w="2584" w:type="dxa"/>
            <w:shd w:val="clear" w:color="auto" w:fill="auto"/>
          </w:tcPr>
          <w:p w14:paraId="612EC973" w14:textId="77777777" w:rsidR="00D57A04" w:rsidRPr="00995BED" w:rsidRDefault="00D57A04" w:rsidP="00D57A04">
            <w:pPr>
              <w:rPr>
                <w:sz w:val="24"/>
                <w:szCs w:val="24"/>
              </w:rPr>
            </w:pPr>
            <w:r>
              <w:rPr>
                <w:sz w:val="24"/>
                <w:szCs w:val="24"/>
              </w:rPr>
              <w:t xml:space="preserve">Estimated spend. </w:t>
            </w:r>
          </w:p>
          <w:p w14:paraId="5AF33956" w14:textId="77777777" w:rsidR="00D57A04" w:rsidRDefault="00D57A04" w:rsidP="00D57A04">
            <w:pPr>
              <w:rPr>
                <w:sz w:val="24"/>
                <w:szCs w:val="24"/>
              </w:rPr>
            </w:pPr>
            <w:r>
              <w:rPr>
                <w:sz w:val="24"/>
                <w:szCs w:val="24"/>
              </w:rPr>
              <w:t>Finance Challenge</w:t>
            </w:r>
          </w:p>
          <w:p w14:paraId="3FEB7C0C" w14:textId="77777777" w:rsidR="00D57A04" w:rsidRPr="00995BED" w:rsidRDefault="00D57A04" w:rsidP="00D57A04">
            <w:pPr>
              <w:rPr>
                <w:sz w:val="24"/>
                <w:szCs w:val="24"/>
              </w:rPr>
            </w:pPr>
            <w:r>
              <w:rPr>
                <w:sz w:val="24"/>
                <w:szCs w:val="24"/>
              </w:rPr>
              <w:t>Budget Requirement</w:t>
            </w:r>
          </w:p>
        </w:tc>
        <w:tc>
          <w:tcPr>
            <w:tcW w:w="1110" w:type="dxa"/>
          </w:tcPr>
          <w:p w14:paraId="4802B01A" w14:textId="77777777" w:rsidR="00D57A04" w:rsidRDefault="00D57A04" w:rsidP="00D57A04">
            <w:pPr>
              <w:jc w:val="right"/>
              <w:rPr>
                <w:sz w:val="24"/>
                <w:szCs w:val="24"/>
              </w:rPr>
            </w:pPr>
          </w:p>
          <w:p w14:paraId="2A2AA3D2" w14:textId="77777777" w:rsidR="00D57A04" w:rsidRDefault="00D57A04" w:rsidP="00D57A04">
            <w:pPr>
              <w:jc w:val="right"/>
              <w:rPr>
                <w:sz w:val="24"/>
                <w:szCs w:val="24"/>
              </w:rPr>
            </w:pPr>
          </w:p>
          <w:p w14:paraId="40DB88FA" w14:textId="77777777" w:rsidR="00D57A04" w:rsidRPr="00995BED" w:rsidRDefault="00D57A04" w:rsidP="00D57A04">
            <w:pPr>
              <w:jc w:val="right"/>
              <w:rPr>
                <w:sz w:val="24"/>
                <w:szCs w:val="24"/>
              </w:rPr>
            </w:pPr>
            <w:r w:rsidRPr="00995BED">
              <w:rPr>
                <w:sz w:val="24"/>
                <w:szCs w:val="24"/>
              </w:rPr>
              <w:t>49,965</w:t>
            </w:r>
          </w:p>
        </w:tc>
        <w:tc>
          <w:tcPr>
            <w:tcW w:w="1276" w:type="dxa"/>
            <w:shd w:val="clear" w:color="auto" w:fill="auto"/>
          </w:tcPr>
          <w:p w14:paraId="4122C8EB" w14:textId="77777777" w:rsidR="00D57A04" w:rsidRDefault="00D57A04" w:rsidP="00D57A04">
            <w:pPr>
              <w:jc w:val="right"/>
              <w:rPr>
                <w:sz w:val="24"/>
                <w:szCs w:val="24"/>
              </w:rPr>
            </w:pPr>
            <w:r>
              <w:rPr>
                <w:sz w:val="24"/>
                <w:szCs w:val="24"/>
              </w:rPr>
              <w:t>52,836</w:t>
            </w:r>
          </w:p>
          <w:p w14:paraId="6E82C100" w14:textId="77777777" w:rsidR="00D57A04" w:rsidRDefault="00D57A04" w:rsidP="00D57A04">
            <w:pPr>
              <w:jc w:val="right"/>
              <w:rPr>
                <w:sz w:val="24"/>
                <w:szCs w:val="24"/>
              </w:rPr>
            </w:pPr>
            <w:r>
              <w:rPr>
                <w:sz w:val="24"/>
                <w:szCs w:val="24"/>
              </w:rPr>
              <w:t>(200)</w:t>
            </w:r>
          </w:p>
          <w:p w14:paraId="293310D7" w14:textId="77777777" w:rsidR="00D57A04" w:rsidRPr="00995BED" w:rsidRDefault="00D57A04" w:rsidP="00D57A04">
            <w:pPr>
              <w:jc w:val="right"/>
              <w:rPr>
                <w:sz w:val="24"/>
                <w:szCs w:val="24"/>
              </w:rPr>
            </w:pPr>
            <w:r w:rsidRPr="00995BED">
              <w:rPr>
                <w:sz w:val="24"/>
                <w:szCs w:val="24"/>
              </w:rPr>
              <w:t xml:space="preserve">52,636   </w:t>
            </w:r>
          </w:p>
        </w:tc>
        <w:tc>
          <w:tcPr>
            <w:tcW w:w="1215" w:type="dxa"/>
            <w:shd w:val="clear" w:color="auto" w:fill="auto"/>
          </w:tcPr>
          <w:p w14:paraId="2719DB0E" w14:textId="77777777" w:rsidR="00D57A04" w:rsidRDefault="00D57A04" w:rsidP="00D57A04">
            <w:pPr>
              <w:jc w:val="right"/>
              <w:rPr>
                <w:sz w:val="24"/>
                <w:szCs w:val="24"/>
              </w:rPr>
            </w:pPr>
            <w:r>
              <w:rPr>
                <w:sz w:val="24"/>
                <w:szCs w:val="24"/>
              </w:rPr>
              <w:t>55,711</w:t>
            </w:r>
          </w:p>
          <w:p w14:paraId="25F55E7C" w14:textId="77777777" w:rsidR="00D57A04" w:rsidRDefault="00D57A04" w:rsidP="00D57A04">
            <w:pPr>
              <w:jc w:val="right"/>
              <w:rPr>
                <w:sz w:val="24"/>
                <w:szCs w:val="24"/>
              </w:rPr>
            </w:pPr>
            <w:r>
              <w:rPr>
                <w:sz w:val="24"/>
                <w:szCs w:val="24"/>
              </w:rPr>
              <w:t>(200)</w:t>
            </w:r>
          </w:p>
          <w:p w14:paraId="51368FF1" w14:textId="77777777" w:rsidR="00D57A04" w:rsidRPr="00995BED" w:rsidRDefault="00D57A04" w:rsidP="00D57A04">
            <w:pPr>
              <w:jc w:val="right"/>
              <w:rPr>
                <w:sz w:val="24"/>
                <w:szCs w:val="24"/>
              </w:rPr>
            </w:pPr>
            <w:r w:rsidRPr="00995BED">
              <w:rPr>
                <w:sz w:val="24"/>
                <w:szCs w:val="24"/>
              </w:rPr>
              <w:t>55,511</w:t>
            </w:r>
          </w:p>
          <w:p w14:paraId="353CE2AC" w14:textId="77777777" w:rsidR="00D57A04" w:rsidRPr="00995BED" w:rsidRDefault="00D57A04" w:rsidP="00D57A04">
            <w:pPr>
              <w:jc w:val="right"/>
              <w:rPr>
                <w:sz w:val="24"/>
                <w:szCs w:val="24"/>
              </w:rPr>
            </w:pPr>
          </w:p>
        </w:tc>
        <w:tc>
          <w:tcPr>
            <w:tcW w:w="1215" w:type="dxa"/>
            <w:shd w:val="clear" w:color="auto" w:fill="auto"/>
          </w:tcPr>
          <w:p w14:paraId="7BD0BD51" w14:textId="77777777" w:rsidR="00D57A04" w:rsidRDefault="00D57A04" w:rsidP="00D57A04">
            <w:pPr>
              <w:jc w:val="right"/>
              <w:rPr>
                <w:sz w:val="24"/>
                <w:szCs w:val="24"/>
              </w:rPr>
            </w:pPr>
            <w:r>
              <w:rPr>
                <w:sz w:val="24"/>
                <w:szCs w:val="24"/>
              </w:rPr>
              <w:t>56,</w:t>
            </w:r>
            <w:r w:rsidR="000C62AA">
              <w:rPr>
                <w:sz w:val="24"/>
                <w:szCs w:val="24"/>
              </w:rPr>
              <w:t>7</w:t>
            </w:r>
            <w:r>
              <w:rPr>
                <w:sz w:val="24"/>
                <w:szCs w:val="24"/>
              </w:rPr>
              <w:t>54</w:t>
            </w:r>
          </w:p>
          <w:p w14:paraId="11FBCEA8" w14:textId="77777777" w:rsidR="00D57A04" w:rsidRDefault="00D57A04" w:rsidP="00D57A04">
            <w:pPr>
              <w:jc w:val="right"/>
              <w:rPr>
                <w:sz w:val="24"/>
                <w:szCs w:val="24"/>
              </w:rPr>
            </w:pPr>
            <w:r>
              <w:rPr>
                <w:sz w:val="24"/>
                <w:szCs w:val="24"/>
              </w:rPr>
              <w:t>(200)</w:t>
            </w:r>
          </w:p>
          <w:p w14:paraId="0433AAD2" w14:textId="77777777" w:rsidR="00D57A04" w:rsidRPr="00995BED" w:rsidRDefault="00D57A04" w:rsidP="00D57A04">
            <w:pPr>
              <w:jc w:val="right"/>
              <w:rPr>
                <w:sz w:val="24"/>
                <w:szCs w:val="24"/>
              </w:rPr>
            </w:pPr>
            <w:r w:rsidRPr="00995BED">
              <w:rPr>
                <w:sz w:val="24"/>
                <w:szCs w:val="24"/>
              </w:rPr>
              <w:t>56,554</w:t>
            </w:r>
          </w:p>
        </w:tc>
        <w:tc>
          <w:tcPr>
            <w:tcW w:w="1303" w:type="dxa"/>
            <w:shd w:val="clear" w:color="auto" w:fill="auto"/>
          </w:tcPr>
          <w:p w14:paraId="4D2CFF13" w14:textId="77777777" w:rsidR="00D57A04" w:rsidRDefault="00D57A04" w:rsidP="00D57A04">
            <w:pPr>
              <w:jc w:val="right"/>
              <w:rPr>
                <w:sz w:val="24"/>
                <w:szCs w:val="24"/>
              </w:rPr>
            </w:pPr>
            <w:r>
              <w:rPr>
                <w:sz w:val="24"/>
                <w:szCs w:val="24"/>
              </w:rPr>
              <w:t>57,877</w:t>
            </w:r>
          </w:p>
          <w:p w14:paraId="52424C00" w14:textId="77777777" w:rsidR="00D57A04" w:rsidRDefault="00D57A04" w:rsidP="00D57A04">
            <w:pPr>
              <w:jc w:val="right"/>
              <w:rPr>
                <w:sz w:val="24"/>
                <w:szCs w:val="24"/>
              </w:rPr>
            </w:pPr>
            <w:r>
              <w:rPr>
                <w:sz w:val="24"/>
                <w:szCs w:val="24"/>
              </w:rPr>
              <w:t>(200)</w:t>
            </w:r>
          </w:p>
          <w:p w14:paraId="546A7C82" w14:textId="77777777" w:rsidR="00D57A04" w:rsidRPr="00995BED" w:rsidRDefault="00D57A04" w:rsidP="00D57A04">
            <w:pPr>
              <w:jc w:val="right"/>
              <w:rPr>
                <w:sz w:val="24"/>
                <w:szCs w:val="24"/>
              </w:rPr>
            </w:pPr>
            <w:r w:rsidRPr="00995BED">
              <w:rPr>
                <w:sz w:val="24"/>
                <w:szCs w:val="24"/>
              </w:rPr>
              <w:t>57,677</w:t>
            </w:r>
          </w:p>
        </w:tc>
      </w:tr>
      <w:tr w:rsidR="00D57A04" w:rsidRPr="00995BED" w14:paraId="0FE82915" w14:textId="77777777" w:rsidTr="00AB3F40">
        <w:tc>
          <w:tcPr>
            <w:tcW w:w="2584" w:type="dxa"/>
            <w:shd w:val="clear" w:color="auto" w:fill="auto"/>
          </w:tcPr>
          <w:p w14:paraId="2B4E9DF4" w14:textId="77777777" w:rsidR="00D57A04" w:rsidRPr="00995BED" w:rsidRDefault="00D57A04" w:rsidP="00D57A04">
            <w:pPr>
              <w:rPr>
                <w:sz w:val="24"/>
                <w:szCs w:val="24"/>
              </w:rPr>
            </w:pPr>
            <w:r w:rsidRPr="00995BED">
              <w:rPr>
                <w:sz w:val="24"/>
                <w:szCs w:val="24"/>
              </w:rPr>
              <w:t>Revenue Support Grant (RSG)</w:t>
            </w:r>
          </w:p>
        </w:tc>
        <w:tc>
          <w:tcPr>
            <w:tcW w:w="1110" w:type="dxa"/>
          </w:tcPr>
          <w:p w14:paraId="020E62DA" w14:textId="77777777" w:rsidR="00D57A04" w:rsidRPr="00995BED" w:rsidRDefault="00D57A04" w:rsidP="00D57A04">
            <w:pPr>
              <w:jc w:val="right"/>
              <w:rPr>
                <w:sz w:val="24"/>
                <w:szCs w:val="24"/>
              </w:rPr>
            </w:pPr>
            <w:r w:rsidRPr="00995BED">
              <w:rPr>
                <w:sz w:val="24"/>
                <w:szCs w:val="24"/>
              </w:rPr>
              <w:t>(6,189)</w:t>
            </w:r>
          </w:p>
        </w:tc>
        <w:tc>
          <w:tcPr>
            <w:tcW w:w="1276" w:type="dxa"/>
            <w:shd w:val="clear" w:color="auto" w:fill="auto"/>
          </w:tcPr>
          <w:p w14:paraId="7CF2E410" w14:textId="77777777" w:rsidR="00D57A04" w:rsidRPr="00995BED" w:rsidRDefault="00D57A04" w:rsidP="00D57A04">
            <w:pPr>
              <w:jc w:val="right"/>
              <w:rPr>
                <w:sz w:val="24"/>
                <w:szCs w:val="24"/>
              </w:rPr>
            </w:pPr>
            <w:r w:rsidRPr="00995BED">
              <w:rPr>
                <w:sz w:val="24"/>
                <w:szCs w:val="24"/>
              </w:rPr>
              <w:t>(6,599)</w:t>
            </w:r>
          </w:p>
        </w:tc>
        <w:tc>
          <w:tcPr>
            <w:tcW w:w="1215" w:type="dxa"/>
          </w:tcPr>
          <w:p w14:paraId="0D2433BA" w14:textId="77777777" w:rsidR="00D57A04" w:rsidRPr="00995BED" w:rsidRDefault="00D57A04" w:rsidP="00D57A04">
            <w:pPr>
              <w:jc w:val="right"/>
              <w:rPr>
                <w:sz w:val="24"/>
                <w:szCs w:val="24"/>
              </w:rPr>
            </w:pPr>
            <w:r w:rsidRPr="00995BED">
              <w:rPr>
                <w:sz w:val="24"/>
                <w:szCs w:val="24"/>
              </w:rPr>
              <w:t>(6,677)</w:t>
            </w:r>
          </w:p>
        </w:tc>
        <w:tc>
          <w:tcPr>
            <w:tcW w:w="1215" w:type="dxa"/>
          </w:tcPr>
          <w:p w14:paraId="40E11EFE" w14:textId="77777777" w:rsidR="00D57A04" w:rsidRPr="00995BED" w:rsidRDefault="00D57A04" w:rsidP="00D57A04">
            <w:pPr>
              <w:jc w:val="right"/>
              <w:rPr>
                <w:sz w:val="24"/>
                <w:szCs w:val="24"/>
              </w:rPr>
            </w:pPr>
            <w:r w:rsidRPr="00995BED">
              <w:rPr>
                <w:sz w:val="24"/>
                <w:szCs w:val="24"/>
              </w:rPr>
              <w:t>(6,927)</w:t>
            </w:r>
          </w:p>
        </w:tc>
        <w:tc>
          <w:tcPr>
            <w:tcW w:w="1303" w:type="dxa"/>
          </w:tcPr>
          <w:p w14:paraId="176EC780" w14:textId="77777777" w:rsidR="00D57A04" w:rsidRPr="00995BED" w:rsidRDefault="00D57A04" w:rsidP="00D57A04">
            <w:pPr>
              <w:jc w:val="right"/>
              <w:rPr>
                <w:sz w:val="24"/>
                <w:szCs w:val="24"/>
              </w:rPr>
            </w:pPr>
            <w:r w:rsidRPr="00995BED">
              <w:rPr>
                <w:sz w:val="24"/>
                <w:szCs w:val="24"/>
              </w:rPr>
              <w:t>(7,065)</w:t>
            </w:r>
          </w:p>
        </w:tc>
      </w:tr>
      <w:tr w:rsidR="00D57A04" w:rsidRPr="00995BED" w14:paraId="15ADE3FD" w14:textId="77777777" w:rsidTr="00AB3F40">
        <w:tc>
          <w:tcPr>
            <w:tcW w:w="2584" w:type="dxa"/>
            <w:shd w:val="clear" w:color="auto" w:fill="auto"/>
          </w:tcPr>
          <w:p w14:paraId="587CCB37" w14:textId="77777777" w:rsidR="00D57A04" w:rsidRPr="00995BED" w:rsidRDefault="00D57A04" w:rsidP="00D57A04">
            <w:pPr>
              <w:rPr>
                <w:sz w:val="24"/>
                <w:szCs w:val="24"/>
              </w:rPr>
            </w:pPr>
            <w:r w:rsidRPr="00995BED">
              <w:rPr>
                <w:sz w:val="24"/>
                <w:szCs w:val="24"/>
              </w:rPr>
              <w:t>Business Rate (BR) Income</w:t>
            </w:r>
          </w:p>
        </w:tc>
        <w:tc>
          <w:tcPr>
            <w:tcW w:w="1110" w:type="dxa"/>
          </w:tcPr>
          <w:p w14:paraId="468CECD9"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(3,649)</w:t>
            </w:r>
          </w:p>
        </w:tc>
        <w:tc>
          <w:tcPr>
            <w:tcW w:w="1276" w:type="dxa"/>
            <w:shd w:val="clear" w:color="auto" w:fill="auto"/>
          </w:tcPr>
          <w:p w14:paraId="276721F1"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(3,613)</w:t>
            </w:r>
          </w:p>
        </w:tc>
        <w:tc>
          <w:tcPr>
            <w:tcW w:w="1215" w:type="dxa"/>
          </w:tcPr>
          <w:p w14:paraId="3A8DDD9D"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(3,722)</w:t>
            </w:r>
          </w:p>
        </w:tc>
        <w:tc>
          <w:tcPr>
            <w:tcW w:w="1215" w:type="dxa"/>
          </w:tcPr>
          <w:p w14:paraId="6F7B9950"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(4,176)</w:t>
            </w:r>
          </w:p>
        </w:tc>
        <w:tc>
          <w:tcPr>
            <w:tcW w:w="1303" w:type="dxa"/>
          </w:tcPr>
          <w:p w14:paraId="73B584A0"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(4,294)</w:t>
            </w:r>
          </w:p>
        </w:tc>
      </w:tr>
      <w:tr w:rsidR="00D57A04" w:rsidRPr="00995BED" w14:paraId="70622F0F" w14:textId="77777777" w:rsidTr="00AB3F40">
        <w:tc>
          <w:tcPr>
            <w:tcW w:w="2584" w:type="dxa"/>
            <w:shd w:val="clear" w:color="auto" w:fill="auto"/>
          </w:tcPr>
          <w:p w14:paraId="4B10301C" w14:textId="77777777" w:rsidR="00D57A04" w:rsidRPr="00995BED" w:rsidRDefault="00D57A04" w:rsidP="00D57A04">
            <w:pPr>
              <w:rPr>
                <w:sz w:val="24"/>
                <w:szCs w:val="24"/>
              </w:rPr>
            </w:pPr>
            <w:r w:rsidRPr="00995BED">
              <w:rPr>
                <w:sz w:val="24"/>
                <w:szCs w:val="24"/>
              </w:rPr>
              <w:t>Pension Grant</w:t>
            </w:r>
          </w:p>
        </w:tc>
        <w:tc>
          <w:tcPr>
            <w:tcW w:w="1110" w:type="dxa"/>
          </w:tcPr>
          <w:p w14:paraId="47127BC9"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(2,340)</w:t>
            </w:r>
          </w:p>
        </w:tc>
        <w:tc>
          <w:tcPr>
            <w:tcW w:w="1276" w:type="dxa"/>
            <w:shd w:val="clear" w:color="auto" w:fill="auto"/>
          </w:tcPr>
          <w:p w14:paraId="2B23B127"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(2,340)</w:t>
            </w:r>
          </w:p>
        </w:tc>
        <w:tc>
          <w:tcPr>
            <w:tcW w:w="1215" w:type="dxa"/>
          </w:tcPr>
          <w:p w14:paraId="134FE48F"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(2,340)</w:t>
            </w:r>
          </w:p>
        </w:tc>
        <w:tc>
          <w:tcPr>
            <w:tcW w:w="1215" w:type="dxa"/>
          </w:tcPr>
          <w:p w14:paraId="7B000F0C"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(2,340)</w:t>
            </w:r>
          </w:p>
        </w:tc>
        <w:tc>
          <w:tcPr>
            <w:tcW w:w="1303" w:type="dxa"/>
          </w:tcPr>
          <w:p w14:paraId="4C4E3C0A"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(2,480)</w:t>
            </w:r>
          </w:p>
        </w:tc>
      </w:tr>
      <w:tr w:rsidR="00D57A04" w:rsidRPr="00995BED" w14:paraId="098111C2" w14:textId="77777777" w:rsidTr="00AB3F40">
        <w:tc>
          <w:tcPr>
            <w:tcW w:w="2584" w:type="dxa"/>
            <w:shd w:val="clear" w:color="auto" w:fill="auto"/>
          </w:tcPr>
          <w:p w14:paraId="01B45414" w14:textId="77777777" w:rsidR="00D57A04" w:rsidRPr="00995BED" w:rsidRDefault="00D57A04" w:rsidP="00D57A04">
            <w:pPr>
              <w:rPr>
                <w:sz w:val="24"/>
                <w:szCs w:val="24"/>
              </w:rPr>
            </w:pPr>
            <w:r w:rsidRPr="00995BED">
              <w:rPr>
                <w:sz w:val="24"/>
                <w:szCs w:val="24"/>
              </w:rPr>
              <w:t>BR Top up Grant</w:t>
            </w:r>
          </w:p>
        </w:tc>
        <w:tc>
          <w:tcPr>
            <w:tcW w:w="1110" w:type="dxa"/>
          </w:tcPr>
          <w:p w14:paraId="7E0A4007"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(7,638)</w:t>
            </w:r>
          </w:p>
        </w:tc>
        <w:tc>
          <w:tcPr>
            <w:tcW w:w="1276" w:type="dxa"/>
            <w:shd w:val="clear" w:color="auto" w:fill="auto"/>
          </w:tcPr>
          <w:p w14:paraId="6A4758A9"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(7,653)</w:t>
            </w:r>
          </w:p>
        </w:tc>
        <w:tc>
          <w:tcPr>
            <w:tcW w:w="1215" w:type="dxa"/>
          </w:tcPr>
          <w:p w14:paraId="4E212F93"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(7,802)</w:t>
            </w:r>
          </w:p>
        </w:tc>
        <w:tc>
          <w:tcPr>
            <w:tcW w:w="1215" w:type="dxa"/>
          </w:tcPr>
          <w:p w14:paraId="6A2AEE9F"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(7,278)</w:t>
            </w:r>
          </w:p>
        </w:tc>
        <w:tc>
          <w:tcPr>
            <w:tcW w:w="1303" w:type="dxa"/>
          </w:tcPr>
          <w:p w14:paraId="0C1129E6"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(7,418)</w:t>
            </w:r>
          </w:p>
        </w:tc>
      </w:tr>
      <w:tr w:rsidR="00D57A04" w:rsidRPr="00995BED" w14:paraId="7FE17F4A" w14:textId="77777777" w:rsidTr="00AB3F40">
        <w:tc>
          <w:tcPr>
            <w:tcW w:w="2584" w:type="dxa"/>
            <w:shd w:val="clear" w:color="auto" w:fill="auto"/>
          </w:tcPr>
          <w:p w14:paraId="3792F19B" w14:textId="77777777" w:rsidR="00D57A04" w:rsidRPr="00995BED" w:rsidRDefault="00D57A04" w:rsidP="00D57A04">
            <w:pPr>
              <w:rPr>
                <w:sz w:val="24"/>
                <w:szCs w:val="24"/>
              </w:rPr>
            </w:pPr>
            <w:r w:rsidRPr="00995BED">
              <w:rPr>
                <w:sz w:val="24"/>
                <w:szCs w:val="24"/>
              </w:rPr>
              <w:t xml:space="preserve">Council Tax (2.95%) </w:t>
            </w:r>
          </w:p>
        </w:tc>
        <w:tc>
          <w:tcPr>
            <w:tcW w:w="1110" w:type="dxa"/>
          </w:tcPr>
          <w:p w14:paraId="1B4B8EA5"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(29,746)</w:t>
            </w:r>
          </w:p>
        </w:tc>
        <w:tc>
          <w:tcPr>
            <w:tcW w:w="1276" w:type="dxa"/>
            <w:shd w:val="clear" w:color="auto" w:fill="auto"/>
          </w:tcPr>
          <w:p w14:paraId="3CAC006C"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(31,036)</w:t>
            </w:r>
          </w:p>
        </w:tc>
        <w:tc>
          <w:tcPr>
            <w:tcW w:w="1215" w:type="dxa"/>
          </w:tcPr>
          <w:p w14:paraId="2D98F6B8"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(32,383)</w:t>
            </w:r>
          </w:p>
        </w:tc>
        <w:tc>
          <w:tcPr>
            <w:tcW w:w="1215" w:type="dxa"/>
          </w:tcPr>
          <w:p w14:paraId="603DAF42"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(33,788)</w:t>
            </w:r>
          </w:p>
        </w:tc>
        <w:tc>
          <w:tcPr>
            <w:tcW w:w="1303" w:type="dxa"/>
          </w:tcPr>
          <w:p w14:paraId="39795C94" w14:textId="77777777" w:rsidR="00D57A04" w:rsidRPr="00995BED" w:rsidRDefault="00D57A04" w:rsidP="00D57A04">
            <w:pPr>
              <w:pStyle w:val="NoSpacing"/>
              <w:jc w:val="right"/>
              <w:rPr>
                <w:rFonts w:ascii="Arial" w:hAnsi="Arial" w:cs="Arial"/>
                <w:sz w:val="24"/>
                <w:szCs w:val="24"/>
              </w:rPr>
            </w:pPr>
            <w:r w:rsidRPr="00995BED">
              <w:rPr>
                <w:rFonts w:ascii="Arial" w:hAnsi="Arial" w:cs="Arial"/>
                <w:sz w:val="24"/>
                <w:szCs w:val="24"/>
              </w:rPr>
              <w:t>(35,253)</w:t>
            </w:r>
          </w:p>
        </w:tc>
      </w:tr>
      <w:tr w:rsidR="00D57A04" w:rsidRPr="00995BED" w14:paraId="58F563F0" w14:textId="77777777" w:rsidTr="00AB3F40">
        <w:tc>
          <w:tcPr>
            <w:tcW w:w="2584" w:type="dxa"/>
            <w:shd w:val="clear" w:color="auto" w:fill="auto"/>
          </w:tcPr>
          <w:p w14:paraId="08DD3ECF" w14:textId="77777777" w:rsidR="00D57A04" w:rsidRPr="00995BED" w:rsidRDefault="00D57A04" w:rsidP="00D57A04">
            <w:pPr>
              <w:rPr>
                <w:sz w:val="24"/>
                <w:szCs w:val="24"/>
              </w:rPr>
            </w:pPr>
          </w:p>
        </w:tc>
        <w:tc>
          <w:tcPr>
            <w:tcW w:w="1110" w:type="dxa"/>
          </w:tcPr>
          <w:p w14:paraId="2ABF47AB" w14:textId="77777777" w:rsidR="00D57A04" w:rsidRPr="00995BED" w:rsidRDefault="00D57A04" w:rsidP="00D57A04">
            <w:pPr>
              <w:jc w:val="right"/>
              <w:rPr>
                <w:sz w:val="24"/>
                <w:szCs w:val="24"/>
              </w:rPr>
            </w:pPr>
          </w:p>
        </w:tc>
        <w:tc>
          <w:tcPr>
            <w:tcW w:w="1276" w:type="dxa"/>
            <w:shd w:val="clear" w:color="auto" w:fill="auto"/>
          </w:tcPr>
          <w:p w14:paraId="072D3501" w14:textId="77777777" w:rsidR="00D57A04" w:rsidRPr="00995BED" w:rsidRDefault="00D57A04" w:rsidP="00D57A04">
            <w:pPr>
              <w:jc w:val="right"/>
              <w:rPr>
                <w:sz w:val="24"/>
                <w:szCs w:val="24"/>
              </w:rPr>
            </w:pPr>
          </w:p>
        </w:tc>
        <w:tc>
          <w:tcPr>
            <w:tcW w:w="1215" w:type="dxa"/>
          </w:tcPr>
          <w:p w14:paraId="6C571E95" w14:textId="77777777" w:rsidR="00D57A04" w:rsidRPr="00995BED" w:rsidRDefault="00D57A04" w:rsidP="00D57A04">
            <w:pPr>
              <w:jc w:val="right"/>
              <w:rPr>
                <w:sz w:val="24"/>
                <w:szCs w:val="24"/>
              </w:rPr>
            </w:pPr>
          </w:p>
        </w:tc>
        <w:tc>
          <w:tcPr>
            <w:tcW w:w="1215" w:type="dxa"/>
          </w:tcPr>
          <w:p w14:paraId="653D354F" w14:textId="77777777" w:rsidR="00D57A04" w:rsidRPr="00995BED" w:rsidRDefault="00D57A04" w:rsidP="00D57A04">
            <w:pPr>
              <w:jc w:val="right"/>
              <w:rPr>
                <w:sz w:val="24"/>
                <w:szCs w:val="24"/>
              </w:rPr>
            </w:pPr>
          </w:p>
        </w:tc>
        <w:tc>
          <w:tcPr>
            <w:tcW w:w="1303" w:type="dxa"/>
          </w:tcPr>
          <w:p w14:paraId="78330936" w14:textId="77777777" w:rsidR="00D57A04" w:rsidRPr="00995BED" w:rsidRDefault="00D57A04" w:rsidP="00D57A04">
            <w:pPr>
              <w:jc w:val="right"/>
              <w:rPr>
                <w:sz w:val="24"/>
                <w:szCs w:val="24"/>
              </w:rPr>
            </w:pPr>
          </w:p>
        </w:tc>
      </w:tr>
      <w:tr w:rsidR="00D57A04" w:rsidRPr="00995BED" w14:paraId="3A45F523" w14:textId="77777777" w:rsidTr="00AB3F40">
        <w:tc>
          <w:tcPr>
            <w:tcW w:w="2584" w:type="dxa"/>
            <w:shd w:val="clear" w:color="auto" w:fill="auto"/>
          </w:tcPr>
          <w:p w14:paraId="5907C9D3" w14:textId="77777777" w:rsidR="00D57A04" w:rsidRPr="00995BED" w:rsidRDefault="00D57A04" w:rsidP="00D57A04">
            <w:pPr>
              <w:rPr>
                <w:b/>
                <w:sz w:val="24"/>
                <w:szCs w:val="24"/>
              </w:rPr>
            </w:pPr>
            <w:r w:rsidRPr="00995BED">
              <w:rPr>
                <w:b/>
                <w:sz w:val="24"/>
                <w:szCs w:val="24"/>
              </w:rPr>
              <w:t>Budget Deficit</w:t>
            </w:r>
          </w:p>
        </w:tc>
        <w:tc>
          <w:tcPr>
            <w:tcW w:w="1110" w:type="dxa"/>
          </w:tcPr>
          <w:p w14:paraId="1AD6831D" w14:textId="77777777" w:rsidR="00D57A04" w:rsidRPr="00995BED" w:rsidRDefault="00D57A04" w:rsidP="00D57A04">
            <w:pPr>
              <w:jc w:val="right"/>
              <w:rPr>
                <w:b/>
                <w:sz w:val="24"/>
                <w:szCs w:val="24"/>
              </w:rPr>
            </w:pPr>
            <w:r w:rsidRPr="00995BED">
              <w:rPr>
                <w:b/>
                <w:sz w:val="24"/>
                <w:szCs w:val="24"/>
              </w:rPr>
              <w:t>403</w:t>
            </w:r>
          </w:p>
        </w:tc>
        <w:tc>
          <w:tcPr>
            <w:tcW w:w="1276" w:type="dxa"/>
            <w:shd w:val="clear" w:color="auto" w:fill="auto"/>
          </w:tcPr>
          <w:p w14:paraId="3270B2BF" w14:textId="77777777" w:rsidR="00D57A04" w:rsidRPr="00995BED" w:rsidRDefault="00D57A04" w:rsidP="00D57A04">
            <w:pPr>
              <w:jc w:val="right"/>
              <w:rPr>
                <w:b/>
                <w:sz w:val="24"/>
                <w:szCs w:val="24"/>
              </w:rPr>
            </w:pPr>
            <w:r w:rsidRPr="00995BED">
              <w:rPr>
                <w:b/>
                <w:sz w:val="24"/>
                <w:szCs w:val="24"/>
              </w:rPr>
              <w:t>1,395</w:t>
            </w:r>
          </w:p>
        </w:tc>
        <w:tc>
          <w:tcPr>
            <w:tcW w:w="1215" w:type="dxa"/>
          </w:tcPr>
          <w:p w14:paraId="2886209B" w14:textId="77777777" w:rsidR="00D57A04" w:rsidRPr="00995BED" w:rsidRDefault="00D57A04" w:rsidP="00D57A04">
            <w:pPr>
              <w:jc w:val="right"/>
              <w:rPr>
                <w:b/>
                <w:sz w:val="24"/>
                <w:szCs w:val="24"/>
              </w:rPr>
            </w:pPr>
            <w:r w:rsidRPr="00995BED">
              <w:rPr>
                <w:b/>
                <w:sz w:val="24"/>
                <w:szCs w:val="24"/>
              </w:rPr>
              <w:t>2,587</w:t>
            </w:r>
          </w:p>
          <w:p w14:paraId="3C9D9E45" w14:textId="77777777" w:rsidR="00D57A04" w:rsidRPr="00995BED" w:rsidRDefault="00D57A04" w:rsidP="00D57A04">
            <w:pPr>
              <w:jc w:val="right"/>
              <w:rPr>
                <w:b/>
                <w:sz w:val="24"/>
                <w:szCs w:val="24"/>
              </w:rPr>
            </w:pPr>
          </w:p>
        </w:tc>
        <w:tc>
          <w:tcPr>
            <w:tcW w:w="1215" w:type="dxa"/>
          </w:tcPr>
          <w:p w14:paraId="05CD8D3E" w14:textId="77777777" w:rsidR="00D57A04" w:rsidRPr="00995BED" w:rsidRDefault="00D57A04" w:rsidP="00D57A04">
            <w:pPr>
              <w:jc w:val="right"/>
              <w:rPr>
                <w:b/>
                <w:sz w:val="24"/>
                <w:szCs w:val="24"/>
              </w:rPr>
            </w:pPr>
            <w:r w:rsidRPr="00995BED">
              <w:rPr>
                <w:b/>
                <w:sz w:val="24"/>
                <w:szCs w:val="24"/>
              </w:rPr>
              <w:t>2,045</w:t>
            </w:r>
          </w:p>
        </w:tc>
        <w:tc>
          <w:tcPr>
            <w:tcW w:w="1303" w:type="dxa"/>
          </w:tcPr>
          <w:p w14:paraId="39B044A3" w14:textId="77777777" w:rsidR="00D57A04" w:rsidRPr="00995BED" w:rsidRDefault="00D57A04" w:rsidP="00D57A04">
            <w:pPr>
              <w:jc w:val="right"/>
              <w:rPr>
                <w:b/>
                <w:sz w:val="24"/>
                <w:szCs w:val="24"/>
              </w:rPr>
            </w:pPr>
            <w:r w:rsidRPr="00995BED">
              <w:rPr>
                <w:b/>
                <w:sz w:val="24"/>
                <w:szCs w:val="24"/>
              </w:rPr>
              <w:t>1,167</w:t>
            </w:r>
          </w:p>
        </w:tc>
      </w:tr>
    </w:tbl>
    <w:p w14:paraId="28DA03FA" w14:textId="77777777" w:rsidR="00EF65B6" w:rsidRPr="00995BED" w:rsidRDefault="00EF65B6" w:rsidP="00406A25">
      <w:pPr>
        <w:rPr>
          <w:sz w:val="24"/>
          <w:szCs w:val="24"/>
        </w:rPr>
      </w:pPr>
    </w:p>
    <w:p w14:paraId="4ED75381" w14:textId="77777777" w:rsidR="00406A25" w:rsidRPr="00EF65B6" w:rsidRDefault="00DC1DE7" w:rsidP="00406A25">
      <w:pPr>
        <w:ind w:left="709" w:hanging="709"/>
        <w:rPr>
          <w:sz w:val="24"/>
          <w:szCs w:val="24"/>
        </w:rPr>
      </w:pPr>
      <w:r w:rsidRPr="00995BED">
        <w:rPr>
          <w:sz w:val="24"/>
          <w:szCs w:val="24"/>
        </w:rPr>
        <w:t>6.</w:t>
      </w:r>
      <w:r w:rsidR="00324D44">
        <w:rPr>
          <w:sz w:val="24"/>
          <w:szCs w:val="24"/>
        </w:rPr>
        <w:t>7</w:t>
      </w:r>
      <w:r w:rsidR="00406A25" w:rsidRPr="00995BED">
        <w:rPr>
          <w:sz w:val="24"/>
          <w:szCs w:val="24"/>
        </w:rPr>
        <w:tab/>
        <w:t xml:space="preserve">If a nil council tax increase is approved in </w:t>
      </w:r>
      <w:r w:rsidR="004B6C98" w:rsidRPr="00995BED">
        <w:rPr>
          <w:sz w:val="24"/>
          <w:szCs w:val="24"/>
        </w:rPr>
        <w:t>2024/25</w:t>
      </w:r>
      <w:r w:rsidR="00406A25" w:rsidRPr="00995BED">
        <w:rPr>
          <w:sz w:val="24"/>
          <w:szCs w:val="24"/>
        </w:rPr>
        <w:t xml:space="preserve">, the deficit position </w:t>
      </w:r>
      <w:r w:rsidR="00EF65B6" w:rsidRPr="00995BED">
        <w:rPr>
          <w:sz w:val="24"/>
          <w:szCs w:val="24"/>
        </w:rPr>
        <w:t>would bec</w:t>
      </w:r>
      <w:r w:rsidR="00406A25" w:rsidRPr="00995BED">
        <w:rPr>
          <w:sz w:val="24"/>
          <w:szCs w:val="24"/>
        </w:rPr>
        <w:t>ome £</w:t>
      </w:r>
      <w:r w:rsidR="00B84B21" w:rsidRPr="00995BED">
        <w:rPr>
          <w:sz w:val="24"/>
          <w:szCs w:val="24"/>
        </w:rPr>
        <w:t>2.</w:t>
      </w:r>
      <w:r w:rsidR="00E931E5" w:rsidRPr="00995BED">
        <w:rPr>
          <w:sz w:val="24"/>
          <w:szCs w:val="24"/>
        </w:rPr>
        <w:t>685</w:t>
      </w:r>
      <w:r w:rsidR="004F26E2" w:rsidRPr="00995BED">
        <w:rPr>
          <w:sz w:val="24"/>
          <w:szCs w:val="24"/>
        </w:rPr>
        <w:t>m</w:t>
      </w:r>
      <w:r w:rsidR="00406A25" w:rsidRPr="00995BED">
        <w:rPr>
          <w:sz w:val="24"/>
          <w:szCs w:val="24"/>
        </w:rPr>
        <w:t xml:space="preserve">.  Significant ongoing savings </w:t>
      </w:r>
      <w:r w:rsidR="00596300" w:rsidRPr="00995BED">
        <w:rPr>
          <w:sz w:val="24"/>
          <w:szCs w:val="24"/>
        </w:rPr>
        <w:t>will</w:t>
      </w:r>
      <w:r w:rsidR="00406A25" w:rsidRPr="00995BED">
        <w:rPr>
          <w:sz w:val="24"/>
          <w:szCs w:val="24"/>
        </w:rPr>
        <w:t xml:space="preserve"> need to be identified in order to balance the budget if this scenario plays out.</w:t>
      </w:r>
    </w:p>
    <w:bookmarkEnd w:id="18"/>
    <w:p w14:paraId="35AB52DB" w14:textId="77777777" w:rsidR="00406A25" w:rsidRPr="00EF65B6" w:rsidRDefault="00406A25" w:rsidP="00406A25">
      <w:pPr>
        <w:rPr>
          <w:sz w:val="24"/>
          <w:szCs w:val="24"/>
        </w:rPr>
      </w:pPr>
    </w:p>
    <w:p w14:paraId="089670FB" w14:textId="77777777" w:rsidR="00406A25" w:rsidRPr="00E72293" w:rsidRDefault="00406A25" w:rsidP="00406A25">
      <w:pPr>
        <w:rPr>
          <w:sz w:val="24"/>
          <w:szCs w:val="24"/>
        </w:rPr>
      </w:pPr>
      <w:r w:rsidRPr="00E72293">
        <w:rPr>
          <w:b/>
          <w:sz w:val="24"/>
          <w:szCs w:val="24"/>
        </w:rPr>
        <w:t>SCENARIO 2 –</w:t>
      </w:r>
      <w:r w:rsidRPr="00E72293">
        <w:rPr>
          <w:sz w:val="24"/>
          <w:szCs w:val="24"/>
        </w:rPr>
        <w:t xml:space="preserve"> </w:t>
      </w:r>
      <w:r w:rsidRPr="00E72293">
        <w:rPr>
          <w:b/>
          <w:sz w:val="24"/>
          <w:szCs w:val="24"/>
        </w:rPr>
        <w:t>MOST LIKELY SCENARIO</w:t>
      </w:r>
    </w:p>
    <w:p w14:paraId="0E79035C" w14:textId="77777777" w:rsidR="00406A25" w:rsidRPr="00E72293" w:rsidRDefault="00406A25" w:rsidP="00406A25">
      <w:pPr>
        <w:rPr>
          <w:sz w:val="24"/>
          <w:szCs w:val="24"/>
        </w:rPr>
      </w:pPr>
    </w:p>
    <w:p w14:paraId="5382A069" w14:textId="77777777" w:rsidR="00406A25" w:rsidRPr="00995BED" w:rsidRDefault="00DC1DE7" w:rsidP="00406A25">
      <w:pPr>
        <w:rPr>
          <w:sz w:val="24"/>
          <w:szCs w:val="24"/>
        </w:rPr>
      </w:pPr>
      <w:r w:rsidRPr="00E72293">
        <w:rPr>
          <w:sz w:val="24"/>
          <w:szCs w:val="24"/>
        </w:rPr>
        <w:t>6.</w:t>
      </w:r>
      <w:r w:rsidR="00324D44">
        <w:rPr>
          <w:sz w:val="24"/>
          <w:szCs w:val="24"/>
        </w:rPr>
        <w:t>8</w:t>
      </w:r>
      <w:r w:rsidR="00406A25" w:rsidRPr="00E72293">
        <w:rPr>
          <w:sz w:val="24"/>
          <w:szCs w:val="24"/>
        </w:rPr>
        <w:tab/>
      </w:r>
      <w:r w:rsidR="00406A25" w:rsidRPr="00995BED">
        <w:rPr>
          <w:sz w:val="24"/>
          <w:szCs w:val="24"/>
        </w:rPr>
        <w:t>The most likely scenario assumes that:</w:t>
      </w:r>
    </w:p>
    <w:p w14:paraId="5550BAA1" w14:textId="77777777" w:rsidR="00406A25" w:rsidRPr="00995BED" w:rsidRDefault="00406A25" w:rsidP="00406A25">
      <w:pPr>
        <w:rPr>
          <w:sz w:val="24"/>
          <w:szCs w:val="24"/>
        </w:rPr>
      </w:pPr>
    </w:p>
    <w:p w14:paraId="15148E34" w14:textId="77777777" w:rsidR="00BB47EB" w:rsidRPr="00AB3F40" w:rsidRDefault="00BB47EB" w:rsidP="00406A25">
      <w:pPr>
        <w:pStyle w:val="ListParagraph"/>
        <w:numPr>
          <w:ilvl w:val="0"/>
          <w:numId w:val="1"/>
        </w:numPr>
        <w:ind w:left="1080"/>
        <w:contextualSpacing/>
        <w:rPr>
          <w:sz w:val="24"/>
          <w:szCs w:val="24"/>
        </w:rPr>
      </w:pPr>
      <w:bookmarkStart w:id="20" w:name="_Hlk89774236"/>
      <w:bookmarkStart w:id="21" w:name="_Hlk121221750"/>
      <w:bookmarkStart w:id="22" w:name="_Hlk121223219"/>
      <w:r w:rsidRPr="00AB3F40">
        <w:rPr>
          <w:sz w:val="24"/>
          <w:szCs w:val="24"/>
        </w:rPr>
        <w:t xml:space="preserve">The </w:t>
      </w:r>
      <w:r w:rsidR="004B6C98" w:rsidRPr="00AB3F40">
        <w:rPr>
          <w:sz w:val="24"/>
          <w:szCs w:val="24"/>
        </w:rPr>
        <w:t>2024/25</w:t>
      </w:r>
      <w:r w:rsidRPr="00AB3F40">
        <w:rPr>
          <w:sz w:val="24"/>
          <w:szCs w:val="24"/>
        </w:rPr>
        <w:t xml:space="preserve"> pay award is settled at </w:t>
      </w:r>
      <w:r w:rsidR="004F6253" w:rsidRPr="00AB3F40">
        <w:rPr>
          <w:sz w:val="24"/>
          <w:szCs w:val="24"/>
        </w:rPr>
        <w:t>5</w:t>
      </w:r>
      <w:r w:rsidRPr="00AB3F40">
        <w:rPr>
          <w:sz w:val="24"/>
          <w:szCs w:val="24"/>
        </w:rPr>
        <w:t xml:space="preserve">% </w:t>
      </w:r>
      <w:r w:rsidR="003A6AF7" w:rsidRPr="00AB3F40">
        <w:rPr>
          <w:sz w:val="24"/>
          <w:szCs w:val="24"/>
        </w:rPr>
        <w:t xml:space="preserve">for all </w:t>
      </w:r>
      <w:r w:rsidR="00852143" w:rsidRPr="00AB3F40">
        <w:rPr>
          <w:sz w:val="24"/>
          <w:szCs w:val="24"/>
        </w:rPr>
        <w:t>staff.</w:t>
      </w:r>
    </w:p>
    <w:p w14:paraId="50A020F4" w14:textId="77777777" w:rsidR="00B20F4C" w:rsidRPr="00995BED" w:rsidRDefault="00B20F4C" w:rsidP="00B20F4C">
      <w:pPr>
        <w:pStyle w:val="ListParagraph"/>
        <w:ind w:left="1080"/>
        <w:contextualSpacing/>
        <w:rPr>
          <w:sz w:val="24"/>
          <w:szCs w:val="24"/>
        </w:rPr>
      </w:pPr>
    </w:p>
    <w:p w14:paraId="2A1D1618" w14:textId="77777777" w:rsidR="00B20F4C" w:rsidRPr="00995BED" w:rsidRDefault="00B20F4C" w:rsidP="00406A25">
      <w:pPr>
        <w:pStyle w:val="ListParagraph"/>
        <w:numPr>
          <w:ilvl w:val="0"/>
          <w:numId w:val="1"/>
        </w:numPr>
        <w:ind w:left="1080"/>
        <w:contextualSpacing/>
        <w:rPr>
          <w:sz w:val="24"/>
          <w:szCs w:val="24"/>
        </w:rPr>
      </w:pPr>
      <w:r w:rsidRPr="00995BED">
        <w:rPr>
          <w:sz w:val="24"/>
          <w:szCs w:val="24"/>
        </w:rPr>
        <w:t>Savings targets of £200k are met for 2024/25</w:t>
      </w:r>
      <w:r w:rsidR="00324D44">
        <w:rPr>
          <w:sz w:val="24"/>
          <w:szCs w:val="24"/>
        </w:rPr>
        <w:t>.</w:t>
      </w:r>
    </w:p>
    <w:p w14:paraId="38E56E50" w14:textId="77777777" w:rsidR="00BB47EB" w:rsidRPr="00995BED" w:rsidRDefault="00BB47EB" w:rsidP="00BB47EB">
      <w:pPr>
        <w:pStyle w:val="ListParagraph"/>
        <w:ind w:left="0"/>
        <w:contextualSpacing/>
        <w:rPr>
          <w:sz w:val="24"/>
          <w:szCs w:val="24"/>
        </w:rPr>
      </w:pPr>
    </w:p>
    <w:p w14:paraId="54C5B380" w14:textId="77777777" w:rsidR="00F74080" w:rsidRPr="00995BED" w:rsidRDefault="00F74080" w:rsidP="00F74080">
      <w:pPr>
        <w:pStyle w:val="ListParagraph"/>
        <w:numPr>
          <w:ilvl w:val="0"/>
          <w:numId w:val="1"/>
        </w:numPr>
        <w:ind w:left="1080"/>
        <w:contextualSpacing/>
        <w:rPr>
          <w:sz w:val="24"/>
          <w:szCs w:val="24"/>
        </w:rPr>
      </w:pPr>
      <w:r w:rsidRPr="00995BED">
        <w:rPr>
          <w:sz w:val="24"/>
          <w:szCs w:val="24"/>
        </w:rPr>
        <w:t>Government funding (Revenue Support Grant (RSG) and Business Rates top up grant) increases 6.7% for 2024/25 ,1.8% for 2025/26 and 3.74% for 2026/27</w:t>
      </w:r>
      <w:r w:rsidR="00324D44">
        <w:rPr>
          <w:sz w:val="24"/>
          <w:szCs w:val="24"/>
        </w:rPr>
        <w:t>.</w:t>
      </w:r>
      <w:r w:rsidRPr="00995BED">
        <w:rPr>
          <w:sz w:val="24"/>
          <w:szCs w:val="24"/>
        </w:rPr>
        <w:t xml:space="preserve"> </w:t>
      </w:r>
    </w:p>
    <w:bookmarkEnd w:id="20"/>
    <w:p w14:paraId="3F84176E" w14:textId="77777777" w:rsidR="00D10B23" w:rsidRPr="00995BED" w:rsidRDefault="00D10B23" w:rsidP="00D10B23">
      <w:pPr>
        <w:pStyle w:val="ListParagraph"/>
        <w:ind w:left="1080"/>
        <w:contextualSpacing/>
        <w:rPr>
          <w:sz w:val="24"/>
          <w:szCs w:val="24"/>
        </w:rPr>
      </w:pPr>
    </w:p>
    <w:p w14:paraId="4983C04F" w14:textId="77777777" w:rsidR="00406A25" w:rsidRPr="00995BED" w:rsidRDefault="00406A25" w:rsidP="00406A25">
      <w:pPr>
        <w:pStyle w:val="ListParagraph"/>
        <w:numPr>
          <w:ilvl w:val="0"/>
          <w:numId w:val="1"/>
        </w:numPr>
        <w:ind w:left="1080"/>
        <w:contextualSpacing/>
        <w:rPr>
          <w:sz w:val="24"/>
          <w:szCs w:val="24"/>
        </w:rPr>
      </w:pPr>
      <w:r w:rsidRPr="00995BED">
        <w:rPr>
          <w:sz w:val="24"/>
          <w:szCs w:val="24"/>
        </w:rPr>
        <w:t>Pension Grant remains flat in cash terms at £2.34m</w:t>
      </w:r>
      <w:r w:rsidR="00324D44">
        <w:rPr>
          <w:sz w:val="24"/>
          <w:szCs w:val="24"/>
        </w:rPr>
        <w:t>.</w:t>
      </w:r>
    </w:p>
    <w:p w14:paraId="5E757F5F" w14:textId="77777777" w:rsidR="00406A25" w:rsidRPr="00995BED" w:rsidRDefault="00406A25" w:rsidP="00406A25">
      <w:pPr>
        <w:pStyle w:val="ListParagraph"/>
        <w:ind w:left="0"/>
        <w:contextualSpacing/>
        <w:rPr>
          <w:sz w:val="24"/>
          <w:szCs w:val="24"/>
        </w:rPr>
      </w:pPr>
    </w:p>
    <w:p w14:paraId="5CA45632" w14:textId="77777777" w:rsidR="00406A25" w:rsidRPr="00995BED" w:rsidRDefault="00E72293" w:rsidP="00406A25">
      <w:pPr>
        <w:pStyle w:val="ListParagraph"/>
        <w:numPr>
          <w:ilvl w:val="0"/>
          <w:numId w:val="1"/>
        </w:numPr>
        <w:ind w:left="1080"/>
        <w:contextualSpacing/>
        <w:rPr>
          <w:sz w:val="24"/>
          <w:szCs w:val="24"/>
        </w:rPr>
      </w:pPr>
      <w:r w:rsidRPr="00995BED">
        <w:rPr>
          <w:sz w:val="24"/>
          <w:szCs w:val="24"/>
        </w:rPr>
        <w:t xml:space="preserve">Services Grant remains, although reduced to </w:t>
      </w:r>
      <w:r w:rsidR="004F6253" w:rsidRPr="00995BED">
        <w:rPr>
          <w:sz w:val="24"/>
          <w:szCs w:val="24"/>
        </w:rPr>
        <w:t>£366k (from £421k)</w:t>
      </w:r>
      <w:r w:rsidR="00324D44">
        <w:rPr>
          <w:sz w:val="24"/>
          <w:szCs w:val="24"/>
        </w:rPr>
        <w:t>.</w:t>
      </w:r>
    </w:p>
    <w:p w14:paraId="278BB194" w14:textId="77777777" w:rsidR="00406A25" w:rsidRPr="00995BED" w:rsidRDefault="00406A25" w:rsidP="00406A25">
      <w:pPr>
        <w:pStyle w:val="ListParagraph"/>
        <w:ind w:left="0"/>
        <w:contextualSpacing/>
        <w:rPr>
          <w:sz w:val="24"/>
          <w:szCs w:val="24"/>
        </w:rPr>
      </w:pPr>
    </w:p>
    <w:p w14:paraId="35284672" w14:textId="77777777" w:rsidR="00F74080" w:rsidRPr="00995BED" w:rsidRDefault="00F74080" w:rsidP="00F74080">
      <w:pPr>
        <w:pStyle w:val="ListParagraph"/>
        <w:numPr>
          <w:ilvl w:val="0"/>
          <w:numId w:val="1"/>
        </w:numPr>
        <w:ind w:left="1080"/>
        <w:contextualSpacing/>
        <w:rPr>
          <w:sz w:val="24"/>
          <w:szCs w:val="24"/>
        </w:rPr>
      </w:pPr>
      <w:r w:rsidRPr="00995BED">
        <w:rPr>
          <w:sz w:val="24"/>
          <w:szCs w:val="24"/>
        </w:rPr>
        <w:t>Business Rate collection increases by 0.9% for 2024/25, 3.02% 2025/26 and 12.19% 2026/27</w:t>
      </w:r>
      <w:r w:rsidR="00324D44">
        <w:rPr>
          <w:sz w:val="24"/>
          <w:szCs w:val="24"/>
        </w:rPr>
        <w:t>.</w:t>
      </w:r>
    </w:p>
    <w:p w14:paraId="6523486C" w14:textId="77777777" w:rsidR="00406A25" w:rsidRPr="00995BED" w:rsidRDefault="00406A25" w:rsidP="00406A25">
      <w:pPr>
        <w:pStyle w:val="ListParagraph"/>
        <w:ind w:left="0"/>
        <w:contextualSpacing/>
        <w:rPr>
          <w:sz w:val="24"/>
          <w:szCs w:val="24"/>
        </w:rPr>
      </w:pPr>
    </w:p>
    <w:p w14:paraId="159E3C3E" w14:textId="77777777" w:rsidR="00406A25" w:rsidRPr="00995BED" w:rsidRDefault="00406A25" w:rsidP="00406A25">
      <w:pPr>
        <w:pStyle w:val="ListParagraph"/>
        <w:numPr>
          <w:ilvl w:val="0"/>
          <w:numId w:val="1"/>
        </w:numPr>
        <w:ind w:left="1080"/>
        <w:contextualSpacing/>
        <w:rPr>
          <w:sz w:val="24"/>
          <w:szCs w:val="24"/>
        </w:rPr>
      </w:pPr>
      <w:r w:rsidRPr="00995BED">
        <w:rPr>
          <w:sz w:val="24"/>
          <w:szCs w:val="24"/>
        </w:rPr>
        <w:t xml:space="preserve">Council </w:t>
      </w:r>
      <w:r w:rsidR="00324D44">
        <w:rPr>
          <w:sz w:val="24"/>
          <w:szCs w:val="24"/>
        </w:rPr>
        <w:t>t</w:t>
      </w:r>
      <w:r w:rsidRPr="00995BED">
        <w:rPr>
          <w:sz w:val="24"/>
          <w:szCs w:val="24"/>
        </w:rPr>
        <w:t xml:space="preserve">ax </w:t>
      </w:r>
      <w:r w:rsidR="004F6253" w:rsidRPr="00995BED">
        <w:rPr>
          <w:sz w:val="24"/>
          <w:szCs w:val="24"/>
        </w:rPr>
        <w:t xml:space="preserve">base </w:t>
      </w:r>
      <w:r w:rsidR="00D10B23" w:rsidRPr="00995BED">
        <w:rPr>
          <w:sz w:val="24"/>
          <w:szCs w:val="24"/>
        </w:rPr>
        <w:t>increases by 1.</w:t>
      </w:r>
      <w:r w:rsidR="00E72293" w:rsidRPr="00995BED">
        <w:rPr>
          <w:sz w:val="24"/>
          <w:szCs w:val="24"/>
        </w:rPr>
        <w:t>35</w:t>
      </w:r>
      <w:r w:rsidRPr="00995BED">
        <w:rPr>
          <w:sz w:val="24"/>
          <w:szCs w:val="24"/>
        </w:rPr>
        <w:t xml:space="preserve">% in </w:t>
      </w:r>
      <w:r w:rsidR="004B6C98" w:rsidRPr="00995BED">
        <w:rPr>
          <w:sz w:val="24"/>
          <w:szCs w:val="24"/>
        </w:rPr>
        <w:t>2024/25</w:t>
      </w:r>
      <w:r w:rsidRPr="00995BED">
        <w:rPr>
          <w:sz w:val="24"/>
          <w:szCs w:val="24"/>
        </w:rPr>
        <w:t xml:space="preserve"> and</w:t>
      </w:r>
      <w:r w:rsidR="00E72293" w:rsidRPr="00995BED">
        <w:rPr>
          <w:sz w:val="24"/>
          <w:szCs w:val="24"/>
        </w:rPr>
        <w:t xml:space="preserve"> future years</w:t>
      </w:r>
      <w:r w:rsidR="00324D44">
        <w:rPr>
          <w:sz w:val="24"/>
          <w:szCs w:val="24"/>
        </w:rPr>
        <w:t>.</w:t>
      </w:r>
    </w:p>
    <w:p w14:paraId="7279C44D" w14:textId="77777777" w:rsidR="00406A25" w:rsidRPr="00995BED" w:rsidRDefault="00406A25" w:rsidP="00406A25">
      <w:pPr>
        <w:pStyle w:val="ListParagraph"/>
        <w:ind w:left="0"/>
        <w:contextualSpacing/>
        <w:rPr>
          <w:sz w:val="24"/>
          <w:szCs w:val="24"/>
        </w:rPr>
      </w:pPr>
    </w:p>
    <w:p w14:paraId="446CBD80" w14:textId="77777777" w:rsidR="00406A25" w:rsidRPr="00995BED" w:rsidRDefault="00406A25" w:rsidP="00406A25">
      <w:pPr>
        <w:pStyle w:val="ListParagraph"/>
        <w:numPr>
          <w:ilvl w:val="0"/>
          <w:numId w:val="1"/>
        </w:numPr>
        <w:ind w:left="1080"/>
        <w:contextualSpacing/>
        <w:rPr>
          <w:sz w:val="24"/>
          <w:szCs w:val="24"/>
        </w:rPr>
      </w:pPr>
      <w:r w:rsidRPr="00995BED">
        <w:rPr>
          <w:sz w:val="24"/>
          <w:szCs w:val="24"/>
        </w:rPr>
        <w:t xml:space="preserve">Council </w:t>
      </w:r>
      <w:r w:rsidR="00324D44">
        <w:rPr>
          <w:sz w:val="24"/>
          <w:szCs w:val="24"/>
        </w:rPr>
        <w:t>t</w:t>
      </w:r>
      <w:r w:rsidRPr="00995BED">
        <w:rPr>
          <w:sz w:val="24"/>
          <w:szCs w:val="24"/>
        </w:rPr>
        <w:t xml:space="preserve">ax is increased at </w:t>
      </w:r>
      <w:r w:rsidR="004F6253" w:rsidRPr="00995BED">
        <w:rPr>
          <w:sz w:val="24"/>
          <w:szCs w:val="24"/>
        </w:rPr>
        <w:t>£5 in 2024/25, 2.95%</w:t>
      </w:r>
      <w:r w:rsidRPr="00995BED">
        <w:rPr>
          <w:sz w:val="24"/>
          <w:szCs w:val="24"/>
        </w:rPr>
        <w:t xml:space="preserve"> </w:t>
      </w:r>
      <w:r w:rsidR="004F6253" w:rsidRPr="00995BED">
        <w:rPr>
          <w:sz w:val="24"/>
          <w:szCs w:val="24"/>
        </w:rPr>
        <w:t>in 2025/26</w:t>
      </w:r>
      <w:r w:rsidR="00B20F4C" w:rsidRPr="00995BED">
        <w:rPr>
          <w:sz w:val="24"/>
          <w:szCs w:val="24"/>
        </w:rPr>
        <w:t xml:space="preserve"> and 2026/27 and 1.95% in 2027/28</w:t>
      </w:r>
      <w:r w:rsidRPr="00995BED">
        <w:rPr>
          <w:sz w:val="24"/>
          <w:szCs w:val="24"/>
        </w:rPr>
        <w:t>.</w:t>
      </w:r>
    </w:p>
    <w:bookmarkEnd w:id="21"/>
    <w:p w14:paraId="1AAEB756" w14:textId="77777777" w:rsidR="00406A25" w:rsidRPr="00E72293" w:rsidRDefault="00406A25" w:rsidP="00406A25">
      <w:pPr>
        <w:rPr>
          <w:sz w:val="24"/>
          <w:szCs w:val="24"/>
        </w:rPr>
      </w:pPr>
    </w:p>
    <w:bookmarkEnd w:id="22"/>
    <w:p w14:paraId="3BBC1DEF" w14:textId="77777777" w:rsidR="00DE49C0" w:rsidRDefault="00DC1DE7" w:rsidP="00406A25">
      <w:pPr>
        <w:ind w:left="709" w:hanging="709"/>
        <w:rPr>
          <w:sz w:val="24"/>
          <w:szCs w:val="24"/>
        </w:rPr>
      </w:pPr>
      <w:r w:rsidRPr="00E72293">
        <w:rPr>
          <w:sz w:val="24"/>
          <w:szCs w:val="24"/>
        </w:rPr>
        <w:t>6.</w:t>
      </w:r>
      <w:r w:rsidR="00324D44">
        <w:rPr>
          <w:sz w:val="24"/>
          <w:szCs w:val="24"/>
        </w:rPr>
        <w:t>9</w:t>
      </w:r>
      <w:r w:rsidR="00406A25" w:rsidRPr="00E72293">
        <w:rPr>
          <w:sz w:val="24"/>
          <w:szCs w:val="24"/>
        </w:rPr>
        <w:tab/>
      </w:r>
      <w:r w:rsidR="00406A25" w:rsidRPr="00995BED">
        <w:rPr>
          <w:sz w:val="24"/>
          <w:szCs w:val="24"/>
        </w:rPr>
        <w:t>This scenario would result in a £</w:t>
      </w:r>
      <w:r w:rsidR="00FD1515" w:rsidRPr="00995BED">
        <w:rPr>
          <w:sz w:val="24"/>
          <w:szCs w:val="24"/>
        </w:rPr>
        <w:t xml:space="preserve">601k </w:t>
      </w:r>
      <w:r w:rsidR="00406A25" w:rsidRPr="00995BED">
        <w:rPr>
          <w:sz w:val="24"/>
          <w:szCs w:val="24"/>
        </w:rPr>
        <w:t xml:space="preserve">deficit in </w:t>
      </w:r>
      <w:r w:rsidR="004B6C98" w:rsidRPr="00995BED">
        <w:rPr>
          <w:sz w:val="24"/>
          <w:szCs w:val="24"/>
        </w:rPr>
        <w:t>2024/25</w:t>
      </w:r>
      <w:r w:rsidR="00406A25" w:rsidRPr="00995BED">
        <w:rPr>
          <w:sz w:val="24"/>
          <w:szCs w:val="24"/>
        </w:rPr>
        <w:t xml:space="preserve"> which </w:t>
      </w:r>
      <w:r w:rsidR="00D10B23" w:rsidRPr="00995BED">
        <w:rPr>
          <w:sz w:val="24"/>
          <w:szCs w:val="24"/>
        </w:rPr>
        <w:t>increases</w:t>
      </w:r>
      <w:r w:rsidR="00406A25" w:rsidRPr="00995BED">
        <w:rPr>
          <w:sz w:val="24"/>
          <w:szCs w:val="24"/>
        </w:rPr>
        <w:t xml:space="preserve"> to £</w:t>
      </w:r>
      <w:r w:rsidR="00D10B23" w:rsidRPr="00995BED">
        <w:rPr>
          <w:sz w:val="24"/>
          <w:szCs w:val="24"/>
        </w:rPr>
        <w:t>1.</w:t>
      </w:r>
      <w:r w:rsidR="00130CF6" w:rsidRPr="00995BED">
        <w:rPr>
          <w:sz w:val="24"/>
          <w:szCs w:val="24"/>
        </w:rPr>
        <w:t>7</w:t>
      </w:r>
      <w:r w:rsidR="00D10B23" w:rsidRPr="00995BED">
        <w:rPr>
          <w:sz w:val="24"/>
          <w:szCs w:val="24"/>
        </w:rPr>
        <w:t>m</w:t>
      </w:r>
      <w:r w:rsidR="00406A25" w:rsidRPr="00995BED">
        <w:rPr>
          <w:sz w:val="24"/>
          <w:szCs w:val="24"/>
        </w:rPr>
        <w:t xml:space="preserve"> by </w:t>
      </w:r>
      <w:r w:rsidR="004B6C98" w:rsidRPr="00995BED">
        <w:rPr>
          <w:sz w:val="24"/>
          <w:szCs w:val="24"/>
        </w:rPr>
        <w:t>202</w:t>
      </w:r>
      <w:r w:rsidR="00742570" w:rsidRPr="00995BED">
        <w:rPr>
          <w:sz w:val="24"/>
          <w:szCs w:val="24"/>
        </w:rPr>
        <w:t>6</w:t>
      </w:r>
      <w:r w:rsidR="004B6C98" w:rsidRPr="00995BED">
        <w:rPr>
          <w:sz w:val="24"/>
          <w:szCs w:val="24"/>
        </w:rPr>
        <w:t>/2</w:t>
      </w:r>
      <w:r w:rsidR="00742570" w:rsidRPr="00995BED">
        <w:rPr>
          <w:sz w:val="24"/>
          <w:szCs w:val="24"/>
        </w:rPr>
        <w:t>7</w:t>
      </w:r>
      <w:r w:rsidR="00D10B23" w:rsidRPr="00995BED">
        <w:rPr>
          <w:sz w:val="24"/>
          <w:szCs w:val="24"/>
        </w:rPr>
        <w:t>.</w:t>
      </w:r>
      <w:r w:rsidR="00406A25" w:rsidRPr="00995BED">
        <w:rPr>
          <w:sz w:val="24"/>
          <w:szCs w:val="24"/>
        </w:rPr>
        <w:t xml:space="preserve"> </w:t>
      </w:r>
      <w:r w:rsidR="00D10B23" w:rsidRPr="00995BED">
        <w:rPr>
          <w:sz w:val="24"/>
          <w:szCs w:val="24"/>
        </w:rPr>
        <w:t xml:space="preserve">This scenario </w:t>
      </w:r>
      <w:r w:rsidR="00BB47EB" w:rsidRPr="00995BED">
        <w:rPr>
          <w:sz w:val="24"/>
          <w:szCs w:val="24"/>
        </w:rPr>
        <w:t>is likely to need both the use of reserves and savings to be made</w:t>
      </w:r>
      <w:r w:rsidR="00406A25" w:rsidRPr="00995BED">
        <w:rPr>
          <w:sz w:val="24"/>
          <w:szCs w:val="24"/>
        </w:rPr>
        <w:t>.</w:t>
      </w:r>
    </w:p>
    <w:p w14:paraId="3AD51C70" w14:textId="77777777" w:rsidR="00414CE6" w:rsidRDefault="00414CE6" w:rsidP="00406A25">
      <w:pPr>
        <w:ind w:left="709" w:hanging="709"/>
        <w:rPr>
          <w:sz w:val="24"/>
          <w:szCs w:val="24"/>
        </w:rPr>
      </w:pPr>
    </w:p>
    <w:p w14:paraId="1CB0BA86" w14:textId="77777777" w:rsidR="00414CE6" w:rsidRDefault="00414CE6" w:rsidP="00406A25">
      <w:pPr>
        <w:ind w:left="709" w:hanging="709"/>
        <w:rPr>
          <w:sz w:val="24"/>
          <w:szCs w:val="24"/>
        </w:rPr>
      </w:pPr>
    </w:p>
    <w:p w14:paraId="42F0653F" w14:textId="77777777" w:rsidR="001674B9" w:rsidRPr="00E72293" w:rsidRDefault="001674B9" w:rsidP="00406A25">
      <w:pPr>
        <w:ind w:left="709" w:hanging="709"/>
        <w:rPr>
          <w:sz w:val="24"/>
          <w:szCs w:val="24"/>
        </w:rPr>
      </w:pPr>
    </w:p>
    <w:p w14:paraId="1B68EF11" w14:textId="77777777" w:rsidR="00406A25" w:rsidRPr="003576FF" w:rsidRDefault="00406A25" w:rsidP="00406A25">
      <w:pPr>
        <w:rPr>
          <w:b/>
          <w:sz w:val="24"/>
          <w:szCs w:val="24"/>
        </w:rPr>
      </w:pPr>
      <w:r w:rsidRPr="003576FF">
        <w:rPr>
          <w:b/>
          <w:sz w:val="24"/>
          <w:szCs w:val="24"/>
        </w:rPr>
        <w:t xml:space="preserve">Table </w:t>
      </w:r>
      <w:r w:rsidR="00251DF2">
        <w:rPr>
          <w:b/>
          <w:sz w:val="24"/>
          <w:szCs w:val="24"/>
        </w:rPr>
        <w:t>3</w:t>
      </w:r>
      <w:r w:rsidRPr="003576FF">
        <w:rPr>
          <w:b/>
          <w:sz w:val="24"/>
          <w:szCs w:val="24"/>
        </w:rPr>
        <w:t xml:space="preserve"> – Most Likely Case Scenario</w:t>
      </w:r>
      <w:r w:rsidR="00331413">
        <w:rPr>
          <w:b/>
          <w:sz w:val="24"/>
          <w:szCs w:val="24"/>
        </w:rPr>
        <w:t xml:space="preserve"> £5 Council tax increase and 2.95%</w:t>
      </w:r>
      <w:r w:rsidR="005536E2">
        <w:rPr>
          <w:b/>
          <w:sz w:val="24"/>
          <w:szCs w:val="24"/>
        </w:rPr>
        <w:t xml:space="preserve"> 2025/26 2026/27 and 1.95% 2027/28</w:t>
      </w:r>
    </w:p>
    <w:p w14:paraId="23A8161A" w14:textId="77777777" w:rsidR="00DE49C0" w:rsidRPr="003576FF" w:rsidRDefault="00DE49C0" w:rsidP="00406A25">
      <w:pPr>
        <w:ind w:left="709" w:hanging="709"/>
        <w:rPr>
          <w:sz w:val="24"/>
          <w:szCs w:val="24"/>
        </w:rPr>
      </w:pPr>
      <w:bookmarkStart w:id="23" w:name="_Hlk12122239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1342"/>
        <w:gridCol w:w="1342"/>
        <w:gridCol w:w="1256"/>
        <w:gridCol w:w="1256"/>
        <w:gridCol w:w="1212"/>
      </w:tblGrid>
      <w:tr w:rsidR="001A0CB9" w:rsidRPr="003576FF" w14:paraId="30776B8E" w14:textId="77777777" w:rsidTr="008748D3">
        <w:tc>
          <w:tcPr>
            <w:tcW w:w="2560" w:type="dxa"/>
            <w:tcBorders>
              <w:bottom w:val="single" w:sz="4" w:space="0" w:color="auto"/>
            </w:tcBorders>
            <w:shd w:val="clear" w:color="auto" w:fill="D9D9D9"/>
          </w:tcPr>
          <w:p w14:paraId="02649C65" w14:textId="77777777" w:rsidR="001A0CB9" w:rsidRPr="003576FF" w:rsidRDefault="001A0CB9" w:rsidP="0054420C">
            <w:pPr>
              <w:rPr>
                <w:sz w:val="24"/>
                <w:szCs w:val="24"/>
              </w:rPr>
            </w:pPr>
          </w:p>
        </w:tc>
        <w:tc>
          <w:tcPr>
            <w:tcW w:w="1342" w:type="dxa"/>
            <w:tcBorders>
              <w:bottom w:val="single" w:sz="4" w:space="0" w:color="auto"/>
            </w:tcBorders>
            <w:shd w:val="clear" w:color="auto" w:fill="D9D9D9"/>
          </w:tcPr>
          <w:p w14:paraId="68D083F7" w14:textId="77777777" w:rsidR="001A0CB9" w:rsidRDefault="001A0CB9" w:rsidP="0054420C">
            <w:pPr>
              <w:jc w:val="center"/>
              <w:rPr>
                <w:b/>
                <w:sz w:val="24"/>
                <w:szCs w:val="24"/>
              </w:rPr>
            </w:pPr>
            <w:r>
              <w:rPr>
                <w:b/>
                <w:sz w:val="24"/>
                <w:szCs w:val="24"/>
              </w:rPr>
              <w:t>2023/24</w:t>
            </w:r>
          </w:p>
          <w:p w14:paraId="22637A32" w14:textId="77777777" w:rsidR="001A0CB9" w:rsidRDefault="001A0CB9" w:rsidP="0054420C">
            <w:pPr>
              <w:jc w:val="center"/>
              <w:rPr>
                <w:b/>
                <w:sz w:val="24"/>
                <w:szCs w:val="24"/>
              </w:rPr>
            </w:pPr>
            <w:r>
              <w:rPr>
                <w:b/>
                <w:sz w:val="24"/>
                <w:szCs w:val="24"/>
              </w:rPr>
              <w:t>£,000</w:t>
            </w:r>
          </w:p>
        </w:tc>
        <w:tc>
          <w:tcPr>
            <w:tcW w:w="1342" w:type="dxa"/>
            <w:tcBorders>
              <w:bottom w:val="single" w:sz="4" w:space="0" w:color="auto"/>
            </w:tcBorders>
            <w:shd w:val="clear" w:color="auto" w:fill="D9D9D9"/>
          </w:tcPr>
          <w:p w14:paraId="5D538403" w14:textId="77777777" w:rsidR="001A0CB9" w:rsidRPr="003576FF" w:rsidRDefault="001A0CB9" w:rsidP="0054420C">
            <w:pPr>
              <w:jc w:val="center"/>
              <w:rPr>
                <w:b/>
                <w:sz w:val="24"/>
                <w:szCs w:val="24"/>
              </w:rPr>
            </w:pPr>
            <w:r>
              <w:rPr>
                <w:b/>
                <w:sz w:val="24"/>
                <w:szCs w:val="24"/>
              </w:rPr>
              <w:t>2024/25</w:t>
            </w:r>
          </w:p>
          <w:p w14:paraId="67FC5B9A" w14:textId="77777777" w:rsidR="001A0CB9" w:rsidRPr="003576FF" w:rsidRDefault="001A0CB9" w:rsidP="0054420C">
            <w:pPr>
              <w:jc w:val="center"/>
              <w:rPr>
                <w:b/>
                <w:sz w:val="24"/>
                <w:szCs w:val="24"/>
              </w:rPr>
            </w:pPr>
            <w:r w:rsidRPr="003576FF">
              <w:rPr>
                <w:b/>
                <w:sz w:val="24"/>
                <w:szCs w:val="24"/>
              </w:rPr>
              <w:t>£’000</w:t>
            </w:r>
          </w:p>
        </w:tc>
        <w:tc>
          <w:tcPr>
            <w:tcW w:w="1256" w:type="dxa"/>
            <w:tcBorders>
              <w:bottom w:val="single" w:sz="4" w:space="0" w:color="auto"/>
            </w:tcBorders>
            <w:shd w:val="clear" w:color="auto" w:fill="D9D9D9"/>
          </w:tcPr>
          <w:p w14:paraId="57530E17" w14:textId="77777777" w:rsidR="001A0CB9" w:rsidRDefault="001A0CB9" w:rsidP="00033C5B">
            <w:pPr>
              <w:jc w:val="center"/>
              <w:rPr>
                <w:b/>
                <w:sz w:val="24"/>
                <w:szCs w:val="24"/>
              </w:rPr>
            </w:pPr>
            <w:r>
              <w:rPr>
                <w:b/>
                <w:sz w:val="24"/>
                <w:szCs w:val="24"/>
              </w:rPr>
              <w:t>2025/26</w:t>
            </w:r>
          </w:p>
          <w:p w14:paraId="28507ED2" w14:textId="77777777" w:rsidR="00586C1A" w:rsidRPr="003576FF" w:rsidRDefault="00586C1A" w:rsidP="00033C5B">
            <w:pPr>
              <w:jc w:val="center"/>
              <w:rPr>
                <w:b/>
                <w:sz w:val="24"/>
                <w:szCs w:val="24"/>
              </w:rPr>
            </w:pPr>
            <w:r w:rsidRPr="003576FF">
              <w:rPr>
                <w:b/>
                <w:sz w:val="24"/>
                <w:szCs w:val="24"/>
              </w:rPr>
              <w:t>£’000</w:t>
            </w:r>
          </w:p>
        </w:tc>
        <w:tc>
          <w:tcPr>
            <w:tcW w:w="1256" w:type="dxa"/>
            <w:tcBorders>
              <w:bottom w:val="single" w:sz="4" w:space="0" w:color="auto"/>
            </w:tcBorders>
            <w:shd w:val="clear" w:color="auto" w:fill="D9D9D9"/>
          </w:tcPr>
          <w:p w14:paraId="331DF86F" w14:textId="77777777" w:rsidR="001A0CB9" w:rsidRPr="003576FF" w:rsidRDefault="001A0CB9" w:rsidP="0054420C">
            <w:pPr>
              <w:jc w:val="center"/>
              <w:rPr>
                <w:b/>
                <w:sz w:val="24"/>
                <w:szCs w:val="24"/>
              </w:rPr>
            </w:pPr>
            <w:r>
              <w:rPr>
                <w:b/>
                <w:sz w:val="24"/>
                <w:szCs w:val="24"/>
              </w:rPr>
              <w:t>2026/27</w:t>
            </w:r>
          </w:p>
          <w:p w14:paraId="1FD0925E" w14:textId="77777777" w:rsidR="001A0CB9" w:rsidRPr="003576FF" w:rsidRDefault="001A0CB9" w:rsidP="0054420C">
            <w:pPr>
              <w:jc w:val="center"/>
              <w:rPr>
                <w:b/>
                <w:sz w:val="24"/>
                <w:szCs w:val="24"/>
              </w:rPr>
            </w:pPr>
            <w:r w:rsidRPr="003576FF">
              <w:rPr>
                <w:b/>
                <w:sz w:val="24"/>
                <w:szCs w:val="24"/>
              </w:rPr>
              <w:t>£’000</w:t>
            </w:r>
          </w:p>
        </w:tc>
        <w:tc>
          <w:tcPr>
            <w:tcW w:w="1212" w:type="dxa"/>
            <w:tcBorders>
              <w:bottom w:val="single" w:sz="4" w:space="0" w:color="auto"/>
            </w:tcBorders>
            <w:shd w:val="clear" w:color="auto" w:fill="D9D9D9"/>
          </w:tcPr>
          <w:p w14:paraId="1F8BE409" w14:textId="77777777" w:rsidR="001A0CB9" w:rsidRPr="003576FF" w:rsidRDefault="001A0CB9" w:rsidP="0054420C">
            <w:pPr>
              <w:jc w:val="center"/>
              <w:rPr>
                <w:b/>
                <w:sz w:val="24"/>
                <w:szCs w:val="24"/>
              </w:rPr>
            </w:pPr>
            <w:r>
              <w:rPr>
                <w:b/>
                <w:sz w:val="24"/>
                <w:szCs w:val="24"/>
              </w:rPr>
              <w:t>2027/28</w:t>
            </w:r>
          </w:p>
          <w:p w14:paraId="54B7F679" w14:textId="77777777" w:rsidR="001A0CB9" w:rsidRPr="003576FF" w:rsidRDefault="001A0CB9" w:rsidP="0054420C">
            <w:pPr>
              <w:jc w:val="center"/>
              <w:rPr>
                <w:b/>
                <w:sz w:val="24"/>
                <w:szCs w:val="24"/>
              </w:rPr>
            </w:pPr>
            <w:r w:rsidRPr="003576FF">
              <w:rPr>
                <w:b/>
                <w:sz w:val="24"/>
                <w:szCs w:val="24"/>
              </w:rPr>
              <w:t>£’000</w:t>
            </w:r>
          </w:p>
        </w:tc>
      </w:tr>
      <w:tr w:rsidR="001A0CB9" w:rsidRPr="003576FF" w14:paraId="51616991" w14:textId="77777777" w:rsidTr="008748D3">
        <w:tc>
          <w:tcPr>
            <w:tcW w:w="2560" w:type="dxa"/>
            <w:shd w:val="clear" w:color="auto" w:fill="auto"/>
          </w:tcPr>
          <w:p w14:paraId="7065FA21" w14:textId="77777777" w:rsidR="007B23CF" w:rsidRPr="00995BED" w:rsidRDefault="007B23CF" w:rsidP="007B23CF">
            <w:pPr>
              <w:rPr>
                <w:sz w:val="24"/>
                <w:szCs w:val="24"/>
              </w:rPr>
            </w:pPr>
            <w:r>
              <w:rPr>
                <w:sz w:val="24"/>
                <w:szCs w:val="24"/>
              </w:rPr>
              <w:t xml:space="preserve">Estimated spend. </w:t>
            </w:r>
          </w:p>
          <w:p w14:paraId="1339B223" w14:textId="77777777" w:rsidR="007B23CF" w:rsidRDefault="007B23CF" w:rsidP="007B23CF">
            <w:pPr>
              <w:rPr>
                <w:sz w:val="24"/>
                <w:szCs w:val="24"/>
              </w:rPr>
            </w:pPr>
            <w:r>
              <w:rPr>
                <w:sz w:val="24"/>
                <w:szCs w:val="24"/>
              </w:rPr>
              <w:t>Finance Challenge</w:t>
            </w:r>
          </w:p>
          <w:p w14:paraId="27739CCB" w14:textId="77777777" w:rsidR="001A0CB9" w:rsidRPr="00995BED" w:rsidRDefault="007B23CF" w:rsidP="007B23CF">
            <w:pPr>
              <w:rPr>
                <w:sz w:val="24"/>
                <w:szCs w:val="24"/>
              </w:rPr>
            </w:pPr>
            <w:r>
              <w:rPr>
                <w:sz w:val="24"/>
                <w:szCs w:val="24"/>
              </w:rPr>
              <w:t>Budget Requirement</w:t>
            </w:r>
          </w:p>
        </w:tc>
        <w:tc>
          <w:tcPr>
            <w:tcW w:w="1342" w:type="dxa"/>
          </w:tcPr>
          <w:p w14:paraId="1952D471" w14:textId="77777777" w:rsidR="007B23CF" w:rsidRDefault="007B23CF" w:rsidP="0054420C">
            <w:pPr>
              <w:jc w:val="right"/>
              <w:rPr>
                <w:sz w:val="24"/>
                <w:szCs w:val="24"/>
              </w:rPr>
            </w:pPr>
          </w:p>
          <w:p w14:paraId="19ACAB79" w14:textId="77777777" w:rsidR="007B23CF" w:rsidRDefault="007B23CF" w:rsidP="0054420C">
            <w:pPr>
              <w:jc w:val="right"/>
              <w:rPr>
                <w:sz w:val="24"/>
                <w:szCs w:val="24"/>
              </w:rPr>
            </w:pPr>
          </w:p>
          <w:p w14:paraId="103B122F" w14:textId="77777777" w:rsidR="001A0CB9" w:rsidRPr="00995BED" w:rsidRDefault="001A0CB9" w:rsidP="0054420C">
            <w:pPr>
              <w:jc w:val="right"/>
              <w:rPr>
                <w:sz w:val="24"/>
                <w:szCs w:val="24"/>
              </w:rPr>
            </w:pPr>
            <w:r w:rsidRPr="00995BED">
              <w:rPr>
                <w:sz w:val="24"/>
                <w:szCs w:val="24"/>
              </w:rPr>
              <w:t>49,965</w:t>
            </w:r>
          </w:p>
        </w:tc>
        <w:tc>
          <w:tcPr>
            <w:tcW w:w="1342" w:type="dxa"/>
            <w:shd w:val="clear" w:color="auto" w:fill="auto"/>
          </w:tcPr>
          <w:p w14:paraId="453544A7" w14:textId="77777777" w:rsidR="007B23CF" w:rsidRDefault="00CE487F" w:rsidP="0054420C">
            <w:pPr>
              <w:jc w:val="right"/>
              <w:rPr>
                <w:sz w:val="24"/>
                <w:szCs w:val="24"/>
              </w:rPr>
            </w:pPr>
            <w:r>
              <w:rPr>
                <w:sz w:val="24"/>
                <w:szCs w:val="24"/>
              </w:rPr>
              <w:t>52,836</w:t>
            </w:r>
          </w:p>
          <w:p w14:paraId="2797A19F" w14:textId="77777777" w:rsidR="007B23CF" w:rsidRDefault="00CE487F" w:rsidP="0054420C">
            <w:pPr>
              <w:jc w:val="right"/>
              <w:rPr>
                <w:sz w:val="24"/>
                <w:szCs w:val="24"/>
              </w:rPr>
            </w:pPr>
            <w:r>
              <w:rPr>
                <w:sz w:val="24"/>
                <w:szCs w:val="24"/>
              </w:rPr>
              <w:t>(200)</w:t>
            </w:r>
          </w:p>
          <w:p w14:paraId="7F201A43" w14:textId="77777777" w:rsidR="001A0CB9" w:rsidRPr="00995BED" w:rsidRDefault="001A0CB9" w:rsidP="0054420C">
            <w:pPr>
              <w:jc w:val="right"/>
              <w:rPr>
                <w:sz w:val="24"/>
                <w:szCs w:val="24"/>
              </w:rPr>
            </w:pPr>
            <w:r w:rsidRPr="00995BED">
              <w:rPr>
                <w:sz w:val="24"/>
                <w:szCs w:val="24"/>
              </w:rPr>
              <w:t xml:space="preserve">52,636  </w:t>
            </w:r>
          </w:p>
        </w:tc>
        <w:tc>
          <w:tcPr>
            <w:tcW w:w="1256" w:type="dxa"/>
            <w:shd w:val="clear" w:color="auto" w:fill="auto"/>
          </w:tcPr>
          <w:p w14:paraId="0D9C83D0" w14:textId="77777777" w:rsidR="007B23CF" w:rsidRDefault="00CE487F" w:rsidP="0054420C">
            <w:pPr>
              <w:jc w:val="right"/>
              <w:rPr>
                <w:sz w:val="24"/>
                <w:szCs w:val="24"/>
              </w:rPr>
            </w:pPr>
            <w:r>
              <w:rPr>
                <w:sz w:val="24"/>
                <w:szCs w:val="24"/>
              </w:rPr>
              <w:t>57,711</w:t>
            </w:r>
          </w:p>
          <w:p w14:paraId="487985A0" w14:textId="77777777" w:rsidR="007B23CF" w:rsidRDefault="00CE487F" w:rsidP="0054420C">
            <w:pPr>
              <w:jc w:val="right"/>
              <w:rPr>
                <w:sz w:val="24"/>
                <w:szCs w:val="24"/>
              </w:rPr>
            </w:pPr>
            <w:r>
              <w:rPr>
                <w:sz w:val="24"/>
                <w:szCs w:val="24"/>
              </w:rPr>
              <w:t>(200)</w:t>
            </w:r>
          </w:p>
          <w:p w14:paraId="79081467" w14:textId="77777777" w:rsidR="001A0CB9" w:rsidRPr="00995BED" w:rsidRDefault="001A0CB9" w:rsidP="0054420C">
            <w:pPr>
              <w:jc w:val="right"/>
              <w:rPr>
                <w:sz w:val="24"/>
                <w:szCs w:val="24"/>
              </w:rPr>
            </w:pPr>
            <w:r w:rsidRPr="00995BED">
              <w:rPr>
                <w:sz w:val="24"/>
                <w:szCs w:val="24"/>
              </w:rPr>
              <w:t>55,511</w:t>
            </w:r>
          </w:p>
        </w:tc>
        <w:tc>
          <w:tcPr>
            <w:tcW w:w="1256" w:type="dxa"/>
            <w:shd w:val="clear" w:color="auto" w:fill="auto"/>
          </w:tcPr>
          <w:p w14:paraId="4603A5FC" w14:textId="77777777" w:rsidR="007B23CF" w:rsidRDefault="00CE487F" w:rsidP="0054420C">
            <w:pPr>
              <w:jc w:val="right"/>
              <w:rPr>
                <w:sz w:val="24"/>
                <w:szCs w:val="24"/>
              </w:rPr>
            </w:pPr>
            <w:r>
              <w:rPr>
                <w:sz w:val="24"/>
                <w:szCs w:val="24"/>
              </w:rPr>
              <w:t>58,754</w:t>
            </w:r>
          </w:p>
          <w:p w14:paraId="1503840C" w14:textId="77777777" w:rsidR="007B23CF" w:rsidRDefault="00CE487F" w:rsidP="0054420C">
            <w:pPr>
              <w:jc w:val="right"/>
              <w:rPr>
                <w:sz w:val="24"/>
                <w:szCs w:val="24"/>
              </w:rPr>
            </w:pPr>
            <w:r>
              <w:rPr>
                <w:sz w:val="24"/>
                <w:szCs w:val="24"/>
              </w:rPr>
              <w:t>(200)</w:t>
            </w:r>
          </w:p>
          <w:p w14:paraId="42ED8F7C" w14:textId="77777777" w:rsidR="001A0CB9" w:rsidRPr="00995BED" w:rsidRDefault="001A0CB9" w:rsidP="0054420C">
            <w:pPr>
              <w:jc w:val="right"/>
              <w:rPr>
                <w:sz w:val="24"/>
                <w:szCs w:val="24"/>
              </w:rPr>
            </w:pPr>
            <w:r w:rsidRPr="00995BED">
              <w:rPr>
                <w:sz w:val="24"/>
                <w:szCs w:val="24"/>
              </w:rPr>
              <w:t>56,554</w:t>
            </w:r>
          </w:p>
        </w:tc>
        <w:tc>
          <w:tcPr>
            <w:tcW w:w="1212" w:type="dxa"/>
            <w:shd w:val="clear" w:color="auto" w:fill="auto"/>
          </w:tcPr>
          <w:p w14:paraId="2EA65AB2" w14:textId="77777777" w:rsidR="00CE487F" w:rsidRDefault="00CE487F" w:rsidP="00CE487F">
            <w:pPr>
              <w:jc w:val="right"/>
              <w:rPr>
                <w:sz w:val="24"/>
                <w:szCs w:val="24"/>
              </w:rPr>
            </w:pPr>
            <w:r>
              <w:rPr>
                <w:sz w:val="24"/>
                <w:szCs w:val="24"/>
              </w:rPr>
              <w:t>57,877</w:t>
            </w:r>
          </w:p>
          <w:p w14:paraId="3EF21F8D" w14:textId="77777777" w:rsidR="007B23CF" w:rsidRDefault="00CE487F" w:rsidP="0054420C">
            <w:pPr>
              <w:jc w:val="right"/>
              <w:rPr>
                <w:sz w:val="24"/>
                <w:szCs w:val="24"/>
              </w:rPr>
            </w:pPr>
            <w:r>
              <w:rPr>
                <w:sz w:val="24"/>
                <w:szCs w:val="24"/>
              </w:rPr>
              <w:t>(200)</w:t>
            </w:r>
          </w:p>
          <w:p w14:paraId="69B14999" w14:textId="77777777" w:rsidR="001A0CB9" w:rsidRPr="00995BED" w:rsidRDefault="001A0CB9" w:rsidP="0054420C">
            <w:pPr>
              <w:jc w:val="right"/>
              <w:rPr>
                <w:sz w:val="24"/>
                <w:szCs w:val="24"/>
              </w:rPr>
            </w:pPr>
            <w:r w:rsidRPr="00995BED">
              <w:rPr>
                <w:sz w:val="24"/>
                <w:szCs w:val="24"/>
              </w:rPr>
              <w:t>57,677</w:t>
            </w:r>
          </w:p>
        </w:tc>
      </w:tr>
      <w:tr w:rsidR="001A0CB9" w:rsidRPr="003576FF" w14:paraId="200BC581" w14:textId="77777777" w:rsidTr="008748D3">
        <w:tc>
          <w:tcPr>
            <w:tcW w:w="2560" w:type="dxa"/>
            <w:shd w:val="clear" w:color="auto" w:fill="auto"/>
          </w:tcPr>
          <w:p w14:paraId="211BCA9A" w14:textId="77777777" w:rsidR="001A0CB9" w:rsidRPr="00995BED" w:rsidRDefault="001A0CB9" w:rsidP="0054420C">
            <w:pPr>
              <w:rPr>
                <w:sz w:val="24"/>
                <w:szCs w:val="24"/>
              </w:rPr>
            </w:pPr>
            <w:r w:rsidRPr="00995BED">
              <w:rPr>
                <w:sz w:val="24"/>
                <w:szCs w:val="24"/>
              </w:rPr>
              <w:t>Revenue Support Grant (RSG)</w:t>
            </w:r>
          </w:p>
        </w:tc>
        <w:tc>
          <w:tcPr>
            <w:tcW w:w="1342" w:type="dxa"/>
          </w:tcPr>
          <w:p w14:paraId="42383124" w14:textId="77777777" w:rsidR="001A0CB9" w:rsidRPr="00995BED" w:rsidRDefault="001A0CB9" w:rsidP="0054420C">
            <w:pPr>
              <w:jc w:val="right"/>
              <w:rPr>
                <w:sz w:val="24"/>
                <w:szCs w:val="24"/>
              </w:rPr>
            </w:pPr>
            <w:r w:rsidRPr="00995BED">
              <w:rPr>
                <w:sz w:val="24"/>
                <w:szCs w:val="24"/>
              </w:rPr>
              <w:t>(6,189)</w:t>
            </w:r>
          </w:p>
        </w:tc>
        <w:tc>
          <w:tcPr>
            <w:tcW w:w="1342" w:type="dxa"/>
            <w:shd w:val="clear" w:color="auto" w:fill="auto"/>
          </w:tcPr>
          <w:p w14:paraId="00C1F897" w14:textId="77777777" w:rsidR="001A0CB9" w:rsidRPr="00995BED" w:rsidRDefault="001A0CB9" w:rsidP="0054420C">
            <w:pPr>
              <w:jc w:val="right"/>
              <w:rPr>
                <w:sz w:val="24"/>
                <w:szCs w:val="24"/>
              </w:rPr>
            </w:pPr>
            <w:r w:rsidRPr="00995BED">
              <w:rPr>
                <w:sz w:val="24"/>
                <w:szCs w:val="24"/>
              </w:rPr>
              <w:t>(6,599)</w:t>
            </w:r>
          </w:p>
        </w:tc>
        <w:tc>
          <w:tcPr>
            <w:tcW w:w="1256" w:type="dxa"/>
          </w:tcPr>
          <w:p w14:paraId="2C6A6969" w14:textId="77777777" w:rsidR="001A0CB9" w:rsidRPr="00995BED" w:rsidRDefault="001A0CB9" w:rsidP="0054420C">
            <w:pPr>
              <w:jc w:val="right"/>
              <w:rPr>
                <w:sz w:val="24"/>
                <w:szCs w:val="24"/>
              </w:rPr>
            </w:pPr>
            <w:r w:rsidRPr="00995BED">
              <w:rPr>
                <w:sz w:val="24"/>
                <w:szCs w:val="24"/>
              </w:rPr>
              <w:t>(6,677)</w:t>
            </w:r>
          </w:p>
        </w:tc>
        <w:tc>
          <w:tcPr>
            <w:tcW w:w="1256" w:type="dxa"/>
          </w:tcPr>
          <w:p w14:paraId="095AAF99" w14:textId="77777777" w:rsidR="001A0CB9" w:rsidRPr="00995BED" w:rsidRDefault="001A0CB9" w:rsidP="0054420C">
            <w:pPr>
              <w:jc w:val="right"/>
              <w:rPr>
                <w:sz w:val="24"/>
                <w:szCs w:val="24"/>
              </w:rPr>
            </w:pPr>
            <w:r w:rsidRPr="00995BED">
              <w:rPr>
                <w:sz w:val="24"/>
                <w:szCs w:val="24"/>
              </w:rPr>
              <w:t>(6,927)</w:t>
            </w:r>
          </w:p>
        </w:tc>
        <w:tc>
          <w:tcPr>
            <w:tcW w:w="1212" w:type="dxa"/>
          </w:tcPr>
          <w:p w14:paraId="770F4660" w14:textId="77777777" w:rsidR="001A0CB9" w:rsidRPr="00995BED" w:rsidRDefault="001A0CB9" w:rsidP="0054420C">
            <w:pPr>
              <w:jc w:val="right"/>
              <w:rPr>
                <w:sz w:val="24"/>
                <w:szCs w:val="24"/>
              </w:rPr>
            </w:pPr>
            <w:r w:rsidRPr="00995BED">
              <w:rPr>
                <w:sz w:val="24"/>
                <w:szCs w:val="24"/>
              </w:rPr>
              <w:t>(7,065)</w:t>
            </w:r>
          </w:p>
        </w:tc>
      </w:tr>
      <w:tr w:rsidR="001A0CB9" w:rsidRPr="003576FF" w14:paraId="17587266" w14:textId="77777777" w:rsidTr="008748D3">
        <w:tc>
          <w:tcPr>
            <w:tcW w:w="2560" w:type="dxa"/>
            <w:shd w:val="clear" w:color="auto" w:fill="auto"/>
          </w:tcPr>
          <w:p w14:paraId="7EA4A207" w14:textId="77777777" w:rsidR="001A0CB9" w:rsidRPr="00995BED" w:rsidRDefault="001A0CB9" w:rsidP="0054420C">
            <w:pPr>
              <w:rPr>
                <w:sz w:val="24"/>
                <w:szCs w:val="24"/>
              </w:rPr>
            </w:pPr>
            <w:r w:rsidRPr="00995BED">
              <w:rPr>
                <w:sz w:val="24"/>
                <w:szCs w:val="24"/>
              </w:rPr>
              <w:t>Business Rate (BR) Income</w:t>
            </w:r>
          </w:p>
        </w:tc>
        <w:tc>
          <w:tcPr>
            <w:tcW w:w="1342" w:type="dxa"/>
          </w:tcPr>
          <w:p w14:paraId="0CE8E147"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(3,649)</w:t>
            </w:r>
          </w:p>
        </w:tc>
        <w:tc>
          <w:tcPr>
            <w:tcW w:w="1342" w:type="dxa"/>
            <w:shd w:val="clear" w:color="auto" w:fill="auto"/>
          </w:tcPr>
          <w:p w14:paraId="5D1728A6"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(3,613)</w:t>
            </w:r>
          </w:p>
        </w:tc>
        <w:tc>
          <w:tcPr>
            <w:tcW w:w="1256" w:type="dxa"/>
          </w:tcPr>
          <w:p w14:paraId="5C7F498F"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(3,722)</w:t>
            </w:r>
          </w:p>
        </w:tc>
        <w:tc>
          <w:tcPr>
            <w:tcW w:w="1256" w:type="dxa"/>
          </w:tcPr>
          <w:p w14:paraId="1A35EA50"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(4,176)</w:t>
            </w:r>
          </w:p>
        </w:tc>
        <w:tc>
          <w:tcPr>
            <w:tcW w:w="1212" w:type="dxa"/>
          </w:tcPr>
          <w:p w14:paraId="216AC01A"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(4,294)</w:t>
            </w:r>
          </w:p>
        </w:tc>
      </w:tr>
      <w:tr w:rsidR="001A0CB9" w:rsidRPr="003576FF" w14:paraId="7A71F69E" w14:textId="77777777" w:rsidTr="008748D3">
        <w:tc>
          <w:tcPr>
            <w:tcW w:w="2560" w:type="dxa"/>
            <w:shd w:val="clear" w:color="auto" w:fill="auto"/>
          </w:tcPr>
          <w:p w14:paraId="37297B70" w14:textId="77777777" w:rsidR="001A0CB9" w:rsidRPr="00995BED" w:rsidRDefault="001A0CB9" w:rsidP="0054420C">
            <w:pPr>
              <w:rPr>
                <w:sz w:val="24"/>
                <w:szCs w:val="24"/>
              </w:rPr>
            </w:pPr>
            <w:r w:rsidRPr="00995BED">
              <w:rPr>
                <w:sz w:val="24"/>
                <w:szCs w:val="24"/>
              </w:rPr>
              <w:t>Pension Grant</w:t>
            </w:r>
          </w:p>
        </w:tc>
        <w:tc>
          <w:tcPr>
            <w:tcW w:w="1342" w:type="dxa"/>
          </w:tcPr>
          <w:p w14:paraId="4D713CFF"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(2,340)</w:t>
            </w:r>
          </w:p>
        </w:tc>
        <w:tc>
          <w:tcPr>
            <w:tcW w:w="1342" w:type="dxa"/>
            <w:shd w:val="clear" w:color="auto" w:fill="auto"/>
          </w:tcPr>
          <w:p w14:paraId="0C3DDD27"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(2,340)</w:t>
            </w:r>
          </w:p>
        </w:tc>
        <w:tc>
          <w:tcPr>
            <w:tcW w:w="1256" w:type="dxa"/>
          </w:tcPr>
          <w:p w14:paraId="3C59E4D4"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(2,340)</w:t>
            </w:r>
          </w:p>
        </w:tc>
        <w:tc>
          <w:tcPr>
            <w:tcW w:w="1256" w:type="dxa"/>
          </w:tcPr>
          <w:p w14:paraId="5FAC73AD"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(2,340)</w:t>
            </w:r>
          </w:p>
        </w:tc>
        <w:tc>
          <w:tcPr>
            <w:tcW w:w="1212" w:type="dxa"/>
          </w:tcPr>
          <w:p w14:paraId="75DEABCE"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(2,480)</w:t>
            </w:r>
          </w:p>
        </w:tc>
      </w:tr>
      <w:tr w:rsidR="001A0CB9" w:rsidRPr="003576FF" w14:paraId="6BA16CC4" w14:textId="77777777" w:rsidTr="008748D3">
        <w:tc>
          <w:tcPr>
            <w:tcW w:w="2560" w:type="dxa"/>
            <w:shd w:val="clear" w:color="auto" w:fill="auto"/>
          </w:tcPr>
          <w:p w14:paraId="010F041D" w14:textId="77777777" w:rsidR="001A0CB9" w:rsidRPr="00995BED" w:rsidRDefault="001A0CB9" w:rsidP="0054420C">
            <w:pPr>
              <w:rPr>
                <w:sz w:val="24"/>
                <w:szCs w:val="24"/>
              </w:rPr>
            </w:pPr>
            <w:r w:rsidRPr="00995BED">
              <w:rPr>
                <w:sz w:val="24"/>
                <w:szCs w:val="24"/>
              </w:rPr>
              <w:t>BR Top up Grant</w:t>
            </w:r>
          </w:p>
        </w:tc>
        <w:tc>
          <w:tcPr>
            <w:tcW w:w="1342" w:type="dxa"/>
          </w:tcPr>
          <w:p w14:paraId="381D71A0"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(7,638)</w:t>
            </w:r>
          </w:p>
        </w:tc>
        <w:tc>
          <w:tcPr>
            <w:tcW w:w="1342" w:type="dxa"/>
            <w:shd w:val="clear" w:color="auto" w:fill="auto"/>
          </w:tcPr>
          <w:p w14:paraId="5C9CDD98"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(7,653)</w:t>
            </w:r>
          </w:p>
        </w:tc>
        <w:tc>
          <w:tcPr>
            <w:tcW w:w="1256" w:type="dxa"/>
          </w:tcPr>
          <w:p w14:paraId="08EDE6B1"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(7,802)</w:t>
            </w:r>
          </w:p>
        </w:tc>
        <w:tc>
          <w:tcPr>
            <w:tcW w:w="1256" w:type="dxa"/>
          </w:tcPr>
          <w:p w14:paraId="29B7B8F1"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(7,278)</w:t>
            </w:r>
          </w:p>
        </w:tc>
        <w:tc>
          <w:tcPr>
            <w:tcW w:w="1212" w:type="dxa"/>
          </w:tcPr>
          <w:p w14:paraId="083EC893"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(7,418)</w:t>
            </w:r>
          </w:p>
        </w:tc>
      </w:tr>
      <w:tr w:rsidR="001A0CB9" w:rsidRPr="003576FF" w14:paraId="3A126887" w14:textId="77777777" w:rsidTr="008748D3">
        <w:tc>
          <w:tcPr>
            <w:tcW w:w="2560" w:type="dxa"/>
            <w:shd w:val="clear" w:color="auto" w:fill="auto"/>
          </w:tcPr>
          <w:p w14:paraId="2AD69257" w14:textId="77777777" w:rsidR="001A0CB9" w:rsidRPr="00995BED" w:rsidRDefault="0059365E" w:rsidP="0054420C">
            <w:pPr>
              <w:rPr>
                <w:sz w:val="24"/>
                <w:szCs w:val="24"/>
              </w:rPr>
            </w:pPr>
            <w:r w:rsidRPr="00995BED">
              <w:rPr>
                <w:sz w:val="24"/>
                <w:szCs w:val="24"/>
              </w:rPr>
              <w:t>Council Tax (£5) 2.95% 2025/26 2026/27</w:t>
            </w:r>
            <w:r w:rsidR="0010774A">
              <w:rPr>
                <w:sz w:val="24"/>
                <w:szCs w:val="24"/>
              </w:rPr>
              <w:t xml:space="preserve"> </w:t>
            </w:r>
            <w:r w:rsidRPr="00995BED">
              <w:rPr>
                <w:sz w:val="24"/>
                <w:szCs w:val="24"/>
              </w:rPr>
              <w:t>and 2% 2027/28</w:t>
            </w:r>
          </w:p>
        </w:tc>
        <w:tc>
          <w:tcPr>
            <w:tcW w:w="1342" w:type="dxa"/>
          </w:tcPr>
          <w:p w14:paraId="04B8E641"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(29,746)</w:t>
            </w:r>
          </w:p>
        </w:tc>
        <w:tc>
          <w:tcPr>
            <w:tcW w:w="1342" w:type="dxa"/>
            <w:shd w:val="clear" w:color="auto" w:fill="auto"/>
          </w:tcPr>
          <w:p w14:paraId="44660C80"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(31,830)</w:t>
            </w:r>
          </w:p>
        </w:tc>
        <w:tc>
          <w:tcPr>
            <w:tcW w:w="1256" w:type="dxa"/>
          </w:tcPr>
          <w:p w14:paraId="19FA6FE1"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(33,212)</w:t>
            </w:r>
          </w:p>
        </w:tc>
        <w:tc>
          <w:tcPr>
            <w:tcW w:w="1256" w:type="dxa"/>
          </w:tcPr>
          <w:p w14:paraId="37A2DB5D"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(34,652)</w:t>
            </w:r>
          </w:p>
        </w:tc>
        <w:tc>
          <w:tcPr>
            <w:tcW w:w="1212" w:type="dxa"/>
          </w:tcPr>
          <w:p w14:paraId="7DC64357" w14:textId="77777777" w:rsidR="001A0CB9" w:rsidRPr="00995BED" w:rsidRDefault="001A0CB9" w:rsidP="0054420C">
            <w:pPr>
              <w:pStyle w:val="NoSpacing"/>
              <w:jc w:val="right"/>
              <w:rPr>
                <w:rFonts w:ascii="Arial" w:hAnsi="Arial" w:cs="Arial"/>
                <w:sz w:val="24"/>
                <w:szCs w:val="24"/>
              </w:rPr>
            </w:pPr>
            <w:r w:rsidRPr="00995BED">
              <w:rPr>
                <w:rFonts w:ascii="Arial" w:hAnsi="Arial" w:cs="Arial"/>
                <w:sz w:val="24"/>
                <w:szCs w:val="24"/>
              </w:rPr>
              <w:t>(35,804)</w:t>
            </w:r>
          </w:p>
        </w:tc>
      </w:tr>
      <w:tr w:rsidR="001A0CB9" w:rsidRPr="003576FF" w14:paraId="11FDDDD4" w14:textId="77777777" w:rsidTr="008748D3">
        <w:tc>
          <w:tcPr>
            <w:tcW w:w="2560" w:type="dxa"/>
            <w:shd w:val="clear" w:color="auto" w:fill="auto"/>
          </w:tcPr>
          <w:p w14:paraId="6F40C9B3" w14:textId="77777777" w:rsidR="001A0CB9" w:rsidRPr="00995BED" w:rsidRDefault="001A0CB9" w:rsidP="0054420C">
            <w:pPr>
              <w:rPr>
                <w:sz w:val="24"/>
                <w:szCs w:val="24"/>
              </w:rPr>
            </w:pPr>
          </w:p>
        </w:tc>
        <w:tc>
          <w:tcPr>
            <w:tcW w:w="1342" w:type="dxa"/>
          </w:tcPr>
          <w:p w14:paraId="2386BCE2" w14:textId="77777777" w:rsidR="001A0CB9" w:rsidRPr="00995BED" w:rsidRDefault="001A0CB9" w:rsidP="0054420C">
            <w:pPr>
              <w:jc w:val="right"/>
              <w:rPr>
                <w:sz w:val="24"/>
                <w:szCs w:val="24"/>
              </w:rPr>
            </w:pPr>
          </w:p>
        </w:tc>
        <w:tc>
          <w:tcPr>
            <w:tcW w:w="1342" w:type="dxa"/>
            <w:shd w:val="clear" w:color="auto" w:fill="auto"/>
          </w:tcPr>
          <w:p w14:paraId="0308F077" w14:textId="77777777" w:rsidR="001A0CB9" w:rsidRPr="00995BED" w:rsidRDefault="001A0CB9" w:rsidP="0054420C">
            <w:pPr>
              <w:jc w:val="right"/>
              <w:rPr>
                <w:sz w:val="24"/>
                <w:szCs w:val="24"/>
              </w:rPr>
            </w:pPr>
          </w:p>
        </w:tc>
        <w:tc>
          <w:tcPr>
            <w:tcW w:w="1256" w:type="dxa"/>
          </w:tcPr>
          <w:p w14:paraId="08FDA7DA" w14:textId="77777777" w:rsidR="001A0CB9" w:rsidRPr="00995BED" w:rsidRDefault="001A0CB9" w:rsidP="0054420C">
            <w:pPr>
              <w:jc w:val="right"/>
              <w:rPr>
                <w:sz w:val="24"/>
                <w:szCs w:val="24"/>
              </w:rPr>
            </w:pPr>
          </w:p>
        </w:tc>
        <w:tc>
          <w:tcPr>
            <w:tcW w:w="1256" w:type="dxa"/>
          </w:tcPr>
          <w:p w14:paraId="061D0688" w14:textId="77777777" w:rsidR="001A0CB9" w:rsidRPr="00995BED" w:rsidRDefault="001A0CB9" w:rsidP="0054420C">
            <w:pPr>
              <w:jc w:val="right"/>
              <w:rPr>
                <w:sz w:val="24"/>
                <w:szCs w:val="24"/>
              </w:rPr>
            </w:pPr>
          </w:p>
        </w:tc>
        <w:tc>
          <w:tcPr>
            <w:tcW w:w="1212" w:type="dxa"/>
          </w:tcPr>
          <w:p w14:paraId="22903995" w14:textId="77777777" w:rsidR="001A0CB9" w:rsidRPr="00995BED" w:rsidRDefault="001A0CB9" w:rsidP="0054420C">
            <w:pPr>
              <w:jc w:val="right"/>
              <w:rPr>
                <w:sz w:val="24"/>
                <w:szCs w:val="24"/>
              </w:rPr>
            </w:pPr>
          </w:p>
        </w:tc>
      </w:tr>
      <w:tr w:rsidR="001A0CB9" w:rsidRPr="003576FF" w14:paraId="37EA9E22" w14:textId="77777777" w:rsidTr="008748D3">
        <w:tc>
          <w:tcPr>
            <w:tcW w:w="2560" w:type="dxa"/>
            <w:shd w:val="clear" w:color="auto" w:fill="auto"/>
          </w:tcPr>
          <w:p w14:paraId="5333D2A6" w14:textId="77777777" w:rsidR="001A0CB9" w:rsidRPr="00995BED" w:rsidRDefault="001A0CB9" w:rsidP="0054420C">
            <w:pPr>
              <w:rPr>
                <w:b/>
                <w:sz w:val="24"/>
                <w:szCs w:val="24"/>
              </w:rPr>
            </w:pPr>
            <w:r w:rsidRPr="00995BED">
              <w:rPr>
                <w:b/>
                <w:sz w:val="24"/>
                <w:szCs w:val="24"/>
              </w:rPr>
              <w:t>Budget Deficit</w:t>
            </w:r>
          </w:p>
        </w:tc>
        <w:tc>
          <w:tcPr>
            <w:tcW w:w="1342" w:type="dxa"/>
          </w:tcPr>
          <w:p w14:paraId="062512D5" w14:textId="77777777" w:rsidR="001A0CB9" w:rsidRPr="00995BED" w:rsidRDefault="001A0CB9" w:rsidP="0054420C">
            <w:pPr>
              <w:jc w:val="right"/>
              <w:rPr>
                <w:b/>
                <w:sz w:val="24"/>
                <w:szCs w:val="24"/>
              </w:rPr>
            </w:pPr>
            <w:r w:rsidRPr="00995BED">
              <w:rPr>
                <w:b/>
                <w:sz w:val="24"/>
                <w:szCs w:val="24"/>
              </w:rPr>
              <w:t>403</w:t>
            </w:r>
          </w:p>
        </w:tc>
        <w:tc>
          <w:tcPr>
            <w:tcW w:w="1342" w:type="dxa"/>
            <w:shd w:val="clear" w:color="auto" w:fill="auto"/>
          </w:tcPr>
          <w:p w14:paraId="575037C4" w14:textId="77777777" w:rsidR="001A0CB9" w:rsidRPr="00995BED" w:rsidRDefault="001A0CB9" w:rsidP="0054420C">
            <w:pPr>
              <w:jc w:val="right"/>
              <w:rPr>
                <w:b/>
                <w:sz w:val="24"/>
                <w:szCs w:val="24"/>
              </w:rPr>
            </w:pPr>
            <w:r w:rsidRPr="00995BED">
              <w:rPr>
                <w:b/>
                <w:sz w:val="24"/>
                <w:szCs w:val="24"/>
              </w:rPr>
              <w:t>601</w:t>
            </w:r>
          </w:p>
        </w:tc>
        <w:tc>
          <w:tcPr>
            <w:tcW w:w="1256" w:type="dxa"/>
          </w:tcPr>
          <w:p w14:paraId="3B78317F" w14:textId="77777777" w:rsidR="001A0CB9" w:rsidRPr="00995BED" w:rsidRDefault="001A0CB9" w:rsidP="0054420C">
            <w:pPr>
              <w:jc w:val="right"/>
              <w:rPr>
                <w:b/>
                <w:sz w:val="24"/>
                <w:szCs w:val="24"/>
              </w:rPr>
            </w:pPr>
            <w:r w:rsidRPr="00995BED">
              <w:rPr>
                <w:b/>
                <w:sz w:val="24"/>
                <w:szCs w:val="24"/>
              </w:rPr>
              <w:t>1,758</w:t>
            </w:r>
          </w:p>
          <w:p w14:paraId="0D0FA012" w14:textId="77777777" w:rsidR="001A0CB9" w:rsidRPr="00995BED" w:rsidRDefault="001A0CB9" w:rsidP="0054420C">
            <w:pPr>
              <w:jc w:val="right"/>
              <w:rPr>
                <w:b/>
                <w:sz w:val="24"/>
                <w:szCs w:val="24"/>
              </w:rPr>
            </w:pPr>
          </w:p>
        </w:tc>
        <w:tc>
          <w:tcPr>
            <w:tcW w:w="1256" w:type="dxa"/>
          </w:tcPr>
          <w:p w14:paraId="2B7C783B" w14:textId="77777777" w:rsidR="001A0CB9" w:rsidRPr="00995BED" w:rsidRDefault="001A0CB9" w:rsidP="0054420C">
            <w:pPr>
              <w:jc w:val="right"/>
              <w:rPr>
                <w:b/>
                <w:sz w:val="24"/>
                <w:szCs w:val="24"/>
              </w:rPr>
            </w:pPr>
            <w:r w:rsidRPr="00995BED">
              <w:rPr>
                <w:b/>
                <w:sz w:val="24"/>
                <w:szCs w:val="24"/>
              </w:rPr>
              <w:t>1,181</w:t>
            </w:r>
          </w:p>
        </w:tc>
        <w:tc>
          <w:tcPr>
            <w:tcW w:w="1212" w:type="dxa"/>
          </w:tcPr>
          <w:p w14:paraId="611D30EB" w14:textId="77777777" w:rsidR="001A0CB9" w:rsidRPr="00995BED" w:rsidRDefault="001A0CB9" w:rsidP="0054420C">
            <w:pPr>
              <w:jc w:val="right"/>
              <w:rPr>
                <w:b/>
                <w:sz w:val="24"/>
                <w:szCs w:val="24"/>
              </w:rPr>
            </w:pPr>
            <w:r w:rsidRPr="00995BED">
              <w:rPr>
                <w:b/>
                <w:sz w:val="24"/>
                <w:szCs w:val="24"/>
              </w:rPr>
              <w:t>616</w:t>
            </w:r>
          </w:p>
        </w:tc>
      </w:tr>
    </w:tbl>
    <w:p w14:paraId="3EC1545F" w14:textId="77777777" w:rsidR="00406A25" w:rsidRPr="003576FF" w:rsidRDefault="00406A25" w:rsidP="00DE49C0">
      <w:pPr>
        <w:rPr>
          <w:sz w:val="24"/>
          <w:szCs w:val="24"/>
        </w:rPr>
      </w:pPr>
    </w:p>
    <w:bookmarkEnd w:id="23"/>
    <w:p w14:paraId="19CE8812" w14:textId="77777777" w:rsidR="00406A25" w:rsidRDefault="00DC1DE7" w:rsidP="00406A25">
      <w:pPr>
        <w:ind w:left="709" w:hanging="709"/>
        <w:rPr>
          <w:sz w:val="24"/>
          <w:szCs w:val="24"/>
        </w:rPr>
      </w:pPr>
      <w:r w:rsidRPr="00E168CF">
        <w:rPr>
          <w:sz w:val="24"/>
          <w:szCs w:val="24"/>
        </w:rPr>
        <w:t>6.1</w:t>
      </w:r>
      <w:r w:rsidR="00324D44">
        <w:rPr>
          <w:sz w:val="24"/>
          <w:szCs w:val="24"/>
        </w:rPr>
        <w:t>0</w:t>
      </w:r>
      <w:r w:rsidR="00406A25" w:rsidRPr="00E168CF">
        <w:rPr>
          <w:sz w:val="24"/>
          <w:szCs w:val="24"/>
        </w:rPr>
        <w:tab/>
      </w:r>
      <w:r w:rsidR="00406A25" w:rsidRPr="00A62B80">
        <w:rPr>
          <w:sz w:val="24"/>
          <w:szCs w:val="24"/>
        </w:rPr>
        <w:t xml:space="preserve">If a nil council tax increase is approved in </w:t>
      </w:r>
      <w:r w:rsidR="004B6C98" w:rsidRPr="00A62B80">
        <w:rPr>
          <w:sz w:val="24"/>
          <w:szCs w:val="24"/>
        </w:rPr>
        <w:t>2024/25</w:t>
      </w:r>
      <w:r w:rsidR="00406A25" w:rsidRPr="00A62B80">
        <w:rPr>
          <w:sz w:val="24"/>
          <w:szCs w:val="24"/>
        </w:rPr>
        <w:t xml:space="preserve">, the deficit position in the scenario in Table </w:t>
      </w:r>
      <w:r w:rsidR="009803AF" w:rsidRPr="00A62B80">
        <w:rPr>
          <w:sz w:val="24"/>
          <w:szCs w:val="24"/>
        </w:rPr>
        <w:t>4</w:t>
      </w:r>
      <w:r w:rsidR="00406A25" w:rsidRPr="00A62B80">
        <w:rPr>
          <w:sz w:val="24"/>
          <w:szCs w:val="24"/>
        </w:rPr>
        <w:t xml:space="preserve"> becomes £</w:t>
      </w:r>
      <w:r w:rsidR="00E168CF" w:rsidRPr="00A62B80">
        <w:rPr>
          <w:sz w:val="24"/>
          <w:szCs w:val="24"/>
        </w:rPr>
        <w:t>2</w:t>
      </w:r>
      <w:r w:rsidR="00F27FCB" w:rsidRPr="00A62B80">
        <w:rPr>
          <w:sz w:val="24"/>
          <w:szCs w:val="24"/>
        </w:rPr>
        <w:t>.685</w:t>
      </w:r>
      <w:r w:rsidR="00406A25" w:rsidRPr="00A62B80">
        <w:rPr>
          <w:sz w:val="24"/>
          <w:szCs w:val="24"/>
        </w:rPr>
        <w:t xml:space="preserve">m.  </w:t>
      </w:r>
      <w:r w:rsidR="00E168CF" w:rsidRPr="00A62B80">
        <w:rPr>
          <w:sz w:val="24"/>
          <w:szCs w:val="24"/>
        </w:rPr>
        <w:t xml:space="preserve">A </w:t>
      </w:r>
      <w:r w:rsidR="00130CF6" w:rsidRPr="00A62B80">
        <w:rPr>
          <w:sz w:val="24"/>
          <w:szCs w:val="24"/>
        </w:rPr>
        <w:t xml:space="preserve">2.95% </w:t>
      </w:r>
      <w:r w:rsidR="00E168CF" w:rsidRPr="00A62B80">
        <w:rPr>
          <w:sz w:val="24"/>
          <w:szCs w:val="24"/>
        </w:rPr>
        <w:t>would result in deficit figures of £</w:t>
      </w:r>
      <w:r w:rsidR="00130CF6" w:rsidRPr="00A62B80">
        <w:rPr>
          <w:sz w:val="24"/>
          <w:szCs w:val="24"/>
        </w:rPr>
        <w:t>1.</w:t>
      </w:r>
      <w:r w:rsidR="0061496F" w:rsidRPr="00A62B80">
        <w:rPr>
          <w:sz w:val="24"/>
          <w:szCs w:val="24"/>
        </w:rPr>
        <w:t>395</w:t>
      </w:r>
      <w:r w:rsidR="00130CF6" w:rsidRPr="00A62B80">
        <w:rPr>
          <w:sz w:val="24"/>
          <w:szCs w:val="24"/>
        </w:rPr>
        <w:t>m</w:t>
      </w:r>
      <w:r w:rsidR="00E168CF" w:rsidRPr="00A62B80">
        <w:rPr>
          <w:sz w:val="24"/>
          <w:szCs w:val="24"/>
        </w:rPr>
        <w:t>.</w:t>
      </w:r>
      <w:r w:rsidR="00E168CF" w:rsidRPr="00E168CF">
        <w:rPr>
          <w:sz w:val="24"/>
          <w:szCs w:val="24"/>
        </w:rPr>
        <w:t xml:space="preserve">  </w:t>
      </w:r>
    </w:p>
    <w:p w14:paraId="2346DFED" w14:textId="77777777" w:rsidR="001674B9" w:rsidRDefault="001674B9" w:rsidP="00406A25">
      <w:pPr>
        <w:ind w:left="709" w:hanging="709"/>
        <w:rPr>
          <w:sz w:val="24"/>
          <w:szCs w:val="24"/>
        </w:rPr>
      </w:pPr>
    </w:p>
    <w:p w14:paraId="71094237" w14:textId="77777777" w:rsidR="001674B9" w:rsidRPr="00E168CF" w:rsidRDefault="001674B9" w:rsidP="00406A25">
      <w:pPr>
        <w:ind w:left="709" w:hanging="709"/>
        <w:rPr>
          <w:sz w:val="24"/>
          <w:szCs w:val="24"/>
        </w:rPr>
      </w:pPr>
      <w:r>
        <w:rPr>
          <w:sz w:val="24"/>
          <w:szCs w:val="24"/>
        </w:rPr>
        <w:t>6.1</w:t>
      </w:r>
      <w:r w:rsidR="00324D44">
        <w:rPr>
          <w:sz w:val="24"/>
          <w:szCs w:val="24"/>
        </w:rPr>
        <w:t>1</w:t>
      </w:r>
      <w:r>
        <w:rPr>
          <w:sz w:val="24"/>
          <w:szCs w:val="24"/>
        </w:rPr>
        <w:tab/>
      </w:r>
      <w:bookmarkStart w:id="24" w:name="_Hlk150077105"/>
      <w:r>
        <w:rPr>
          <w:sz w:val="24"/>
          <w:szCs w:val="24"/>
        </w:rPr>
        <w:t xml:space="preserve">It is therefore likely that the </w:t>
      </w:r>
      <w:r w:rsidR="0013393C">
        <w:rPr>
          <w:sz w:val="24"/>
          <w:szCs w:val="24"/>
        </w:rPr>
        <w:t>S</w:t>
      </w:r>
      <w:r>
        <w:rPr>
          <w:sz w:val="24"/>
          <w:szCs w:val="24"/>
        </w:rPr>
        <w:t xml:space="preserve">ervice will need to identify savings in the region of </w:t>
      </w:r>
      <w:r w:rsidRPr="00A62B80">
        <w:rPr>
          <w:sz w:val="24"/>
          <w:szCs w:val="24"/>
        </w:rPr>
        <w:t>£</w:t>
      </w:r>
      <w:r w:rsidR="002024C7" w:rsidRPr="00A62B80">
        <w:rPr>
          <w:sz w:val="24"/>
          <w:szCs w:val="24"/>
        </w:rPr>
        <w:t>1.</w:t>
      </w:r>
      <w:r w:rsidR="00AB3D55" w:rsidRPr="00A62B80">
        <w:rPr>
          <w:sz w:val="24"/>
          <w:szCs w:val="24"/>
        </w:rPr>
        <w:t>7</w:t>
      </w:r>
      <w:r w:rsidRPr="00A62B80">
        <w:rPr>
          <w:sz w:val="24"/>
          <w:szCs w:val="24"/>
        </w:rPr>
        <w:t>m moving</w:t>
      </w:r>
      <w:r>
        <w:rPr>
          <w:sz w:val="24"/>
          <w:szCs w:val="24"/>
        </w:rPr>
        <w:t xml:space="preserve"> forward.  These savings will be achieved through the delivery of the Futures 25 Efficiency Strategy.  It may be necessary to use an element of reserves during </w:t>
      </w:r>
      <w:r w:rsidR="004B6C98">
        <w:rPr>
          <w:sz w:val="24"/>
          <w:szCs w:val="24"/>
        </w:rPr>
        <w:t>2024/25</w:t>
      </w:r>
      <w:r>
        <w:rPr>
          <w:sz w:val="24"/>
          <w:szCs w:val="24"/>
        </w:rPr>
        <w:t xml:space="preserve"> to allow the </w:t>
      </w:r>
      <w:r w:rsidR="0013393C">
        <w:rPr>
          <w:sz w:val="24"/>
          <w:szCs w:val="24"/>
        </w:rPr>
        <w:t>S</w:t>
      </w:r>
      <w:r>
        <w:rPr>
          <w:sz w:val="24"/>
          <w:szCs w:val="24"/>
        </w:rPr>
        <w:t>ervice time to implement the savings identified as part of the strategy</w:t>
      </w:r>
      <w:r w:rsidRPr="00A62B80">
        <w:rPr>
          <w:sz w:val="24"/>
          <w:szCs w:val="24"/>
        </w:rPr>
        <w:t>.</w:t>
      </w:r>
      <w:r w:rsidR="004A2645" w:rsidRPr="00A62B80">
        <w:rPr>
          <w:sz w:val="24"/>
          <w:szCs w:val="24"/>
        </w:rPr>
        <w:t xml:space="preserve">  </w:t>
      </w:r>
      <w:bookmarkEnd w:id="24"/>
      <w:r w:rsidR="004A2645" w:rsidRPr="00A62B80">
        <w:rPr>
          <w:sz w:val="24"/>
          <w:szCs w:val="24"/>
        </w:rPr>
        <w:t xml:space="preserve">The </w:t>
      </w:r>
      <w:r w:rsidR="0013393C">
        <w:rPr>
          <w:sz w:val="24"/>
          <w:szCs w:val="24"/>
        </w:rPr>
        <w:t>S</w:t>
      </w:r>
      <w:r w:rsidR="004A2645" w:rsidRPr="00A62B80">
        <w:rPr>
          <w:sz w:val="24"/>
          <w:szCs w:val="24"/>
        </w:rPr>
        <w:t>ervice currently holds £</w:t>
      </w:r>
      <w:r w:rsidR="0077418B" w:rsidRPr="00A62B80">
        <w:rPr>
          <w:sz w:val="24"/>
          <w:szCs w:val="24"/>
        </w:rPr>
        <w:t>1.126m</w:t>
      </w:r>
      <w:r w:rsidR="004A2645" w:rsidRPr="00A62B80">
        <w:rPr>
          <w:sz w:val="24"/>
          <w:szCs w:val="24"/>
        </w:rPr>
        <w:t xml:space="preserve"> in a </w:t>
      </w:r>
      <w:r w:rsidR="004A2645" w:rsidRPr="00760F69">
        <w:rPr>
          <w:sz w:val="24"/>
          <w:szCs w:val="24"/>
        </w:rPr>
        <w:t xml:space="preserve">Budget Pressures Support Earmarked Reserve for this purpose.  This should place the Authority in a good position, enabling it to balance the budget without the use of reserves in </w:t>
      </w:r>
      <w:r w:rsidR="004B6C98" w:rsidRPr="00760F69">
        <w:rPr>
          <w:sz w:val="24"/>
          <w:szCs w:val="24"/>
        </w:rPr>
        <w:t>2025/26</w:t>
      </w:r>
      <w:r w:rsidR="004A2645" w:rsidRPr="00760F69">
        <w:rPr>
          <w:sz w:val="24"/>
          <w:szCs w:val="24"/>
        </w:rPr>
        <w:t>.</w:t>
      </w:r>
    </w:p>
    <w:p w14:paraId="0B3E1DE3" w14:textId="77777777" w:rsidR="00406A25" w:rsidRPr="00E05E60" w:rsidRDefault="00406A25" w:rsidP="00406A25">
      <w:pPr>
        <w:ind w:left="709" w:hanging="709"/>
        <w:rPr>
          <w:sz w:val="24"/>
          <w:szCs w:val="24"/>
          <w:highlight w:val="yellow"/>
        </w:rPr>
      </w:pPr>
    </w:p>
    <w:p w14:paraId="690D4223" w14:textId="77777777" w:rsidR="00406A25" w:rsidRPr="009A5F2E" w:rsidRDefault="00406A25" w:rsidP="00406A25">
      <w:pPr>
        <w:rPr>
          <w:b/>
          <w:sz w:val="24"/>
          <w:szCs w:val="24"/>
        </w:rPr>
      </w:pPr>
      <w:r w:rsidRPr="009A5F2E">
        <w:rPr>
          <w:b/>
          <w:sz w:val="24"/>
          <w:szCs w:val="24"/>
        </w:rPr>
        <w:t>SCENARIO 3 –</w:t>
      </w:r>
      <w:r w:rsidRPr="009A5F2E">
        <w:rPr>
          <w:sz w:val="24"/>
          <w:szCs w:val="24"/>
        </w:rPr>
        <w:t xml:space="preserve"> </w:t>
      </w:r>
      <w:r w:rsidRPr="009A5F2E">
        <w:rPr>
          <w:b/>
          <w:sz w:val="24"/>
          <w:szCs w:val="24"/>
        </w:rPr>
        <w:t>BEST CASE SCENARIO</w:t>
      </w:r>
    </w:p>
    <w:p w14:paraId="3CAF2D27" w14:textId="77777777" w:rsidR="00406A25" w:rsidRPr="009A5F2E" w:rsidRDefault="00406A25" w:rsidP="00406A25">
      <w:pPr>
        <w:rPr>
          <w:sz w:val="24"/>
          <w:szCs w:val="24"/>
        </w:rPr>
      </w:pPr>
    </w:p>
    <w:p w14:paraId="27641559" w14:textId="77777777" w:rsidR="00406A25" w:rsidRDefault="00DC1DE7" w:rsidP="00406A25">
      <w:pPr>
        <w:rPr>
          <w:sz w:val="24"/>
          <w:szCs w:val="24"/>
        </w:rPr>
      </w:pPr>
      <w:r w:rsidRPr="009A5F2E">
        <w:rPr>
          <w:sz w:val="24"/>
          <w:szCs w:val="24"/>
        </w:rPr>
        <w:t>6.1</w:t>
      </w:r>
      <w:r w:rsidR="00324D44">
        <w:rPr>
          <w:sz w:val="24"/>
          <w:szCs w:val="24"/>
        </w:rPr>
        <w:t>2</w:t>
      </w:r>
      <w:r w:rsidR="00406A25" w:rsidRPr="009A5F2E">
        <w:rPr>
          <w:sz w:val="24"/>
          <w:szCs w:val="24"/>
        </w:rPr>
        <w:tab/>
        <w:t>This scenario assumes that:</w:t>
      </w:r>
    </w:p>
    <w:p w14:paraId="4593CB8D" w14:textId="77777777" w:rsidR="009A5F2E" w:rsidRDefault="009A5F2E" w:rsidP="009A5F2E">
      <w:pPr>
        <w:pStyle w:val="ListParagraph"/>
        <w:ind w:left="1080"/>
        <w:contextualSpacing/>
        <w:rPr>
          <w:sz w:val="24"/>
          <w:szCs w:val="24"/>
        </w:rPr>
      </w:pPr>
    </w:p>
    <w:p w14:paraId="51F4C05B"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t xml:space="preserve">The </w:t>
      </w:r>
      <w:r w:rsidR="004B6C98" w:rsidRPr="00A62B80">
        <w:rPr>
          <w:sz w:val="24"/>
          <w:szCs w:val="24"/>
        </w:rPr>
        <w:t>2024/25</w:t>
      </w:r>
      <w:r w:rsidRPr="00A62B80">
        <w:rPr>
          <w:sz w:val="24"/>
          <w:szCs w:val="24"/>
        </w:rPr>
        <w:t xml:space="preserve"> pay award is settled at </w:t>
      </w:r>
      <w:r w:rsidR="00B20F4C" w:rsidRPr="00A62B80">
        <w:rPr>
          <w:sz w:val="24"/>
          <w:szCs w:val="24"/>
        </w:rPr>
        <w:t>4</w:t>
      </w:r>
      <w:r w:rsidRPr="00A62B80">
        <w:rPr>
          <w:sz w:val="24"/>
          <w:szCs w:val="24"/>
        </w:rPr>
        <w:t xml:space="preserve">% </w:t>
      </w:r>
      <w:r w:rsidR="00F136ED" w:rsidRPr="00A62B80">
        <w:rPr>
          <w:sz w:val="24"/>
          <w:szCs w:val="24"/>
        </w:rPr>
        <w:t xml:space="preserve">for all </w:t>
      </w:r>
      <w:r w:rsidR="00852143" w:rsidRPr="00A62B80">
        <w:rPr>
          <w:sz w:val="24"/>
          <w:szCs w:val="24"/>
        </w:rPr>
        <w:t>staff.</w:t>
      </w:r>
    </w:p>
    <w:p w14:paraId="35843E9F" w14:textId="77777777" w:rsidR="00B20F4C" w:rsidRPr="00A62B80" w:rsidRDefault="00B20F4C" w:rsidP="00B20F4C">
      <w:pPr>
        <w:pStyle w:val="ListParagraph"/>
        <w:ind w:left="1080"/>
        <w:contextualSpacing/>
        <w:rPr>
          <w:sz w:val="24"/>
          <w:szCs w:val="24"/>
        </w:rPr>
      </w:pPr>
    </w:p>
    <w:p w14:paraId="2D633241" w14:textId="77777777" w:rsidR="00B20F4C" w:rsidRPr="00A62B80" w:rsidRDefault="00B20F4C" w:rsidP="009A5F2E">
      <w:pPr>
        <w:pStyle w:val="ListParagraph"/>
        <w:numPr>
          <w:ilvl w:val="0"/>
          <w:numId w:val="1"/>
        </w:numPr>
        <w:ind w:left="1080"/>
        <w:contextualSpacing/>
        <w:rPr>
          <w:sz w:val="24"/>
          <w:szCs w:val="24"/>
        </w:rPr>
      </w:pPr>
      <w:r w:rsidRPr="00A62B80">
        <w:rPr>
          <w:sz w:val="24"/>
          <w:szCs w:val="24"/>
        </w:rPr>
        <w:t>Savings of £200k are met for 2024/25</w:t>
      </w:r>
      <w:r w:rsidR="00324D44">
        <w:rPr>
          <w:sz w:val="24"/>
          <w:szCs w:val="24"/>
        </w:rPr>
        <w:t>.</w:t>
      </w:r>
    </w:p>
    <w:p w14:paraId="518BAEF2" w14:textId="77777777" w:rsidR="009A5F2E" w:rsidRPr="00A62B80" w:rsidRDefault="009A5F2E" w:rsidP="009A5F2E">
      <w:pPr>
        <w:pStyle w:val="ListParagraph"/>
        <w:ind w:left="0"/>
        <w:contextualSpacing/>
        <w:rPr>
          <w:sz w:val="24"/>
          <w:szCs w:val="24"/>
        </w:rPr>
      </w:pPr>
    </w:p>
    <w:p w14:paraId="76C350C1"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t xml:space="preserve">Government funding (Revenue Support Grant (RSG) and Business Rates top up grant) increases </w:t>
      </w:r>
      <w:r w:rsidR="00B20F4C" w:rsidRPr="00A62B80">
        <w:rPr>
          <w:sz w:val="24"/>
          <w:szCs w:val="24"/>
        </w:rPr>
        <w:t>6.7</w:t>
      </w:r>
      <w:r w:rsidRPr="00A62B80">
        <w:rPr>
          <w:sz w:val="24"/>
          <w:szCs w:val="24"/>
        </w:rPr>
        <w:t xml:space="preserve">% for </w:t>
      </w:r>
      <w:r w:rsidR="004B6C98" w:rsidRPr="00A62B80">
        <w:rPr>
          <w:sz w:val="24"/>
          <w:szCs w:val="24"/>
        </w:rPr>
        <w:t>2024/25</w:t>
      </w:r>
      <w:r w:rsidRPr="00A62B80">
        <w:rPr>
          <w:sz w:val="24"/>
          <w:szCs w:val="24"/>
        </w:rPr>
        <w:t xml:space="preserve"> </w:t>
      </w:r>
      <w:r w:rsidR="00243420" w:rsidRPr="00A62B80">
        <w:rPr>
          <w:sz w:val="24"/>
          <w:szCs w:val="24"/>
        </w:rPr>
        <w:t xml:space="preserve">,1.8% for 2025/26 </w:t>
      </w:r>
      <w:r w:rsidRPr="00A62B80">
        <w:rPr>
          <w:sz w:val="24"/>
          <w:szCs w:val="24"/>
        </w:rPr>
        <w:t xml:space="preserve">and </w:t>
      </w:r>
      <w:r w:rsidR="00243420" w:rsidRPr="00A62B80">
        <w:rPr>
          <w:sz w:val="24"/>
          <w:szCs w:val="24"/>
        </w:rPr>
        <w:t>3.74</w:t>
      </w:r>
      <w:r w:rsidRPr="00A62B80">
        <w:rPr>
          <w:sz w:val="24"/>
          <w:szCs w:val="24"/>
        </w:rPr>
        <w:t xml:space="preserve">% </w:t>
      </w:r>
      <w:r w:rsidR="00243420" w:rsidRPr="00A62B80">
        <w:rPr>
          <w:sz w:val="24"/>
          <w:szCs w:val="24"/>
        </w:rPr>
        <w:t>for</w:t>
      </w:r>
      <w:r w:rsidR="00F74080" w:rsidRPr="00A62B80">
        <w:rPr>
          <w:sz w:val="24"/>
          <w:szCs w:val="24"/>
        </w:rPr>
        <w:t xml:space="preserve"> 2026/27</w:t>
      </w:r>
      <w:r w:rsidR="00324D44">
        <w:rPr>
          <w:sz w:val="24"/>
          <w:szCs w:val="24"/>
        </w:rPr>
        <w:t>.</w:t>
      </w:r>
    </w:p>
    <w:p w14:paraId="3DFDE9F5" w14:textId="77777777" w:rsidR="009A5F2E" w:rsidRPr="00A62B80" w:rsidRDefault="009A5F2E" w:rsidP="009A5F2E">
      <w:pPr>
        <w:pStyle w:val="ListParagraph"/>
        <w:ind w:left="1080"/>
        <w:contextualSpacing/>
        <w:rPr>
          <w:sz w:val="24"/>
          <w:szCs w:val="24"/>
        </w:rPr>
      </w:pPr>
    </w:p>
    <w:p w14:paraId="510540EE"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t>Pension Grant remains flat in cash terms at £2.34m</w:t>
      </w:r>
      <w:r w:rsidR="00324D44">
        <w:rPr>
          <w:sz w:val="24"/>
          <w:szCs w:val="24"/>
        </w:rPr>
        <w:t>.</w:t>
      </w:r>
    </w:p>
    <w:p w14:paraId="5198DE00" w14:textId="77777777" w:rsidR="009A5F2E" w:rsidRPr="00A62B80" w:rsidRDefault="009A5F2E" w:rsidP="009A5F2E">
      <w:pPr>
        <w:pStyle w:val="ListParagraph"/>
        <w:ind w:left="0"/>
        <w:contextualSpacing/>
        <w:rPr>
          <w:sz w:val="24"/>
          <w:szCs w:val="24"/>
        </w:rPr>
      </w:pPr>
    </w:p>
    <w:p w14:paraId="70898348"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t xml:space="preserve">Services Grant is reduced to </w:t>
      </w:r>
      <w:r w:rsidR="00B20F4C" w:rsidRPr="00A62B80">
        <w:rPr>
          <w:sz w:val="24"/>
          <w:szCs w:val="24"/>
        </w:rPr>
        <w:t>£366k (from £421k)</w:t>
      </w:r>
      <w:r w:rsidR="00324D44">
        <w:rPr>
          <w:sz w:val="24"/>
          <w:szCs w:val="24"/>
        </w:rPr>
        <w:t>.</w:t>
      </w:r>
    </w:p>
    <w:p w14:paraId="667E66D4" w14:textId="77777777" w:rsidR="009A5F2E" w:rsidRPr="00A62B80" w:rsidRDefault="009A5F2E" w:rsidP="009A5F2E">
      <w:pPr>
        <w:pStyle w:val="ListParagraph"/>
        <w:ind w:left="0"/>
        <w:contextualSpacing/>
        <w:rPr>
          <w:sz w:val="24"/>
          <w:szCs w:val="24"/>
        </w:rPr>
      </w:pPr>
    </w:p>
    <w:p w14:paraId="1A3BAEA8"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lastRenderedPageBreak/>
        <w:t xml:space="preserve">Business Rate collection </w:t>
      </w:r>
      <w:r w:rsidR="00B20F4C" w:rsidRPr="00A62B80">
        <w:rPr>
          <w:sz w:val="24"/>
          <w:szCs w:val="24"/>
        </w:rPr>
        <w:t>i</w:t>
      </w:r>
      <w:r w:rsidRPr="00A62B80">
        <w:rPr>
          <w:sz w:val="24"/>
          <w:szCs w:val="24"/>
        </w:rPr>
        <w:t>ncreases</w:t>
      </w:r>
      <w:r w:rsidR="00B20F4C" w:rsidRPr="00A62B80">
        <w:rPr>
          <w:sz w:val="24"/>
          <w:szCs w:val="24"/>
        </w:rPr>
        <w:t xml:space="preserve"> by 0.9% </w:t>
      </w:r>
      <w:r w:rsidRPr="00A62B80">
        <w:rPr>
          <w:sz w:val="24"/>
          <w:szCs w:val="24"/>
        </w:rPr>
        <w:t xml:space="preserve">for </w:t>
      </w:r>
      <w:r w:rsidR="004B6C98" w:rsidRPr="00A62B80">
        <w:rPr>
          <w:sz w:val="24"/>
          <w:szCs w:val="24"/>
        </w:rPr>
        <w:t>20</w:t>
      </w:r>
      <w:r w:rsidR="00243420" w:rsidRPr="00A62B80">
        <w:rPr>
          <w:sz w:val="24"/>
          <w:szCs w:val="24"/>
        </w:rPr>
        <w:t>24/25, 3.02% 2025/26 and 12.19</w:t>
      </w:r>
      <w:r w:rsidR="00F74080" w:rsidRPr="00A62B80">
        <w:rPr>
          <w:sz w:val="24"/>
          <w:szCs w:val="24"/>
        </w:rPr>
        <w:t>%</w:t>
      </w:r>
      <w:r w:rsidR="00243420" w:rsidRPr="00A62B80">
        <w:rPr>
          <w:sz w:val="24"/>
          <w:szCs w:val="24"/>
        </w:rPr>
        <w:t xml:space="preserve"> 2026/27</w:t>
      </w:r>
      <w:r w:rsidR="00324D44">
        <w:rPr>
          <w:sz w:val="24"/>
          <w:szCs w:val="24"/>
        </w:rPr>
        <w:t>.</w:t>
      </w:r>
    </w:p>
    <w:p w14:paraId="7EA81C20" w14:textId="77777777" w:rsidR="009A5F2E" w:rsidRPr="00A62B80" w:rsidRDefault="009A5F2E" w:rsidP="009A5F2E">
      <w:pPr>
        <w:pStyle w:val="ListParagraph"/>
        <w:ind w:left="0"/>
        <w:contextualSpacing/>
        <w:rPr>
          <w:sz w:val="24"/>
          <w:szCs w:val="24"/>
        </w:rPr>
      </w:pPr>
    </w:p>
    <w:p w14:paraId="124BE134" w14:textId="77777777" w:rsidR="009A5F2E" w:rsidRPr="00A62B80" w:rsidRDefault="009A5F2E" w:rsidP="009A5F2E">
      <w:pPr>
        <w:pStyle w:val="ListParagraph"/>
        <w:numPr>
          <w:ilvl w:val="0"/>
          <w:numId w:val="1"/>
        </w:numPr>
        <w:ind w:left="1080"/>
        <w:contextualSpacing/>
        <w:rPr>
          <w:sz w:val="24"/>
          <w:szCs w:val="24"/>
        </w:rPr>
      </w:pPr>
      <w:r w:rsidRPr="00A62B80">
        <w:rPr>
          <w:sz w:val="24"/>
          <w:szCs w:val="24"/>
        </w:rPr>
        <w:t xml:space="preserve">Council Tax </w:t>
      </w:r>
      <w:r w:rsidR="00B20F4C" w:rsidRPr="00A62B80">
        <w:rPr>
          <w:sz w:val="24"/>
          <w:szCs w:val="24"/>
        </w:rPr>
        <w:t>base</w:t>
      </w:r>
      <w:r w:rsidRPr="00A62B80">
        <w:rPr>
          <w:sz w:val="24"/>
          <w:szCs w:val="24"/>
        </w:rPr>
        <w:t xml:space="preserve"> increases by 1.35% in </w:t>
      </w:r>
      <w:r w:rsidR="004B6C98" w:rsidRPr="00A62B80">
        <w:rPr>
          <w:sz w:val="24"/>
          <w:szCs w:val="24"/>
        </w:rPr>
        <w:t>2024/25</w:t>
      </w:r>
      <w:r w:rsidRPr="00A62B80">
        <w:rPr>
          <w:sz w:val="24"/>
          <w:szCs w:val="24"/>
        </w:rPr>
        <w:t xml:space="preserve"> and future years</w:t>
      </w:r>
      <w:r w:rsidR="00324D44">
        <w:rPr>
          <w:sz w:val="24"/>
          <w:szCs w:val="24"/>
        </w:rPr>
        <w:t>.</w:t>
      </w:r>
    </w:p>
    <w:p w14:paraId="040B38D3" w14:textId="77777777" w:rsidR="009A5F2E" w:rsidRPr="00A62B80" w:rsidRDefault="009A5F2E" w:rsidP="009A5F2E">
      <w:pPr>
        <w:pStyle w:val="ListParagraph"/>
        <w:ind w:left="0"/>
        <w:contextualSpacing/>
        <w:rPr>
          <w:sz w:val="24"/>
          <w:szCs w:val="24"/>
        </w:rPr>
      </w:pPr>
    </w:p>
    <w:p w14:paraId="3D8F9B38" w14:textId="77777777" w:rsidR="003702E2" w:rsidRDefault="009A5F2E" w:rsidP="00CF5213">
      <w:pPr>
        <w:pStyle w:val="ListParagraph"/>
        <w:numPr>
          <w:ilvl w:val="0"/>
          <w:numId w:val="1"/>
        </w:numPr>
        <w:ind w:left="1080"/>
        <w:contextualSpacing/>
        <w:rPr>
          <w:sz w:val="24"/>
          <w:szCs w:val="24"/>
        </w:rPr>
      </w:pPr>
      <w:r w:rsidRPr="00A62B80">
        <w:rPr>
          <w:sz w:val="24"/>
          <w:szCs w:val="24"/>
        </w:rPr>
        <w:t xml:space="preserve">Council Tax is increased by £5 in </w:t>
      </w:r>
      <w:r w:rsidR="004B6C98" w:rsidRPr="00A62B80">
        <w:rPr>
          <w:sz w:val="24"/>
          <w:szCs w:val="24"/>
        </w:rPr>
        <w:t>2024/25</w:t>
      </w:r>
      <w:r w:rsidRPr="00A62B80">
        <w:rPr>
          <w:sz w:val="24"/>
          <w:szCs w:val="24"/>
        </w:rPr>
        <w:t xml:space="preserve"> and 2.95% </w:t>
      </w:r>
      <w:r w:rsidR="005536E2" w:rsidRPr="00A62B80">
        <w:rPr>
          <w:sz w:val="24"/>
          <w:szCs w:val="24"/>
        </w:rPr>
        <w:t>2025/26, 2026/27 and 1.95% 2027/28</w:t>
      </w:r>
      <w:r w:rsidR="00324D44">
        <w:rPr>
          <w:sz w:val="24"/>
          <w:szCs w:val="24"/>
        </w:rPr>
        <w:t>.</w:t>
      </w:r>
    </w:p>
    <w:p w14:paraId="49427F65" w14:textId="77777777" w:rsidR="00414CE6" w:rsidRPr="00A62B80" w:rsidRDefault="00414CE6" w:rsidP="00414CE6">
      <w:pPr>
        <w:pStyle w:val="ListParagraph"/>
        <w:contextualSpacing/>
        <w:rPr>
          <w:sz w:val="24"/>
          <w:szCs w:val="24"/>
        </w:rPr>
      </w:pPr>
    </w:p>
    <w:p w14:paraId="171E2D8B" w14:textId="77777777" w:rsidR="003702E2" w:rsidRPr="00A62B80" w:rsidRDefault="003702E2" w:rsidP="003702E2">
      <w:pPr>
        <w:rPr>
          <w:b/>
          <w:sz w:val="24"/>
          <w:szCs w:val="24"/>
        </w:rPr>
      </w:pPr>
      <w:r w:rsidRPr="00A62B80">
        <w:rPr>
          <w:b/>
          <w:sz w:val="24"/>
          <w:szCs w:val="24"/>
        </w:rPr>
        <w:t xml:space="preserve">Table </w:t>
      </w:r>
      <w:r w:rsidR="00251DF2" w:rsidRPr="00A62B80">
        <w:rPr>
          <w:b/>
          <w:sz w:val="24"/>
          <w:szCs w:val="24"/>
        </w:rPr>
        <w:t>4</w:t>
      </w:r>
      <w:r w:rsidRPr="00A62B80">
        <w:rPr>
          <w:b/>
          <w:sz w:val="24"/>
          <w:szCs w:val="24"/>
        </w:rPr>
        <w:t xml:space="preserve"> – Best Case Scenario</w:t>
      </w:r>
      <w:r w:rsidR="00363AAD" w:rsidRPr="00A62B80">
        <w:rPr>
          <w:b/>
          <w:sz w:val="24"/>
          <w:szCs w:val="24"/>
        </w:rPr>
        <w:t xml:space="preserve"> – 4% Pay</w:t>
      </w:r>
      <w:r w:rsidR="0013393C">
        <w:rPr>
          <w:b/>
          <w:sz w:val="24"/>
          <w:szCs w:val="24"/>
        </w:rPr>
        <w:t xml:space="preserve"> </w:t>
      </w:r>
      <w:r w:rsidR="0032287A" w:rsidRPr="00A62B80">
        <w:rPr>
          <w:b/>
          <w:sz w:val="24"/>
          <w:szCs w:val="24"/>
        </w:rPr>
        <w:t>award.</w:t>
      </w:r>
      <w:r w:rsidR="00363AAD" w:rsidRPr="00A62B80">
        <w:rPr>
          <w:b/>
          <w:sz w:val="24"/>
          <w:szCs w:val="24"/>
        </w:rPr>
        <w:t xml:space="preserve"> </w:t>
      </w:r>
    </w:p>
    <w:p w14:paraId="7BC5FDE4" w14:textId="77777777" w:rsidR="003702E2" w:rsidRPr="00A62B80" w:rsidRDefault="003702E2" w:rsidP="003702E2">
      <w:pPr>
        <w:ind w:left="709" w:hanging="709"/>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334"/>
        <w:gridCol w:w="1334"/>
        <w:gridCol w:w="1251"/>
        <w:gridCol w:w="1251"/>
        <w:gridCol w:w="1370"/>
      </w:tblGrid>
      <w:tr w:rsidR="00165D3E" w:rsidRPr="00A62B80" w14:paraId="716CB11B" w14:textId="77777777" w:rsidTr="008748D3">
        <w:tc>
          <w:tcPr>
            <w:tcW w:w="2560" w:type="dxa"/>
            <w:tcBorders>
              <w:bottom w:val="single" w:sz="4" w:space="0" w:color="auto"/>
            </w:tcBorders>
            <w:shd w:val="clear" w:color="auto" w:fill="D9D9D9"/>
          </w:tcPr>
          <w:p w14:paraId="75AA1035" w14:textId="77777777" w:rsidR="00165D3E" w:rsidRPr="00A62B80" w:rsidRDefault="00165D3E" w:rsidP="00064A5A">
            <w:pPr>
              <w:rPr>
                <w:sz w:val="24"/>
                <w:szCs w:val="24"/>
              </w:rPr>
            </w:pPr>
          </w:p>
        </w:tc>
        <w:tc>
          <w:tcPr>
            <w:tcW w:w="1342" w:type="dxa"/>
            <w:tcBorders>
              <w:bottom w:val="single" w:sz="4" w:space="0" w:color="auto"/>
            </w:tcBorders>
            <w:shd w:val="clear" w:color="auto" w:fill="D9D9D9"/>
          </w:tcPr>
          <w:p w14:paraId="183CAF2D" w14:textId="77777777" w:rsidR="00165D3E" w:rsidRPr="00A62B80" w:rsidRDefault="00165D3E" w:rsidP="00363AAD">
            <w:pPr>
              <w:rPr>
                <w:b/>
                <w:bCs/>
                <w:sz w:val="24"/>
                <w:szCs w:val="24"/>
              </w:rPr>
            </w:pPr>
            <w:r w:rsidRPr="00A62B80">
              <w:rPr>
                <w:b/>
                <w:bCs/>
                <w:sz w:val="24"/>
                <w:szCs w:val="24"/>
              </w:rPr>
              <w:t>2023/24</w:t>
            </w:r>
          </w:p>
          <w:p w14:paraId="6B1916CE" w14:textId="77777777" w:rsidR="00165D3E" w:rsidRPr="00A62B80" w:rsidRDefault="00165D3E" w:rsidP="00363AAD">
            <w:pPr>
              <w:rPr>
                <w:b/>
                <w:bCs/>
                <w:sz w:val="24"/>
                <w:szCs w:val="24"/>
              </w:rPr>
            </w:pPr>
            <w:r w:rsidRPr="00A62B80">
              <w:rPr>
                <w:b/>
                <w:bCs/>
                <w:sz w:val="24"/>
                <w:szCs w:val="24"/>
              </w:rPr>
              <w:t>£’000</w:t>
            </w:r>
          </w:p>
        </w:tc>
        <w:tc>
          <w:tcPr>
            <w:tcW w:w="1342" w:type="dxa"/>
            <w:tcBorders>
              <w:bottom w:val="single" w:sz="4" w:space="0" w:color="auto"/>
            </w:tcBorders>
            <w:shd w:val="clear" w:color="auto" w:fill="D9D9D9"/>
          </w:tcPr>
          <w:p w14:paraId="3C8CC549" w14:textId="77777777" w:rsidR="00165D3E" w:rsidRPr="00A62B80" w:rsidRDefault="00165D3E" w:rsidP="00363AAD">
            <w:pPr>
              <w:rPr>
                <w:b/>
                <w:bCs/>
                <w:sz w:val="24"/>
                <w:szCs w:val="24"/>
              </w:rPr>
            </w:pPr>
            <w:r w:rsidRPr="00A62B80">
              <w:rPr>
                <w:b/>
                <w:bCs/>
                <w:sz w:val="24"/>
                <w:szCs w:val="24"/>
              </w:rPr>
              <w:t>2024/25</w:t>
            </w:r>
          </w:p>
          <w:p w14:paraId="7F796372" w14:textId="77777777" w:rsidR="00165D3E" w:rsidRPr="00A62B80" w:rsidRDefault="00165D3E" w:rsidP="00363AAD">
            <w:pPr>
              <w:rPr>
                <w:b/>
                <w:bCs/>
                <w:sz w:val="24"/>
                <w:szCs w:val="24"/>
              </w:rPr>
            </w:pPr>
            <w:r w:rsidRPr="00A62B80">
              <w:rPr>
                <w:b/>
                <w:bCs/>
                <w:sz w:val="24"/>
                <w:szCs w:val="24"/>
              </w:rPr>
              <w:t>£’000</w:t>
            </w:r>
          </w:p>
        </w:tc>
        <w:tc>
          <w:tcPr>
            <w:tcW w:w="1256" w:type="dxa"/>
            <w:tcBorders>
              <w:bottom w:val="single" w:sz="4" w:space="0" w:color="auto"/>
            </w:tcBorders>
            <w:shd w:val="clear" w:color="auto" w:fill="D9D9D9"/>
          </w:tcPr>
          <w:p w14:paraId="6EE91C20" w14:textId="77777777" w:rsidR="00165D3E" w:rsidRPr="00A62B80" w:rsidRDefault="00165D3E" w:rsidP="00363AAD">
            <w:pPr>
              <w:rPr>
                <w:b/>
                <w:bCs/>
                <w:sz w:val="24"/>
                <w:szCs w:val="24"/>
              </w:rPr>
            </w:pPr>
            <w:r w:rsidRPr="00A62B80">
              <w:rPr>
                <w:b/>
                <w:bCs/>
                <w:sz w:val="24"/>
                <w:szCs w:val="24"/>
              </w:rPr>
              <w:t>2025/26</w:t>
            </w:r>
          </w:p>
          <w:p w14:paraId="7FE8E072" w14:textId="77777777" w:rsidR="00165D3E" w:rsidRPr="00A62B80" w:rsidRDefault="00165D3E" w:rsidP="00363AAD">
            <w:pPr>
              <w:rPr>
                <w:b/>
                <w:bCs/>
                <w:sz w:val="24"/>
                <w:szCs w:val="24"/>
              </w:rPr>
            </w:pPr>
            <w:r w:rsidRPr="00A62B80">
              <w:rPr>
                <w:b/>
                <w:bCs/>
                <w:sz w:val="24"/>
                <w:szCs w:val="24"/>
              </w:rPr>
              <w:t>£’000</w:t>
            </w:r>
          </w:p>
        </w:tc>
        <w:tc>
          <w:tcPr>
            <w:tcW w:w="1256" w:type="dxa"/>
            <w:tcBorders>
              <w:bottom w:val="single" w:sz="4" w:space="0" w:color="auto"/>
            </w:tcBorders>
            <w:shd w:val="clear" w:color="auto" w:fill="D9D9D9"/>
          </w:tcPr>
          <w:p w14:paraId="23F77A1D" w14:textId="77777777" w:rsidR="00165D3E" w:rsidRPr="00A62B80" w:rsidRDefault="00165D3E" w:rsidP="00363AAD">
            <w:pPr>
              <w:rPr>
                <w:b/>
                <w:bCs/>
                <w:sz w:val="24"/>
                <w:szCs w:val="24"/>
              </w:rPr>
            </w:pPr>
            <w:r w:rsidRPr="00A62B80">
              <w:rPr>
                <w:b/>
                <w:bCs/>
                <w:sz w:val="24"/>
                <w:szCs w:val="24"/>
              </w:rPr>
              <w:t>2026/27</w:t>
            </w:r>
          </w:p>
          <w:p w14:paraId="68147862" w14:textId="77777777" w:rsidR="00165D3E" w:rsidRPr="00A62B80" w:rsidRDefault="00165D3E" w:rsidP="00363AAD">
            <w:pPr>
              <w:rPr>
                <w:b/>
                <w:bCs/>
                <w:sz w:val="24"/>
                <w:szCs w:val="24"/>
              </w:rPr>
            </w:pPr>
            <w:r w:rsidRPr="00A62B80">
              <w:rPr>
                <w:b/>
                <w:bCs/>
                <w:sz w:val="24"/>
                <w:szCs w:val="24"/>
              </w:rPr>
              <w:t>£’000</w:t>
            </w:r>
          </w:p>
        </w:tc>
        <w:tc>
          <w:tcPr>
            <w:tcW w:w="1380" w:type="dxa"/>
            <w:tcBorders>
              <w:bottom w:val="single" w:sz="4" w:space="0" w:color="auto"/>
            </w:tcBorders>
            <w:shd w:val="clear" w:color="auto" w:fill="D9D9D9"/>
          </w:tcPr>
          <w:p w14:paraId="745B3D3C" w14:textId="77777777" w:rsidR="00165D3E" w:rsidRPr="00A62B80" w:rsidRDefault="00165D3E" w:rsidP="00363AAD">
            <w:pPr>
              <w:rPr>
                <w:b/>
                <w:bCs/>
                <w:sz w:val="24"/>
                <w:szCs w:val="24"/>
              </w:rPr>
            </w:pPr>
            <w:r w:rsidRPr="00A62B80">
              <w:rPr>
                <w:b/>
                <w:bCs/>
                <w:sz w:val="24"/>
                <w:szCs w:val="24"/>
              </w:rPr>
              <w:t>2027/28</w:t>
            </w:r>
          </w:p>
          <w:p w14:paraId="6B492DBE" w14:textId="77777777" w:rsidR="00165D3E" w:rsidRPr="00A62B80" w:rsidRDefault="00165D3E" w:rsidP="00363AAD">
            <w:pPr>
              <w:rPr>
                <w:b/>
                <w:bCs/>
                <w:sz w:val="24"/>
                <w:szCs w:val="24"/>
              </w:rPr>
            </w:pPr>
            <w:r w:rsidRPr="00A62B80">
              <w:rPr>
                <w:b/>
                <w:bCs/>
                <w:sz w:val="24"/>
                <w:szCs w:val="24"/>
              </w:rPr>
              <w:t>£’000</w:t>
            </w:r>
          </w:p>
        </w:tc>
      </w:tr>
      <w:tr w:rsidR="00165D3E" w:rsidRPr="00A62B80" w14:paraId="2BCAE718" w14:textId="77777777" w:rsidTr="008748D3">
        <w:tc>
          <w:tcPr>
            <w:tcW w:w="2560" w:type="dxa"/>
            <w:shd w:val="clear" w:color="auto" w:fill="auto"/>
          </w:tcPr>
          <w:p w14:paraId="71D345FA" w14:textId="77777777" w:rsidR="0014785E" w:rsidRPr="00995BED" w:rsidRDefault="0014785E" w:rsidP="0014785E">
            <w:pPr>
              <w:rPr>
                <w:sz w:val="24"/>
                <w:szCs w:val="24"/>
              </w:rPr>
            </w:pPr>
            <w:r>
              <w:rPr>
                <w:sz w:val="24"/>
                <w:szCs w:val="24"/>
              </w:rPr>
              <w:t xml:space="preserve">Estimated spend. </w:t>
            </w:r>
          </w:p>
          <w:p w14:paraId="51307AAF" w14:textId="77777777" w:rsidR="0014785E" w:rsidRDefault="0014785E" w:rsidP="0014785E">
            <w:pPr>
              <w:rPr>
                <w:sz w:val="24"/>
                <w:szCs w:val="24"/>
              </w:rPr>
            </w:pPr>
            <w:r>
              <w:rPr>
                <w:sz w:val="24"/>
                <w:szCs w:val="24"/>
              </w:rPr>
              <w:t>Finance Challenge</w:t>
            </w:r>
          </w:p>
          <w:p w14:paraId="4BDF76F2" w14:textId="77777777" w:rsidR="00165D3E" w:rsidRPr="00A62B80" w:rsidRDefault="0014785E" w:rsidP="0014785E">
            <w:pPr>
              <w:rPr>
                <w:sz w:val="24"/>
                <w:szCs w:val="24"/>
              </w:rPr>
            </w:pPr>
            <w:r>
              <w:rPr>
                <w:sz w:val="24"/>
                <w:szCs w:val="24"/>
              </w:rPr>
              <w:t>Budget Requirement</w:t>
            </w:r>
            <w:r w:rsidRPr="00A62B80">
              <w:rPr>
                <w:sz w:val="24"/>
                <w:szCs w:val="24"/>
              </w:rPr>
              <w:t xml:space="preserve"> </w:t>
            </w:r>
          </w:p>
          <w:p w14:paraId="56E306EB" w14:textId="77777777" w:rsidR="00165D3E" w:rsidRPr="00A62B80" w:rsidRDefault="00165D3E" w:rsidP="00064A5A">
            <w:pPr>
              <w:rPr>
                <w:sz w:val="24"/>
                <w:szCs w:val="24"/>
              </w:rPr>
            </w:pPr>
          </w:p>
        </w:tc>
        <w:tc>
          <w:tcPr>
            <w:tcW w:w="1342" w:type="dxa"/>
          </w:tcPr>
          <w:p w14:paraId="5E8D3984" w14:textId="77777777" w:rsidR="0014785E" w:rsidRDefault="0014785E" w:rsidP="00064A5A">
            <w:pPr>
              <w:jc w:val="right"/>
              <w:rPr>
                <w:sz w:val="24"/>
                <w:szCs w:val="24"/>
              </w:rPr>
            </w:pPr>
          </w:p>
          <w:p w14:paraId="6AE4561E" w14:textId="77777777" w:rsidR="0014785E" w:rsidRDefault="0014785E" w:rsidP="00064A5A">
            <w:pPr>
              <w:jc w:val="right"/>
              <w:rPr>
                <w:sz w:val="24"/>
                <w:szCs w:val="24"/>
              </w:rPr>
            </w:pPr>
          </w:p>
          <w:p w14:paraId="54C89C95" w14:textId="77777777" w:rsidR="00165D3E" w:rsidRPr="00A62B80" w:rsidRDefault="00165D3E" w:rsidP="00064A5A">
            <w:pPr>
              <w:jc w:val="right"/>
              <w:rPr>
                <w:sz w:val="24"/>
                <w:szCs w:val="24"/>
              </w:rPr>
            </w:pPr>
            <w:r w:rsidRPr="00A62B80">
              <w:rPr>
                <w:sz w:val="24"/>
                <w:szCs w:val="24"/>
              </w:rPr>
              <w:t>49,965</w:t>
            </w:r>
          </w:p>
        </w:tc>
        <w:tc>
          <w:tcPr>
            <w:tcW w:w="1342" w:type="dxa"/>
            <w:shd w:val="clear" w:color="auto" w:fill="auto"/>
          </w:tcPr>
          <w:p w14:paraId="2F2BD852" w14:textId="77777777" w:rsidR="0014785E" w:rsidRDefault="003947A4" w:rsidP="00064A5A">
            <w:pPr>
              <w:jc w:val="right"/>
              <w:rPr>
                <w:sz w:val="24"/>
                <w:szCs w:val="24"/>
              </w:rPr>
            </w:pPr>
            <w:r>
              <w:rPr>
                <w:sz w:val="24"/>
                <w:szCs w:val="24"/>
              </w:rPr>
              <w:t>52,602</w:t>
            </w:r>
          </w:p>
          <w:p w14:paraId="4016939C" w14:textId="77777777" w:rsidR="0014785E" w:rsidRDefault="003947A4" w:rsidP="00064A5A">
            <w:pPr>
              <w:jc w:val="right"/>
              <w:rPr>
                <w:sz w:val="24"/>
                <w:szCs w:val="24"/>
              </w:rPr>
            </w:pPr>
            <w:r>
              <w:rPr>
                <w:sz w:val="24"/>
                <w:szCs w:val="24"/>
              </w:rPr>
              <w:t>(200)</w:t>
            </w:r>
          </w:p>
          <w:p w14:paraId="3D29AF00" w14:textId="77777777" w:rsidR="00165D3E" w:rsidRPr="00A62B80" w:rsidRDefault="00165D3E" w:rsidP="00064A5A">
            <w:pPr>
              <w:jc w:val="right"/>
              <w:rPr>
                <w:sz w:val="24"/>
                <w:szCs w:val="24"/>
              </w:rPr>
            </w:pPr>
            <w:r w:rsidRPr="00A62B80">
              <w:rPr>
                <w:sz w:val="24"/>
                <w:szCs w:val="24"/>
              </w:rPr>
              <w:t xml:space="preserve">52,402   </w:t>
            </w:r>
          </w:p>
        </w:tc>
        <w:tc>
          <w:tcPr>
            <w:tcW w:w="1256" w:type="dxa"/>
            <w:shd w:val="clear" w:color="auto" w:fill="auto"/>
          </w:tcPr>
          <w:p w14:paraId="032B58FD" w14:textId="77777777" w:rsidR="0014785E" w:rsidRDefault="003947A4" w:rsidP="00064A5A">
            <w:pPr>
              <w:jc w:val="right"/>
              <w:rPr>
                <w:sz w:val="24"/>
                <w:szCs w:val="24"/>
              </w:rPr>
            </w:pPr>
            <w:r>
              <w:rPr>
                <w:sz w:val="24"/>
                <w:szCs w:val="24"/>
              </w:rPr>
              <w:t>55,400</w:t>
            </w:r>
          </w:p>
          <w:p w14:paraId="3101880D" w14:textId="77777777" w:rsidR="0014785E" w:rsidRDefault="003947A4" w:rsidP="00064A5A">
            <w:pPr>
              <w:jc w:val="right"/>
              <w:rPr>
                <w:sz w:val="24"/>
                <w:szCs w:val="24"/>
              </w:rPr>
            </w:pPr>
            <w:r>
              <w:rPr>
                <w:sz w:val="24"/>
                <w:szCs w:val="24"/>
              </w:rPr>
              <w:t>(200)</w:t>
            </w:r>
          </w:p>
          <w:p w14:paraId="22CD1FA9" w14:textId="77777777" w:rsidR="00165D3E" w:rsidRPr="00A62B80" w:rsidRDefault="00165D3E" w:rsidP="00064A5A">
            <w:pPr>
              <w:jc w:val="right"/>
              <w:rPr>
                <w:sz w:val="24"/>
                <w:szCs w:val="24"/>
              </w:rPr>
            </w:pPr>
            <w:r w:rsidRPr="00A62B80">
              <w:rPr>
                <w:sz w:val="24"/>
                <w:szCs w:val="24"/>
              </w:rPr>
              <w:t>55,200</w:t>
            </w:r>
          </w:p>
        </w:tc>
        <w:tc>
          <w:tcPr>
            <w:tcW w:w="1256" w:type="dxa"/>
            <w:shd w:val="clear" w:color="auto" w:fill="auto"/>
          </w:tcPr>
          <w:p w14:paraId="32446512" w14:textId="77777777" w:rsidR="0014785E" w:rsidRDefault="003947A4" w:rsidP="00064A5A">
            <w:pPr>
              <w:jc w:val="right"/>
              <w:rPr>
                <w:sz w:val="24"/>
                <w:szCs w:val="24"/>
              </w:rPr>
            </w:pPr>
            <w:r>
              <w:rPr>
                <w:sz w:val="24"/>
                <w:szCs w:val="24"/>
              </w:rPr>
              <w:t>56,384</w:t>
            </w:r>
          </w:p>
          <w:p w14:paraId="04E632BE" w14:textId="77777777" w:rsidR="0014785E" w:rsidRDefault="003947A4" w:rsidP="00064A5A">
            <w:pPr>
              <w:jc w:val="right"/>
              <w:rPr>
                <w:sz w:val="24"/>
                <w:szCs w:val="24"/>
              </w:rPr>
            </w:pPr>
            <w:r>
              <w:rPr>
                <w:sz w:val="24"/>
                <w:szCs w:val="24"/>
              </w:rPr>
              <w:t>(200)</w:t>
            </w:r>
          </w:p>
          <w:p w14:paraId="0E355647" w14:textId="77777777" w:rsidR="00165D3E" w:rsidRPr="00A62B80" w:rsidRDefault="00165D3E" w:rsidP="00064A5A">
            <w:pPr>
              <w:jc w:val="right"/>
              <w:rPr>
                <w:sz w:val="24"/>
                <w:szCs w:val="24"/>
              </w:rPr>
            </w:pPr>
            <w:r w:rsidRPr="00A62B80">
              <w:rPr>
                <w:sz w:val="24"/>
                <w:szCs w:val="24"/>
              </w:rPr>
              <w:t>56,184</w:t>
            </w:r>
          </w:p>
        </w:tc>
        <w:tc>
          <w:tcPr>
            <w:tcW w:w="1380" w:type="dxa"/>
            <w:shd w:val="clear" w:color="auto" w:fill="auto"/>
          </w:tcPr>
          <w:p w14:paraId="2F3B9E90" w14:textId="77777777" w:rsidR="0014785E" w:rsidRDefault="003947A4" w:rsidP="00064A5A">
            <w:pPr>
              <w:jc w:val="right"/>
              <w:rPr>
                <w:sz w:val="24"/>
                <w:szCs w:val="24"/>
              </w:rPr>
            </w:pPr>
            <w:r>
              <w:rPr>
                <w:sz w:val="24"/>
                <w:szCs w:val="24"/>
              </w:rPr>
              <w:t>57,507</w:t>
            </w:r>
          </w:p>
          <w:p w14:paraId="1D3EB9B4" w14:textId="77777777" w:rsidR="0014785E" w:rsidRDefault="003947A4" w:rsidP="00064A5A">
            <w:pPr>
              <w:jc w:val="right"/>
              <w:rPr>
                <w:sz w:val="24"/>
                <w:szCs w:val="24"/>
              </w:rPr>
            </w:pPr>
            <w:r>
              <w:rPr>
                <w:sz w:val="24"/>
                <w:szCs w:val="24"/>
              </w:rPr>
              <w:t>(200)</w:t>
            </w:r>
          </w:p>
          <w:p w14:paraId="0A66FB7F" w14:textId="77777777" w:rsidR="00165D3E" w:rsidRPr="00A62B80" w:rsidRDefault="00165D3E" w:rsidP="00064A5A">
            <w:pPr>
              <w:jc w:val="right"/>
              <w:rPr>
                <w:sz w:val="24"/>
                <w:szCs w:val="24"/>
              </w:rPr>
            </w:pPr>
            <w:r w:rsidRPr="00A62B80">
              <w:rPr>
                <w:sz w:val="24"/>
                <w:szCs w:val="24"/>
              </w:rPr>
              <w:t>57,307</w:t>
            </w:r>
          </w:p>
        </w:tc>
      </w:tr>
      <w:tr w:rsidR="00165D3E" w:rsidRPr="00A62B80" w14:paraId="3B9B200D" w14:textId="77777777" w:rsidTr="008748D3">
        <w:tc>
          <w:tcPr>
            <w:tcW w:w="2560" w:type="dxa"/>
            <w:shd w:val="clear" w:color="auto" w:fill="auto"/>
          </w:tcPr>
          <w:p w14:paraId="221040CA" w14:textId="77777777" w:rsidR="00165D3E" w:rsidRPr="00A62B80" w:rsidRDefault="00165D3E" w:rsidP="00064A5A">
            <w:pPr>
              <w:rPr>
                <w:sz w:val="24"/>
                <w:szCs w:val="24"/>
              </w:rPr>
            </w:pPr>
            <w:r w:rsidRPr="00A62B80">
              <w:rPr>
                <w:sz w:val="24"/>
                <w:szCs w:val="24"/>
              </w:rPr>
              <w:t>Revenue Support Grant (RSG)</w:t>
            </w:r>
          </w:p>
        </w:tc>
        <w:tc>
          <w:tcPr>
            <w:tcW w:w="1342" w:type="dxa"/>
          </w:tcPr>
          <w:p w14:paraId="64923A48" w14:textId="77777777" w:rsidR="00165D3E" w:rsidRPr="00A62B80" w:rsidRDefault="00165D3E" w:rsidP="00064A5A">
            <w:pPr>
              <w:jc w:val="right"/>
              <w:rPr>
                <w:sz w:val="24"/>
                <w:szCs w:val="24"/>
              </w:rPr>
            </w:pPr>
            <w:r w:rsidRPr="00A62B80">
              <w:rPr>
                <w:sz w:val="24"/>
                <w:szCs w:val="24"/>
              </w:rPr>
              <w:t>(6,189)</w:t>
            </w:r>
          </w:p>
        </w:tc>
        <w:tc>
          <w:tcPr>
            <w:tcW w:w="1342" w:type="dxa"/>
            <w:shd w:val="clear" w:color="auto" w:fill="auto"/>
          </w:tcPr>
          <w:p w14:paraId="58D2BF23" w14:textId="77777777" w:rsidR="00165D3E" w:rsidRPr="00A62B80" w:rsidRDefault="00165D3E" w:rsidP="00064A5A">
            <w:pPr>
              <w:jc w:val="right"/>
              <w:rPr>
                <w:sz w:val="24"/>
                <w:szCs w:val="24"/>
              </w:rPr>
            </w:pPr>
            <w:r w:rsidRPr="00A62B80">
              <w:rPr>
                <w:sz w:val="24"/>
                <w:szCs w:val="24"/>
              </w:rPr>
              <w:t>(6,599)</w:t>
            </w:r>
          </w:p>
        </w:tc>
        <w:tc>
          <w:tcPr>
            <w:tcW w:w="1256" w:type="dxa"/>
          </w:tcPr>
          <w:p w14:paraId="27FB7988" w14:textId="77777777" w:rsidR="00165D3E" w:rsidRPr="00A62B80" w:rsidRDefault="00165D3E" w:rsidP="00064A5A">
            <w:pPr>
              <w:jc w:val="right"/>
              <w:rPr>
                <w:sz w:val="24"/>
                <w:szCs w:val="24"/>
              </w:rPr>
            </w:pPr>
            <w:r w:rsidRPr="00A62B80">
              <w:rPr>
                <w:sz w:val="24"/>
                <w:szCs w:val="24"/>
              </w:rPr>
              <w:t>(6,677)</w:t>
            </w:r>
          </w:p>
        </w:tc>
        <w:tc>
          <w:tcPr>
            <w:tcW w:w="1256" w:type="dxa"/>
          </w:tcPr>
          <w:p w14:paraId="75722BBF" w14:textId="77777777" w:rsidR="00165D3E" w:rsidRPr="00A62B80" w:rsidRDefault="00165D3E" w:rsidP="00064A5A">
            <w:pPr>
              <w:jc w:val="right"/>
              <w:rPr>
                <w:sz w:val="24"/>
                <w:szCs w:val="24"/>
              </w:rPr>
            </w:pPr>
            <w:r w:rsidRPr="00A62B80">
              <w:rPr>
                <w:sz w:val="24"/>
                <w:szCs w:val="24"/>
              </w:rPr>
              <w:t>(6,927)</w:t>
            </w:r>
          </w:p>
        </w:tc>
        <w:tc>
          <w:tcPr>
            <w:tcW w:w="1380" w:type="dxa"/>
          </w:tcPr>
          <w:p w14:paraId="38053A52" w14:textId="77777777" w:rsidR="00165D3E" w:rsidRPr="00A62B80" w:rsidRDefault="00165D3E" w:rsidP="00064A5A">
            <w:pPr>
              <w:jc w:val="right"/>
              <w:rPr>
                <w:sz w:val="24"/>
                <w:szCs w:val="24"/>
              </w:rPr>
            </w:pPr>
            <w:r w:rsidRPr="00A62B80">
              <w:rPr>
                <w:sz w:val="24"/>
                <w:szCs w:val="24"/>
              </w:rPr>
              <w:t>(7,065)</w:t>
            </w:r>
          </w:p>
        </w:tc>
      </w:tr>
      <w:tr w:rsidR="00165D3E" w:rsidRPr="00A62B80" w14:paraId="4B15B8C2" w14:textId="77777777" w:rsidTr="008748D3">
        <w:tc>
          <w:tcPr>
            <w:tcW w:w="2560" w:type="dxa"/>
            <w:shd w:val="clear" w:color="auto" w:fill="auto"/>
          </w:tcPr>
          <w:p w14:paraId="49295868" w14:textId="77777777" w:rsidR="00165D3E" w:rsidRPr="00A62B80" w:rsidRDefault="00165D3E" w:rsidP="00064A5A">
            <w:pPr>
              <w:rPr>
                <w:sz w:val="24"/>
                <w:szCs w:val="24"/>
              </w:rPr>
            </w:pPr>
            <w:r w:rsidRPr="00A62B80">
              <w:rPr>
                <w:sz w:val="24"/>
                <w:szCs w:val="24"/>
              </w:rPr>
              <w:t>Business Rate (BR) Income</w:t>
            </w:r>
          </w:p>
        </w:tc>
        <w:tc>
          <w:tcPr>
            <w:tcW w:w="1342" w:type="dxa"/>
          </w:tcPr>
          <w:p w14:paraId="523164C6"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(3,649)</w:t>
            </w:r>
          </w:p>
        </w:tc>
        <w:tc>
          <w:tcPr>
            <w:tcW w:w="1342" w:type="dxa"/>
            <w:shd w:val="clear" w:color="auto" w:fill="auto"/>
          </w:tcPr>
          <w:p w14:paraId="4BF3D559"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(3,613)</w:t>
            </w:r>
          </w:p>
        </w:tc>
        <w:tc>
          <w:tcPr>
            <w:tcW w:w="1256" w:type="dxa"/>
          </w:tcPr>
          <w:p w14:paraId="644C93DE"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(3,722)</w:t>
            </w:r>
          </w:p>
        </w:tc>
        <w:tc>
          <w:tcPr>
            <w:tcW w:w="1256" w:type="dxa"/>
          </w:tcPr>
          <w:p w14:paraId="68D19200"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(4,176)</w:t>
            </w:r>
          </w:p>
        </w:tc>
        <w:tc>
          <w:tcPr>
            <w:tcW w:w="1380" w:type="dxa"/>
          </w:tcPr>
          <w:p w14:paraId="4ADAE87C"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(4,294)</w:t>
            </w:r>
          </w:p>
        </w:tc>
      </w:tr>
      <w:tr w:rsidR="00165D3E" w:rsidRPr="00A62B80" w14:paraId="48C2D833" w14:textId="77777777" w:rsidTr="008748D3">
        <w:tc>
          <w:tcPr>
            <w:tcW w:w="2560" w:type="dxa"/>
            <w:shd w:val="clear" w:color="auto" w:fill="auto"/>
          </w:tcPr>
          <w:p w14:paraId="1B5DD0E8" w14:textId="77777777" w:rsidR="00165D3E" w:rsidRPr="00A62B80" w:rsidRDefault="00165D3E" w:rsidP="00064A5A">
            <w:pPr>
              <w:rPr>
                <w:sz w:val="24"/>
                <w:szCs w:val="24"/>
              </w:rPr>
            </w:pPr>
            <w:r w:rsidRPr="00A62B80">
              <w:rPr>
                <w:sz w:val="24"/>
                <w:szCs w:val="24"/>
              </w:rPr>
              <w:t>Pension Grant</w:t>
            </w:r>
          </w:p>
        </w:tc>
        <w:tc>
          <w:tcPr>
            <w:tcW w:w="1342" w:type="dxa"/>
          </w:tcPr>
          <w:p w14:paraId="7924135E"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(2,340)</w:t>
            </w:r>
          </w:p>
        </w:tc>
        <w:tc>
          <w:tcPr>
            <w:tcW w:w="1342" w:type="dxa"/>
            <w:shd w:val="clear" w:color="auto" w:fill="auto"/>
          </w:tcPr>
          <w:p w14:paraId="7807FB1A"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(2,340)</w:t>
            </w:r>
          </w:p>
        </w:tc>
        <w:tc>
          <w:tcPr>
            <w:tcW w:w="1256" w:type="dxa"/>
          </w:tcPr>
          <w:p w14:paraId="6538FB52"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(2,340)</w:t>
            </w:r>
          </w:p>
        </w:tc>
        <w:tc>
          <w:tcPr>
            <w:tcW w:w="1256" w:type="dxa"/>
          </w:tcPr>
          <w:p w14:paraId="560E61C3"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(2,340)</w:t>
            </w:r>
          </w:p>
        </w:tc>
        <w:tc>
          <w:tcPr>
            <w:tcW w:w="1380" w:type="dxa"/>
          </w:tcPr>
          <w:p w14:paraId="00C9620A"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(2,480)</w:t>
            </w:r>
          </w:p>
        </w:tc>
      </w:tr>
      <w:tr w:rsidR="00165D3E" w:rsidRPr="00A62B80" w14:paraId="30A928B1" w14:textId="77777777" w:rsidTr="008748D3">
        <w:tc>
          <w:tcPr>
            <w:tcW w:w="2560" w:type="dxa"/>
            <w:shd w:val="clear" w:color="auto" w:fill="auto"/>
          </w:tcPr>
          <w:p w14:paraId="75ECE9B4" w14:textId="77777777" w:rsidR="00165D3E" w:rsidRPr="00A62B80" w:rsidRDefault="00165D3E" w:rsidP="00064A5A">
            <w:pPr>
              <w:rPr>
                <w:sz w:val="24"/>
                <w:szCs w:val="24"/>
              </w:rPr>
            </w:pPr>
            <w:r w:rsidRPr="00A62B80">
              <w:rPr>
                <w:sz w:val="24"/>
                <w:szCs w:val="24"/>
              </w:rPr>
              <w:t>BR Top up Grant</w:t>
            </w:r>
          </w:p>
        </w:tc>
        <w:tc>
          <w:tcPr>
            <w:tcW w:w="1342" w:type="dxa"/>
          </w:tcPr>
          <w:p w14:paraId="1CCE8725"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(7,638)</w:t>
            </w:r>
          </w:p>
        </w:tc>
        <w:tc>
          <w:tcPr>
            <w:tcW w:w="1342" w:type="dxa"/>
            <w:shd w:val="clear" w:color="auto" w:fill="auto"/>
          </w:tcPr>
          <w:p w14:paraId="3A234785"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(7,653)</w:t>
            </w:r>
          </w:p>
        </w:tc>
        <w:tc>
          <w:tcPr>
            <w:tcW w:w="1256" w:type="dxa"/>
          </w:tcPr>
          <w:p w14:paraId="767B922E"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(7,802)</w:t>
            </w:r>
          </w:p>
        </w:tc>
        <w:tc>
          <w:tcPr>
            <w:tcW w:w="1256" w:type="dxa"/>
          </w:tcPr>
          <w:p w14:paraId="7DA3D8E2"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(7,278)</w:t>
            </w:r>
          </w:p>
        </w:tc>
        <w:tc>
          <w:tcPr>
            <w:tcW w:w="1380" w:type="dxa"/>
          </w:tcPr>
          <w:p w14:paraId="11C43EC8" w14:textId="77777777" w:rsidR="00165D3E" w:rsidRPr="00A62B80" w:rsidRDefault="00165D3E" w:rsidP="00064A5A">
            <w:pPr>
              <w:pStyle w:val="NoSpacing"/>
              <w:jc w:val="right"/>
              <w:rPr>
                <w:rFonts w:ascii="Arial" w:hAnsi="Arial" w:cs="Arial"/>
                <w:sz w:val="24"/>
                <w:szCs w:val="24"/>
              </w:rPr>
            </w:pPr>
            <w:r w:rsidRPr="00A62B80">
              <w:rPr>
                <w:rFonts w:ascii="Arial" w:hAnsi="Arial" w:cs="Arial"/>
                <w:sz w:val="24"/>
                <w:szCs w:val="24"/>
              </w:rPr>
              <w:t>(7,418)</w:t>
            </w:r>
          </w:p>
        </w:tc>
      </w:tr>
      <w:tr w:rsidR="004B7D73" w:rsidRPr="00A62B80" w14:paraId="1F92ABE3" w14:textId="77777777" w:rsidTr="008748D3">
        <w:tc>
          <w:tcPr>
            <w:tcW w:w="2560" w:type="dxa"/>
            <w:shd w:val="clear" w:color="auto" w:fill="auto"/>
          </w:tcPr>
          <w:p w14:paraId="648AE451" w14:textId="77777777" w:rsidR="004B7D73" w:rsidRPr="00A62B80" w:rsidRDefault="004B7D73" w:rsidP="004B7D73">
            <w:pPr>
              <w:rPr>
                <w:sz w:val="24"/>
                <w:szCs w:val="24"/>
              </w:rPr>
            </w:pPr>
            <w:r w:rsidRPr="00A62B80">
              <w:rPr>
                <w:sz w:val="24"/>
                <w:szCs w:val="24"/>
              </w:rPr>
              <w:t>Council Tax (£5) 2.95% 2025/26 2026/27 and 2% 2027/28</w:t>
            </w:r>
          </w:p>
        </w:tc>
        <w:tc>
          <w:tcPr>
            <w:tcW w:w="1342" w:type="dxa"/>
          </w:tcPr>
          <w:p w14:paraId="3F65E559" w14:textId="77777777" w:rsidR="004B7D73" w:rsidRPr="00A62B80" w:rsidRDefault="004B7D73" w:rsidP="004B7D73">
            <w:pPr>
              <w:pStyle w:val="NoSpacing"/>
              <w:jc w:val="right"/>
              <w:rPr>
                <w:rFonts w:ascii="Arial" w:hAnsi="Arial" w:cs="Arial"/>
                <w:sz w:val="24"/>
                <w:szCs w:val="24"/>
              </w:rPr>
            </w:pPr>
            <w:r w:rsidRPr="00A62B80">
              <w:rPr>
                <w:rFonts w:ascii="Arial" w:hAnsi="Arial" w:cs="Arial"/>
                <w:sz w:val="24"/>
                <w:szCs w:val="24"/>
              </w:rPr>
              <w:t>(29,746)</w:t>
            </w:r>
          </w:p>
        </w:tc>
        <w:tc>
          <w:tcPr>
            <w:tcW w:w="1342" w:type="dxa"/>
            <w:shd w:val="clear" w:color="auto" w:fill="auto"/>
          </w:tcPr>
          <w:p w14:paraId="431C4CB7" w14:textId="77777777" w:rsidR="004B7D73" w:rsidRPr="00A62B80" w:rsidRDefault="004B7D73" w:rsidP="004B7D73">
            <w:pPr>
              <w:pStyle w:val="NoSpacing"/>
              <w:jc w:val="right"/>
              <w:rPr>
                <w:rFonts w:ascii="Arial" w:hAnsi="Arial" w:cs="Arial"/>
                <w:sz w:val="24"/>
                <w:szCs w:val="24"/>
              </w:rPr>
            </w:pPr>
            <w:r w:rsidRPr="00A62B80">
              <w:rPr>
                <w:rFonts w:ascii="Arial" w:hAnsi="Arial" w:cs="Arial"/>
                <w:sz w:val="24"/>
                <w:szCs w:val="24"/>
              </w:rPr>
              <w:t>(31,830)</w:t>
            </w:r>
          </w:p>
        </w:tc>
        <w:tc>
          <w:tcPr>
            <w:tcW w:w="1256" w:type="dxa"/>
          </w:tcPr>
          <w:p w14:paraId="2FB7E9F7" w14:textId="77777777" w:rsidR="004B7D73" w:rsidRPr="00A62B80" w:rsidRDefault="004B7D73" w:rsidP="004B7D73">
            <w:pPr>
              <w:pStyle w:val="NoSpacing"/>
              <w:jc w:val="right"/>
              <w:rPr>
                <w:rFonts w:ascii="Arial" w:hAnsi="Arial" w:cs="Arial"/>
                <w:sz w:val="24"/>
                <w:szCs w:val="24"/>
              </w:rPr>
            </w:pPr>
            <w:r w:rsidRPr="00A62B80">
              <w:rPr>
                <w:rFonts w:ascii="Arial" w:hAnsi="Arial" w:cs="Arial"/>
                <w:sz w:val="24"/>
                <w:szCs w:val="24"/>
              </w:rPr>
              <w:t>(33,212)</w:t>
            </w:r>
          </w:p>
        </w:tc>
        <w:tc>
          <w:tcPr>
            <w:tcW w:w="1256" w:type="dxa"/>
          </w:tcPr>
          <w:p w14:paraId="3D976845" w14:textId="77777777" w:rsidR="004B7D73" w:rsidRPr="00A62B80" w:rsidRDefault="004B7D73" w:rsidP="004B7D73">
            <w:pPr>
              <w:pStyle w:val="NoSpacing"/>
              <w:jc w:val="right"/>
              <w:rPr>
                <w:rFonts w:ascii="Arial" w:hAnsi="Arial" w:cs="Arial"/>
                <w:sz w:val="24"/>
                <w:szCs w:val="24"/>
              </w:rPr>
            </w:pPr>
            <w:r w:rsidRPr="00A62B80">
              <w:rPr>
                <w:rFonts w:ascii="Arial" w:hAnsi="Arial" w:cs="Arial"/>
                <w:sz w:val="24"/>
                <w:szCs w:val="24"/>
              </w:rPr>
              <w:t>(34,652)</w:t>
            </w:r>
          </w:p>
        </w:tc>
        <w:tc>
          <w:tcPr>
            <w:tcW w:w="1380" w:type="dxa"/>
          </w:tcPr>
          <w:p w14:paraId="7487FA1A" w14:textId="77777777" w:rsidR="004B7D73" w:rsidRPr="00A62B80" w:rsidRDefault="004B7D73" w:rsidP="004B7D73">
            <w:pPr>
              <w:pStyle w:val="NoSpacing"/>
              <w:jc w:val="right"/>
              <w:rPr>
                <w:rFonts w:ascii="Arial" w:hAnsi="Arial" w:cs="Arial"/>
                <w:sz w:val="24"/>
                <w:szCs w:val="24"/>
              </w:rPr>
            </w:pPr>
            <w:r w:rsidRPr="00A62B80">
              <w:rPr>
                <w:rFonts w:ascii="Arial" w:hAnsi="Arial" w:cs="Arial"/>
                <w:sz w:val="24"/>
                <w:szCs w:val="24"/>
              </w:rPr>
              <w:t>(35,804)</w:t>
            </w:r>
          </w:p>
        </w:tc>
      </w:tr>
      <w:tr w:rsidR="004B7D73" w:rsidRPr="00A62B80" w14:paraId="0E31EB8F" w14:textId="77777777" w:rsidTr="008748D3">
        <w:tc>
          <w:tcPr>
            <w:tcW w:w="2560" w:type="dxa"/>
            <w:shd w:val="clear" w:color="auto" w:fill="auto"/>
          </w:tcPr>
          <w:p w14:paraId="58D8E16E" w14:textId="77777777" w:rsidR="004B7D73" w:rsidRPr="00A62B80" w:rsidRDefault="004B7D73" w:rsidP="004B7D73">
            <w:pPr>
              <w:rPr>
                <w:sz w:val="24"/>
                <w:szCs w:val="24"/>
              </w:rPr>
            </w:pPr>
          </w:p>
        </w:tc>
        <w:tc>
          <w:tcPr>
            <w:tcW w:w="1342" w:type="dxa"/>
          </w:tcPr>
          <w:p w14:paraId="134D1B1F" w14:textId="77777777" w:rsidR="004B7D73" w:rsidRPr="00A62B80" w:rsidRDefault="004B7D73" w:rsidP="004B7D73">
            <w:pPr>
              <w:jc w:val="right"/>
              <w:rPr>
                <w:sz w:val="24"/>
                <w:szCs w:val="24"/>
              </w:rPr>
            </w:pPr>
          </w:p>
        </w:tc>
        <w:tc>
          <w:tcPr>
            <w:tcW w:w="1342" w:type="dxa"/>
            <w:shd w:val="clear" w:color="auto" w:fill="auto"/>
          </w:tcPr>
          <w:p w14:paraId="101625CB" w14:textId="77777777" w:rsidR="004B7D73" w:rsidRPr="00A62B80" w:rsidRDefault="004B7D73" w:rsidP="004B7D73">
            <w:pPr>
              <w:jc w:val="right"/>
              <w:rPr>
                <w:sz w:val="24"/>
                <w:szCs w:val="24"/>
              </w:rPr>
            </w:pPr>
          </w:p>
        </w:tc>
        <w:tc>
          <w:tcPr>
            <w:tcW w:w="1256" w:type="dxa"/>
          </w:tcPr>
          <w:p w14:paraId="3CB492B2" w14:textId="77777777" w:rsidR="004B7D73" w:rsidRPr="00A62B80" w:rsidRDefault="004B7D73" w:rsidP="004B7D73">
            <w:pPr>
              <w:jc w:val="right"/>
              <w:rPr>
                <w:sz w:val="24"/>
                <w:szCs w:val="24"/>
              </w:rPr>
            </w:pPr>
          </w:p>
        </w:tc>
        <w:tc>
          <w:tcPr>
            <w:tcW w:w="1256" w:type="dxa"/>
          </w:tcPr>
          <w:p w14:paraId="766C881C" w14:textId="77777777" w:rsidR="004B7D73" w:rsidRPr="00A62B80" w:rsidRDefault="004B7D73" w:rsidP="004B7D73">
            <w:pPr>
              <w:jc w:val="right"/>
              <w:rPr>
                <w:sz w:val="24"/>
                <w:szCs w:val="24"/>
              </w:rPr>
            </w:pPr>
          </w:p>
        </w:tc>
        <w:tc>
          <w:tcPr>
            <w:tcW w:w="1380" w:type="dxa"/>
          </w:tcPr>
          <w:p w14:paraId="3CAE8505" w14:textId="77777777" w:rsidR="004B7D73" w:rsidRPr="00A62B80" w:rsidRDefault="004B7D73" w:rsidP="004B7D73">
            <w:pPr>
              <w:jc w:val="right"/>
              <w:rPr>
                <w:sz w:val="24"/>
                <w:szCs w:val="24"/>
              </w:rPr>
            </w:pPr>
          </w:p>
        </w:tc>
      </w:tr>
      <w:tr w:rsidR="004B7D73" w:rsidRPr="003576FF" w14:paraId="2C2E6044" w14:textId="77777777" w:rsidTr="008748D3">
        <w:tc>
          <w:tcPr>
            <w:tcW w:w="2560" w:type="dxa"/>
            <w:shd w:val="clear" w:color="auto" w:fill="auto"/>
          </w:tcPr>
          <w:p w14:paraId="2C267F27" w14:textId="77777777" w:rsidR="004B7D73" w:rsidRPr="00A62B80" w:rsidRDefault="004B7D73" w:rsidP="004B7D73">
            <w:pPr>
              <w:rPr>
                <w:b/>
                <w:sz w:val="24"/>
                <w:szCs w:val="24"/>
              </w:rPr>
            </w:pPr>
            <w:r w:rsidRPr="00A62B80">
              <w:rPr>
                <w:b/>
                <w:sz w:val="24"/>
                <w:szCs w:val="24"/>
              </w:rPr>
              <w:t>Budget Deficit / (Surplus)</w:t>
            </w:r>
          </w:p>
        </w:tc>
        <w:tc>
          <w:tcPr>
            <w:tcW w:w="1342" w:type="dxa"/>
          </w:tcPr>
          <w:p w14:paraId="5BE8C977" w14:textId="77777777" w:rsidR="004B7D73" w:rsidRPr="00A62B80" w:rsidRDefault="004B7D73" w:rsidP="004B7D73">
            <w:pPr>
              <w:jc w:val="right"/>
              <w:rPr>
                <w:b/>
                <w:sz w:val="24"/>
                <w:szCs w:val="24"/>
              </w:rPr>
            </w:pPr>
            <w:r w:rsidRPr="00A62B80">
              <w:rPr>
                <w:b/>
                <w:sz w:val="24"/>
                <w:szCs w:val="24"/>
              </w:rPr>
              <w:t>403</w:t>
            </w:r>
          </w:p>
        </w:tc>
        <w:tc>
          <w:tcPr>
            <w:tcW w:w="1342" w:type="dxa"/>
            <w:shd w:val="clear" w:color="auto" w:fill="auto"/>
          </w:tcPr>
          <w:p w14:paraId="0C85D351" w14:textId="77777777" w:rsidR="004B7D73" w:rsidRPr="00A62B80" w:rsidRDefault="004B7D73" w:rsidP="004B7D73">
            <w:pPr>
              <w:jc w:val="right"/>
              <w:rPr>
                <w:b/>
                <w:sz w:val="24"/>
                <w:szCs w:val="24"/>
              </w:rPr>
            </w:pPr>
            <w:r w:rsidRPr="00A62B80">
              <w:rPr>
                <w:b/>
                <w:sz w:val="24"/>
                <w:szCs w:val="24"/>
              </w:rPr>
              <w:t>367</w:t>
            </w:r>
          </w:p>
        </w:tc>
        <w:tc>
          <w:tcPr>
            <w:tcW w:w="1256" w:type="dxa"/>
          </w:tcPr>
          <w:p w14:paraId="05089249" w14:textId="77777777" w:rsidR="004B7D73" w:rsidRPr="00A62B80" w:rsidRDefault="004B7D73" w:rsidP="004B7D73">
            <w:pPr>
              <w:jc w:val="right"/>
              <w:rPr>
                <w:b/>
                <w:sz w:val="24"/>
                <w:szCs w:val="24"/>
              </w:rPr>
            </w:pPr>
            <w:r w:rsidRPr="00A62B80">
              <w:rPr>
                <w:b/>
                <w:sz w:val="24"/>
                <w:szCs w:val="24"/>
              </w:rPr>
              <w:t>1,447</w:t>
            </w:r>
          </w:p>
        </w:tc>
        <w:tc>
          <w:tcPr>
            <w:tcW w:w="1256" w:type="dxa"/>
          </w:tcPr>
          <w:p w14:paraId="34E0B56A" w14:textId="77777777" w:rsidR="004B7D73" w:rsidRPr="00A62B80" w:rsidRDefault="004B7D73" w:rsidP="004B7D73">
            <w:pPr>
              <w:jc w:val="right"/>
              <w:rPr>
                <w:b/>
                <w:sz w:val="24"/>
                <w:szCs w:val="24"/>
              </w:rPr>
            </w:pPr>
            <w:r w:rsidRPr="00A62B80">
              <w:rPr>
                <w:b/>
                <w:sz w:val="24"/>
                <w:szCs w:val="24"/>
              </w:rPr>
              <w:t>811</w:t>
            </w:r>
          </w:p>
        </w:tc>
        <w:tc>
          <w:tcPr>
            <w:tcW w:w="1380" w:type="dxa"/>
          </w:tcPr>
          <w:p w14:paraId="2B9C7482" w14:textId="77777777" w:rsidR="004B7D73" w:rsidRPr="00A62B80" w:rsidRDefault="004B7D73" w:rsidP="004B7D73">
            <w:pPr>
              <w:jc w:val="right"/>
              <w:rPr>
                <w:b/>
                <w:sz w:val="24"/>
                <w:szCs w:val="24"/>
              </w:rPr>
            </w:pPr>
            <w:r w:rsidRPr="00A62B80">
              <w:rPr>
                <w:b/>
                <w:sz w:val="24"/>
                <w:szCs w:val="24"/>
              </w:rPr>
              <w:t>246</w:t>
            </w:r>
          </w:p>
        </w:tc>
      </w:tr>
    </w:tbl>
    <w:p w14:paraId="0A2FDDA8" w14:textId="77777777" w:rsidR="00406A25" w:rsidRPr="00E05E60" w:rsidRDefault="00406A25" w:rsidP="00406A25">
      <w:pPr>
        <w:rPr>
          <w:sz w:val="24"/>
          <w:szCs w:val="24"/>
          <w:highlight w:val="yellow"/>
        </w:rPr>
      </w:pPr>
    </w:p>
    <w:p w14:paraId="69573E69" w14:textId="77777777" w:rsidR="00406A25" w:rsidRPr="005241F9" w:rsidRDefault="00DC1DE7" w:rsidP="00406A25">
      <w:pPr>
        <w:ind w:left="709" w:hanging="709"/>
        <w:rPr>
          <w:sz w:val="24"/>
          <w:szCs w:val="24"/>
        </w:rPr>
      </w:pPr>
      <w:r w:rsidRPr="005241F9">
        <w:rPr>
          <w:sz w:val="24"/>
          <w:szCs w:val="24"/>
        </w:rPr>
        <w:t>6.1</w:t>
      </w:r>
      <w:r w:rsidR="00324D44">
        <w:rPr>
          <w:sz w:val="24"/>
          <w:szCs w:val="24"/>
        </w:rPr>
        <w:t>3</w:t>
      </w:r>
      <w:r w:rsidR="00406A25" w:rsidRPr="005241F9">
        <w:rPr>
          <w:sz w:val="24"/>
          <w:szCs w:val="24"/>
        </w:rPr>
        <w:tab/>
      </w:r>
      <w:r w:rsidR="00811F75">
        <w:rPr>
          <w:sz w:val="24"/>
          <w:szCs w:val="24"/>
        </w:rPr>
        <w:t xml:space="preserve">This reflects a scenario in which inflation reduces more quickly than anticipated, allowing for a 4% pay award to be agreed along with a £5 increase in council tax. </w:t>
      </w:r>
      <w:r w:rsidR="00742570" w:rsidRPr="00A62B80">
        <w:rPr>
          <w:sz w:val="24"/>
          <w:szCs w:val="24"/>
        </w:rPr>
        <w:t xml:space="preserve">It is therefore likely that the </w:t>
      </w:r>
      <w:r w:rsidR="00811F75">
        <w:rPr>
          <w:sz w:val="24"/>
          <w:szCs w:val="24"/>
        </w:rPr>
        <w:t>S</w:t>
      </w:r>
      <w:r w:rsidR="00742570" w:rsidRPr="00A62B80">
        <w:rPr>
          <w:sz w:val="24"/>
          <w:szCs w:val="24"/>
        </w:rPr>
        <w:t xml:space="preserve">ervice will need to identify savings in the region of £1.5m moving forward.  These savings will be achieved through the delivery of the Futures 25 Efficiency Strategy.  It may be necessary to use </w:t>
      </w:r>
      <w:r w:rsidR="00742570" w:rsidRPr="00CB3A02">
        <w:rPr>
          <w:sz w:val="24"/>
          <w:szCs w:val="24"/>
        </w:rPr>
        <w:t xml:space="preserve">an element of reserves during 2024/25 to allow the </w:t>
      </w:r>
      <w:r w:rsidR="00811F75">
        <w:rPr>
          <w:sz w:val="24"/>
          <w:szCs w:val="24"/>
        </w:rPr>
        <w:t>S</w:t>
      </w:r>
      <w:r w:rsidR="00742570" w:rsidRPr="00CB3A02">
        <w:rPr>
          <w:sz w:val="24"/>
          <w:szCs w:val="24"/>
        </w:rPr>
        <w:t>ervice time to implement the savings identified as part of the strategy.</w:t>
      </w:r>
      <w:r w:rsidR="003702E2" w:rsidRPr="00CB3A02">
        <w:rPr>
          <w:sz w:val="24"/>
          <w:szCs w:val="24"/>
        </w:rPr>
        <w:t xml:space="preserve"> </w:t>
      </w:r>
      <w:r w:rsidR="00F11238" w:rsidRPr="00CB3A02">
        <w:rPr>
          <w:sz w:val="24"/>
          <w:szCs w:val="24"/>
        </w:rPr>
        <w:t xml:space="preserve">Members should note that this would be the </w:t>
      </w:r>
      <w:r w:rsidR="00981FE7" w:rsidRPr="00CB3A02">
        <w:rPr>
          <w:sz w:val="24"/>
          <w:szCs w:val="24"/>
        </w:rPr>
        <w:t>best-case</w:t>
      </w:r>
      <w:r w:rsidR="00F11238" w:rsidRPr="00CB3A02">
        <w:rPr>
          <w:sz w:val="24"/>
          <w:szCs w:val="24"/>
        </w:rPr>
        <w:t xml:space="preserve"> scenario if all variables were to be favourable – this may yet prove unlikely.</w:t>
      </w:r>
      <w:r w:rsidR="00F11238">
        <w:rPr>
          <w:sz w:val="24"/>
          <w:szCs w:val="24"/>
        </w:rPr>
        <w:t xml:space="preserve"> </w:t>
      </w:r>
      <w:r w:rsidR="004F6F29" w:rsidRPr="005241F9">
        <w:rPr>
          <w:sz w:val="24"/>
          <w:szCs w:val="24"/>
        </w:rPr>
        <w:t xml:space="preserve"> </w:t>
      </w:r>
      <w:r w:rsidR="00406A25" w:rsidRPr="005241F9">
        <w:rPr>
          <w:sz w:val="24"/>
          <w:szCs w:val="24"/>
        </w:rPr>
        <w:t xml:space="preserve">  </w:t>
      </w:r>
    </w:p>
    <w:bookmarkEnd w:id="19"/>
    <w:p w14:paraId="53022DD1" w14:textId="77777777" w:rsidR="00DC1DE7" w:rsidRPr="00E05E60" w:rsidRDefault="00DC1DE7" w:rsidP="00406A25">
      <w:pPr>
        <w:ind w:left="709" w:hanging="709"/>
        <w:rPr>
          <w:sz w:val="24"/>
          <w:szCs w:val="24"/>
          <w:highlight w:val="yellow"/>
        </w:rPr>
      </w:pPr>
    </w:p>
    <w:p w14:paraId="15A48571" w14:textId="77777777" w:rsidR="00E43F68" w:rsidRPr="001674B9" w:rsidRDefault="00E43F68" w:rsidP="00E43F68">
      <w:pPr>
        <w:tabs>
          <w:tab w:val="num" w:pos="709"/>
        </w:tabs>
        <w:ind w:left="709" w:hanging="709"/>
        <w:rPr>
          <w:b/>
          <w:sz w:val="24"/>
          <w:szCs w:val="24"/>
        </w:rPr>
      </w:pPr>
      <w:bookmarkStart w:id="25" w:name="_Hlk121232733"/>
      <w:bookmarkEnd w:id="17"/>
      <w:r w:rsidRPr="001674B9">
        <w:rPr>
          <w:b/>
          <w:sz w:val="24"/>
          <w:szCs w:val="24"/>
        </w:rPr>
        <w:t>SECTION</w:t>
      </w:r>
      <w:r w:rsidR="00285F1B">
        <w:rPr>
          <w:b/>
          <w:sz w:val="24"/>
          <w:szCs w:val="24"/>
        </w:rPr>
        <w:t xml:space="preserve"> 7</w:t>
      </w:r>
      <w:r w:rsidRPr="001674B9">
        <w:rPr>
          <w:b/>
          <w:sz w:val="24"/>
          <w:szCs w:val="24"/>
        </w:rPr>
        <w:t>: SUMMARY</w:t>
      </w:r>
    </w:p>
    <w:p w14:paraId="63A003B6" w14:textId="77777777" w:rsidR="00E43F68" w:rsidRPr="001674B9" w:rsidRDefault="00E43F68" w:rsidP="00E43F68">
      <w:pPr>
        <w:tabs>
          <w:tab w:val="num" w:pos="709"/>
        </w:tabs>
        <w:ind w:left="709" w:hanging="709"/>
        <w:rPr>
          <w:sz w:val="24"/>
          <w:szCs w:val="24"/>
        </w:rPr>
      </w:pPr>
    </w:p>
    <w:p w14:paraId="0CBB37C9" w14:textId="77777777" w:rsidR="0052798C" w:rsidRPr="001674B9" w:rsidRDefault="00251DF2" w:rsidP="00BB1E38">
      <w:pPr>
        <w:pStyle w:val="Heading1"/>
        <w:ind w:left="709" w:hanging="709"/>
        <w:rPr>
          <w:rFonts w:ascii="Arial" w:hAnsi="Arial" w:cs="Arial"/>
          <w:b w:val="0"/>
          <w:sz w:val="24"/>
          <w:szCs w:val="24"/>
        </w:rPr>
      </w:pPr>
      <w:r>
        <w:rPr>
          <w:rFonts w:ascii="Arial" w:hAnsi="Arial" w:cs="Arial"/>
          <w:b w:val="0"/>
          <w:sz w:val="24"/>
          <w:szCs w:val="24"/>
        </w:rPr>
        <w:t>7</w:t>
      </w:r>
      <w:r w:rsidR="00A2723C" w:rsidRPr="001674B9">
        <w:rPr>
          <w:rFonts w:ascii="Arial" w:hAnsi="Arial" w:cs="Arial"/>
          <w:b w:val="0"/>
          <w:sz w:val="24"/>
          <w:szCs w:val="24"/>
        </w:rPr>
        <w:t>.1</w:t>
      </w:r>
      <w:r w:rsidR="00E43F68" w:rsidRPr="001674B9">
        <w:rPr>
          <w:rFonts w:ascii="Arial" w:hAnsi="Arial" w:cs="Arial"/>
          <w:b w:val="0"/>
          <w:sz w:val="24"/>
          <w:szCs w:val="24"/>
        </w:rPr>
        <w:tab/>
      </w:r>
      <w:r w:rsidR="00BB1E38" w:rsidRPr="00A62B80">
        <w:rPr>
          <w:rFonts w:ascii="Arial" w:hAnsi="Arial" w:cs="Arial"/>
          <w:b w:val="0"/>
          <w:sz w:val="24"/>
          <w:szCs w:val="24"/>
        </w:rPr>
        <w:t>This MTFS has been written against a backdrop of financial</w:t>
      </w:r>
      <w:r w:rsidR="00E13B50" w:rsidRPr="00A62B80">
        <w:rPr>
          <w:rFonts w:ascii="Arial" w:hAnsi="Arial" w:cs="Arial"/>
          <w:b w:val="0"/>
          <w:sz w:val="24"/>
          <w:szCs w:val="24"/>
        </w:rPr>
        <w:t xml:space="preserve"> and</w:t>
      </w:r>
      <w:r w:rsidR="00BB1E38" w:rsidRPr="00A62B80">
        <w:rPr>
          <w:rFonts w:ascii="Arial" w:hAnsi="Arial" w:cs="Arial"/>
          <w:b w:val="0"/>
          <w:sz w:val="24"/>
          <w:szCs w:val="24"/>
        </w:rPr>
        <w:t xml:space="preserve"> economic uncertainty.  </w:t>
      </w:r>
      <w:r w:rsidR="00E13B50" w:rsidRPr="00A62B80">
        <w:rPr>
          <w:rFonts w:ascii="Arial" w:hAnsi="Arial" w:cs="Arial"/>
          <w:b w:val="0"/>
          <w:sz w:val="24"/>
          <w:szCs w:val="24"/>
        </w:rPr>
        <w:t>Whilst indications are that the fire sector will receive</w:t>
      </w:r>
      <w:r w:rsidR="004A2645" w:rsidRPr="00A62B80">
        <w:rPr>
          <w:rFonts w:ascii="Arial" w:hAnsi="Arial" w:cs="Arial"/>
          <w:b w:val="0"/>
          <w:sz w:val="24"/>
          <w:szCs w:val="24"/>
        </w:rPr>
        <w:t xml:space="preserve"> some</w:t>
      </w:r>
      <w:r w:rsidR="00E13B50" w:rsidRPr="00A62B80">
        <w:rPr>
          <w:rFonts w:ascii="Arial" w:hAnsi="Arial" w:cs="Arial"/>
          <w:b w:val="0"/>
          <w:sz w:val="24"/>
          <w:szCs w:val="24"/>
        </w:rPr>
        <w:t xml:space="preserve"> funding increases</w:t>
      </w:r>
      <w:r w:rsidR="004A2645" w:rsidRPr="00A62B80">
        <w:rPr>
          <w:rFonts w:ascii="Arial" w:hAnsi="Arial" w:cs="Arial"/>
          <w:b w:val="0"/>
          <w:sz w:val="24"/>
          <w:szCs w:val="24"/>
        </w:rPr>
        <w:t>,</w:t>
      </w:r>
      <w:r w:rsidR="00E13B50" w:rsidRPr="00A62B80">
        <w:rPr>
          <w:rFonts w:ascii="Arial" w:hAnsi="Arial" w:cs="Arial"/>
          <w:b w:val="0"/>
          <w:sz w:val="24"/>
          <w:szCs w:val="24"/>
        </w:rPr>
        <w:t xml:space="preserve"> this will not be known with any certainty until the Funding Settlement figures are known in December and collection fund details</w:t>
      </w:r>
      <w:r w:rsidR="001674B9" w:rsidRPr="00A62B80">
        <w:rPr>
          <w:rFonts w:ascii="Arial" w:hAnsi="Arial" w:cs="Arial"/>
          <w:b w:val="0"/>
          <w:sz w:val="24"/>
          <w:szCs w:val="24"/>
        </w:rPr>
        <w:t xml:space="preserve"> for </w:t>
      </w:r>
      <w:r w:rsidR="00943768">
        <w:rPr>
          <w:rFonts w:ascii="Arial" w:hAnsi="Arial" w:cs="Arial"/>
          <w:b w:val="0"/>
          <w:sz w:val="24"/>
          <w:szCs w:val="24"/>
        </w:rPr>
        <w:t>b</w:t>
      </w:r>
      <w:r w:rsidR="001674B9" w:rsidRPr="00A62B80">
        <w:rPr>
          <w:rFonts w:ascii="Arial" w:hAnsi="Arial" w:cs="Arial"/>
          <w:b w:val="0"/>
          <w:sz w:val="24"/>
          <w:szCs w:val="24"/>
        </w:rPr>
        <w:t xml:space="preserve">usiness </w:t>
      </w:r>
      <w:r w:rsidR="00943768">
        <w:rPr>
          <w:rFonts w:ascii="Arial" w:hAnsi="Arial" w:cs="Arial"/>
          <w:b w:val="0"/>
          <w:sz w:val="24"/>
          <w:szCs w:val="24"/>
        </w:rPr>
        <w:t>r</w:t>
      </w:r>
      <w:r w:rsidR="001674B9" w:rsidRPr="00A62B80">
        <w:rPr>
          <w:rFonts w:ascii="Arial" w:hAnsi="Arial" w:cs="Arial"/>
          <w:b w:val="0"/>
          <w:sz w:val="24"/>
          <w:szCs w:val="24"/>
        </w:rPr>
        <w:t xml:space="preserve">ates and </w:t>
      </w:r>
      <w:r w:rsidR="00943768">
        <w:rPr>
          <w:rFonts w:ascii="Arial" w:hAnsi="Arial" w:cs="Arial"/>
          <w:b w:val="0"/>
          <w:sz w:val="24"/>
          <w:szCs w:val="24"/>
        </w:rPr>
        <w:t>c</w:t>
      </w:r>
      <w:r w:rsidR="001674B9" w:rsidRPr="00A62B80">
        <w:rPr>
          <w:rFonts w:ascii="Arial" w:hAnsi="Arial" w:cs="Arial"/>
          <w:b w:val="0"/>
          <w:sz w:val="24"/>
          <w:szCs w:val="24"/>
        </w:rPr>
        <w:t xml:space="preserve">ouncil </w:t>
      </w:r>
      <w:r w:rsidR="00943768">
        <w:rPr>
          <w:rFonts w:ascii="Arial" w:hAnsi="Arial" w:cs="Arial"/>
          <w:b w:val="0"/>
          <w:sz w:val="24"/>
          <w:szCs w:val="24"/>
        </w:rPr>
        <w:t>t</w:t>
      </w:r>
      <w:r w:rsidR="001674B9" w:rsidRPr="00A62B80">
        <w:rPr>
          <w:rFonts w:ascii="Arial" w:hAnsi="Arial" w:cs="Arial"/>
          <w:b w:val="0"/>
          <w:sz w:val="24"/>
          <w:szCs w:val="24"/>
        </w:rPr>
        <w:t>ax</w:t>
      </w:r>
      <w:r w:rsidR="00E13B50" w:rsidRPr="00A62B80">
        <w:rPr>
          <w:rFonts w:ascii="Arial" w:hAnsi="Arial" w:cs="Arial"/>
          <w:b w:val="0"/>
          <w:sz w:val="24"/>
          <w:szCs w:val="24"/>
        </w:rPr>
        <w:t xml:space="preserve"> are known at the end of January </w:t>
      </w:r>
      <w:r w:rsidR="00324D44">
        <w:rPr>
          <w:rFonts w:ascii="Arial" w:hAnsi="Arial" w:cs="Arial"/>
          <w:b w:val="0"/>
          <w:sz w:val="24"/>
          <w:szCs w:val="24"/>
        </w:rPr>
        <w:t>20</w:t>
      </w:r>
      <w:r w:rsidR="00E13B50" w:rsidRPr="00A62B80">
        <w:rPr>
          <w:rFonts w:ascii="Arial" w:hAnsi="Arial" w:cs="Arial"/>
          <w:b w:val="0"/>
          <w:sz w:val="24"/>
          <w:szCs w:val="24"/>
        </w:rPr>
        <w:t>2</w:t>
      </w:r>
      <w:r w:rsidR="008E4ACB" w:rsidRPr="00A62B80">
        <w:rPr>
          <w:rFonts w:ascii="Arial" w:hAnsi="Arial" w:cs="Arial"/>
          <w:b w:val="0"/>
          <w:sz w:val="24"/>
          <w:szCs w:val="24"/>
        </w:rPr>
        <w:t>4</w:t>
      </w:r>
      <w:r w:rsidR="00E13B50" w:rsidRPr="00A62B80">
        <w:rPr>
          <w:rFonts w:ascii="Arial" w:hAnsi="Arial" w:cs="Arial"/>
          <w:b w:val="0"/>
          <w:sz w:val="24"/>
          <w:szCs w:val="24"/>
        </w:rPr>
        <w:t>.</w:t>
      </w:r>
    </w:p>
    <w:p w14:paraId="0557C542" w14:textId="77777777" w:rsidR="000A0D97" w:rsidRPr="001674B9" w:rsidRDefault="000A0D97" w:rsidP="000A0D97"/>
    <w:p w14:paraId="1337210A" w14:textId="77777777" w:rsidR="000A0D97" w:rsidRDefault="00251DF2" w:rsidP="000A0D97">
      <w:pPr>
        <w:tabs>
          <w:tab w:val="num" w:pos="709"/>
        </w:tabs>
        <w:ind w:left="709" w:hanging="709"/>
        <w:rPr>
          <w:sz w:val="24"/>
          <w:szCs w:val="24"/>
        </w:rPr>
      </w:pPr>
      <w:r>
        <w:rPr>
          <w:sz w:val="24"/>
          <w:szCs w:val="24"/>
        </w:rPr>
        <w:t>7</w:t>
      </w:r>
      <w:r w:rsidR="000A0D97" w:rsidRPr="001674B9">
        <w:rPr>
          <w:sz w:val="24"/>
          <w:szCs w:val="24"/>
        </w:rPr>
        <w:t>.</w:t>
      </w:r>
      <w:r w:rsidR="00983B61" w:rsidRPr="001674B9">
        <w:rPr>
          <w:sz w:val="24"/>
          <w:szCs w:val="24"/>
        </w:rPr>
        <w:t>2</w:t>
      </w:r>
      <w:r w:rsidR="000A0D97" w:rsidRPr="001674B9">
        <w:rPr>
          <w:sz w:val="24"/>
          <w:szCs w:val="24"/>
        </w:rPr>
        <w:tab/>
      </w:r>
      <w:r w:rsidR="000A0D97" w:rsidRPr="001674B9">
        <w:rPr>
          <w:sz w:val="24"/>
          <w:szCs w:val="24"/>
        </w:rPr>
        <w:tab/>
      </w:r>
      <w:r w:rsidR="000A0D97" w:rsidRPr="00A62B80">
        <w:rPr>
          <w:sz w:val="24"/>
          <w:szCs w:val="24"/>
        </w:rPr>
        <w:t xml:space="preserve">The most likely </w:t>
      </w:r>
      <w:r w:rsidR="000A0D97" w:rsidRPr="00C12FBE">
        <w:rPr>
          <w:sz w:val="24"/>
          <w:szCs w:val="24"/>
        </w:rPr>
        <w:t>scenario assum</w:t>
      </w:r>
      <w:r w:rsidR="004A2645" w:rsidRPr="00C12FBE">
        <w:rPr>
          <w:sz w:val="24"/>
          <w:szCs w:val="24"/>
        </w:rPr>
        <w:t>es</w:t>
      </w:r>
      <w:r w:rsidR="000A0D97" w:rsidRPr="00C12FBE">
        <w:rPr>
          <w:sz w:val="24"/>
          <w:szCs w:val="24"/>
        </w:rPr>
        <w:t xml:space="preserve"> a </w:t>
      </w:r>
      <w:r w:rsidR="008E4ACB" w:rsidRPr="00C12FBE">
        <w:rPr>
          <w:sz w:val="24"/>
          <w:szCs w:val="24"/>
        </w:rPr>
        <w:t xml:space="preserve">£5.00 </w:t>
      </w:r>
      <w:r w:rsidR="000A0D97" w:rsidRPr="00C12FBE">
        <w:rPr>
          <w:sz w:val="24"/>
          <w:szCs w:val="24"/>
        </w:rPr>
        <w:t xml:space="preserve">increase in </w:t>
      </w:r>
      <w:r w:rsidR="00943768">
        <w:rPr>
          <w:sz w:val="24"/>
          <w:szCs w:val="24"/>
        </w:rPr>
        <w:t>c</w:t>
      </w:r>
      <w:r w:rsidR="000A0D97" w:rsidRPr="00C12FBE">
        <w:rPr>
          <w:sz w:val="24"/>
          <w:szCs w:val="24"/>
        </w:rPr>
        <w:t xml:space="preserve">ouncil </w:t>
      </w:r>
      <w:r w:rsidR="00943768">
        <w:rPr>
          <w:sz w:val="24"/>
          <w:szCs w:val="24"/>
        </w:rPr>
        <w:t>t</w:t>
      </w:r>
      <w:r w:rsidR="000A0D97" w:rsidRPr="00C12FBE">
        <w:rPr>
          <w:sz w:val="24"/>
          <w:szCs w:val="24"/>
        </w:rPr>
        <w:t>ax and</w:t>
      </w:r>
      <w:r w:rsidR="00943768">
        <w:rPr>
          <w:sz w:val="24"/>
          <w:szCs w:val="24"/>
        </w:rPr>
        <w:t>,</w:t>
      </w:r>
      <w:r w:rsidR="000A0D97" w:rsidRPr="00C12FBE">
        <w:rPr>
          <w:sz w:val="24"/>
          <w:szCs w:val="24"/>
        </w:rPr>
        <w:t xml:space="preserve"> after considering the economic situation</w:t>
      </w:r>
      <w:r w:rsidR="000A0D97" w:rsidRPr="00A62B80">
        <w:rPr>
          <w:sz w:val="24"/>
          <w:szCs w:val="24"/>
        </w:rPr>
        <w:t xml:space="preserve"> and expected costs, shows a </w:t>
      </w:r>
      <w:r w:rsidR="004B6C98" w:rsidRPr="00A62B80">
        <w:rPr>
          <w:sz w:val="24"/>
          <w:szCs w:val="24"/>
        </w:rPr>
        <w:t>2024/25</w:t>
      </w:r>
      <w:r w:rsidR="000A0D97" w:rsidRPr="00A62B80">
        <w:rPr>
          <w:sz w:val="24"/>
          <w:szCs w:val="24"/>
        </w:rPr>
        <w:t xml:space="preserve"> deficit position of £</w:t>
      </w:r>
      <w:r w:rsidR="008E4ACB" w:rsidRPr="00A62B80">
        <w:rPr>
          <w:sz w:val="24"/>
          <w:szCs w:val="24"/>
        </w:rPr>
        <w:t>60</w:t>
      </w:r>
      <w:r w:rsidR="00323B4C">
        <w:rPr>
          <w:sz w:val="24"/>
          <w:szCs w:val="24"/>
        </w:rPr>
        <w:t>1</w:t>
      </w:r>
      <w:r w:rsidR="008E4ACB" w:rsidRPr="00A62B80">
        <w:rPr>
          <w:sz w:val="24"/>
          <w:szCs w:val="24"/>
        </w:rPr>
        <w:t>k</w:t>
      </w:r>
      <w:r w:rsidR="004A2645" w:rsidRPr="00A62B80">
        <w:rPr>
          <w:sz w:val="24"/>
          <w:szCs w:val="24"/>
        </w:rPr>
        <w:t>.  Future year deficits</w:t>
      </w:r>
      <w:r w:rsidR="001674B9" w:rsidRPr="00A62B80">
        <w:rPr>
          <w:sz w:val="24"/>
          <w:szCs w:val="24"/>
        </w:rPr>
        <w:t xml:space="preserve"> remain above this level</w:t>
      </w:r>
      <w:r w:rsidR="00596300" w:rsidRPr="00A62B80">
        <w:rPr>
          <w:sz w:val="24"/>
          <w:szCs w:val="24"/>
        </w:rPr>
        <w:t>.</w:t>
      </w:r>
      <w:r w:rsidR="000A0D97" w:rsidRPr="001674B9">
        <w:rPr>
          <w:sz w:val="24"/>
          <w:szCs w:val="24"/>
        </w:rPr>
        <w:t xml:space="preserve">  </w:t>
      </w:r>
      <w:r w:rsidR="00FA5D8B">
        <w:rPr>
          <w:sz w:val="24"/>
          <w:szCs w:val="24"/>
        </w:rPr>
        <w:t xml:space="preserve"> </w:t>
      </w:r>
    </w:p>
    <w:p w14:paraId="44FB289E" w14:textId="77777777" w:rsidR="004A2645" w:rsidRDefault="004A2645" w:rsidP="000A0D97">
      <w:pPr>
        <w:tabs>
          <w:tab w:val="num" w:pos="709"/>
        </w:tabs>
        <w:ind w:left="709" w:hanging="709"/>
        <w:rPr>
          <w:sz w:val="24"/>
          <w:szCs w:val="24"/>
        </w:rPr>
      </w:pPr>
    </w:p>
    <w:p w14:paraId="725200C6" w14:textId="77777777" w:rsidR="004A2645" w:rsidRPr="00E168CF" w:rsidRDefault="00251DF2" w:rsidP="004A2645">
      <w:pPr>
        <w:ind w:left="709" w:hanging="709"/>
        <w:rPr>
          <w:sz w:val="24"/>
          <w:szCs w:val="24"/>
        </w:rPr>
      </w:pPr>
      <w:r>
        <w:rPr>
          <w:sz w:val="24"/>
          <w:szCs w:val="24"/>
        </w:rPr>
        <w:lastRenderedPageBreak/>
        <w:t>7</w:t>
      </w:r>
      <w:r w:rsidR="004A2645">
        <w:rPr>
          <w:sz w:val="24"/>
          <w:szCs w:val="24"/>
        </w:rPr>
        <w:t>.3</w:t>
      </w:r>
      <w:r w:rsidR="004A2645">
        <w:rPr>
          <w:sz w:val="24"/>
          <w:szCs w:val="24"/>
        </w:rPr>
        <w:tab/>
        <w:t xml:space="preserve">It is therefore likely that the </w:t>
      </w:r>
      <w:r w:rsidR="00943768">
        <w:rPr>
          <w:sz w:val="24"/>
          <w:szCs w:val="24"/>
        </w:rPr>
        <w:t>S</w:t>
      </w:r>
      <w:r w:rsidR="004A2645">
        <w:rPr>
          <w:sz w:val="24"/>
          <w:szCs w:val="24"/>
        </w:rPr>
        <w:t xml:space="preserve">ervice will need to identify savings in the region of </w:t>
      </w:r>
      <w:r w:rsidR="004A2645" w:rsidRPr="00A62B80">
        <w:rPr>
          <w:sz w:val="24"/>
          <w:szCs w:val="24"/>
        </w:rPr>
        <w:t>£</w:t>
      </w:r>
      <w:r w:rsidR="009C255E" w:rsidRPr="00A62B80">
        <w:rPr>
          <w:sz w:val="24"/>
          <w:szCs w:val="24"/>
        </w:rPr>
        <w:t>1.7</w:t>
      </w:r>
      <w:r w:rsidR="004A2645" w:rsidRPr="00A62B80">
        <w:rPr>
          <w:sz w:val="24"/>
          <w:szCs w:val="24"/>
        </w:rPr>
        <w:t>m moving forward.  These</w:t>
      </w:r>
      <w:r w:rsidR="004A2645">
        <w:rPr>
          <w:sz w:val="24"/>
          <w:szCs w:val="24"/>
        </w:rPr>
        <w:t xml:space="preserve"> savings will be achieved through the delivery of the Futures 25 Efficiency Strategy.  It may be necessary to use an element of reserves during </w:t>
      </w:r>
      <w:r w:rsidR="004B6C98">
        <w:rPr>
          <w:sz w:val="24"/>
          <w:szCs w:val="24"/>
        </w:rPr>
        <w:t>2024/25</w:t>
      </w:r>
      <w:r w:rsidR="004A2645">
        <w:rPr>
          <w:sz w:val="24"/>
          <w:szCs w:val="24"/>
        </w:rPr>
        <w:t xml:space="preserve"> to allow the </w:t>
      </w:r>
      <w:r w:rsidR="00943768">
        <w:rPr>
          <w:sz w:val="24"/>
          <w:szCs w:val="24"/>
        </w:rPr>
        <w:t>S</w:t>
      </w:r>
      <w:r w:rsidR="004A2645">
        <w:rPr>
          <w:sz w:val="24"/>
          <w:szCs w:val="24"/>
        </w:rPr>
        <w:t xml:space="preserve">ervice time to implement the savings identified as part of the strategy.  The </w:t>
      </w:r>
      <w:r w:rsidR="00943768">
        <w:rPr>
          <w:sz w:val="24"/>
          <w:szCs w:val="24"/>
        </w:rPr>
        <w:t>S</w:t>
      </w:r>
      <w:r w:rsidR="004A2645">
        <w:rPr>
          <w:sz w:val="24"/>
          <w:szCs w:val="24"/>
        </w:rPr>
        <w:t xml:space="preserve">ervice currently </w:t>
      </w:r>
      <w:r w:rsidR="004A2645" w:rsidRPr="00A62B80">
        <w:rPr>
          <w:sz w:val="24"/>
          <w:szCs w:val="24"/>
        </w:rPr>
        <w:t>holds £</w:t>
      </w:r>
      <w:r w:rsidR="009C255E" w:rsidRPr="00A62B80">
        <w:rPr>
          <w:sz w:val="24"/>
          <w:szCs w:val="24"/>
        </w:rPr>
        <w:t>1,126m</w:t>
      </w:r>
      <w:r w:rsidR="004A2645" w:rsidRPr="00A62B80">
        <w:rPr>
          <w:sz w:val="24"/>
          <w:szCs w:val="24"/>
        </w:rPr>
        <w:t xml:space="preserve"> in</w:t>
      </w:r>
      <w:r w:rsidR="004A2645">
        <w:rPr>
          <w:sz w:val="24"/>
          <w:szCs w:val="24"/>
        </w:rPr>
        <w:t xml:space="preserve"> a </w:t>
      </w:r>
      <w:r w:rsidR="004A2645" w:rsidRPr="00320F54">
        <w:rPr>
          <w:sz w:val="24"/>
          <w:szCs w:val="24"/>
        </w:rPr>
        <w:t>Budget Pressures Support Earmarked Reserve</w:t>
      </w:r>
      <w:r w:rsidR="00320F54" w:rsidRPr="00320F54">
        <w:rPr>
          <w:sz w:val="24"/>
          <w:szCs w:val="24"/>
        </w:rPr>
        <w:t xml:space="preserve">. </w:t>
      </w:r>
      <w:r w:rsidR="004A2645" w:rsidRPr="00320F54">
        <w:rPr>
          <w:sz w:val="24"/>
          <w:szCs w:val="24"/>
        </w:rPr>
        <w:t xml:space="preserve">This should place the Authority in a good position, enabling it to balance the budget without the use of reserves in </w:t>
      </w:r>
      <w:r w:rsidR="004B6C98" w:rsidRPr="00320F54">
        <w:rPr>
          <w:sz w:val="24"/>
          <w:szCs w:val="24"/>
        </w:rPr>
        <w:t>2025/26</w:t>
      </w:r>
      <w:r w:rsidR="004A2645" w:rsidRPr="00320F54">
        <w:rPr>
          <w:sz w:val="24"/>
          <w:szCs w:val="24"/>
        </w:rPr>
        <w:t>.</w:t>
      </w:r>
    </w:p>
    <w:p w14:paraId="4EF4A1CB" w14:textId="77777777" w:rsidR="004A2645" w:rsidRPr="001674B9" w:rsidRDefault="004A2645" w:rsidP="000A0D97">
      <w:pPr>
        <w:tabs>
          <w:tab w:val="num" w:pos="709"/>
        </w:tabs>
        <w:ind w:left="709" w:hanging="709"/>
        <w:rPr>
          <w:sz w:val="24"/>
          <w:szCs w:val="24"/>
        </w:rPr>
      </w:pPr>
    </w:p>
    <w:p w14:paraId="19EFB7F3" w14:textId="77777777" w:rsidR="0034166C" w:rsidRDefault="00251DF2" w:rsidP="00A25805">
      <w:pPr>
        <w:tabs>
          <w:tab w:val="num" w:pos="709"/>
        </w:tabs>
        <w:ind w:left="709" w:hanging="709"/>
        <w:rPr>
          <w:sz w:val="24"/>
          <w:szCs w:val="24"/>
        </w:rPr>
      </w:pPr>
      <w:r>
        <w:rPr>
          <w:sz w:val="24"/>
          <w:szCs w:val="24"/>
        </w:rPr>
        <w:t>7.</w:t>
      </w:r>
      <w:r w:rsidR="004A2645">
        <w:rPr>
          <w:sz w:val="24"/>
          <w:szCs w:val="24"/>
        </w:rPr>
        <w:t>4</w:t>
      </w:r>
      <w:r w:rsidR="00A25805" w:rsidRPr="001674B9">
        <w:rPr>
          <w:sz w:val="24"/>
          <w:szCs w:val="24"/>
        </w:rPr>
        <w:tab/>
        <w:t>I</w:t>
      </w:r>
      <w:r w:rsidR="00E13B50" w:rsidRPr="001674B9">
        <w:rPr>
          <w:sz w:val="24"/>
          <w:szCs w:val="24"/>
        </w:rPr>
        <w:t xml:space="preserve">n the </w:t>
      </w:r>
      <w:r w:rsidR="00323B4C" w:rsidRPr="001674B9">
        <w:rPr>
          <w:sz w:val="24"/>
          <w:szCs w:val="24"/>
        </w:rPr>
        <w:t>worst-case</w:t>
      </w:r>
      <w:r w:rsidR="00E13B50" w:rsidRPr="001674B9">
        <w:rPr>
          <w:sz w:val="24"/>
          <w:szCs w:val="24"/>
        </w:rPr>
        <w:t xml:space="preserve"> scenario</w:t>
      </w:r>
      <w:r w:rsidR="00324D44">
        <w:rPr>
          <w:sz w:val="24"/>
          <w:szCs w:val="24"/>
        </w:rPr>
        <w:t xml:space="preserve">, </w:t>
      </w:r>
      <w:r w:rsidR="00A10C8D" w:rsidRPr="00C12FBE">
        <w:rPr>
          <w:sz w:val="24"/>
          <w:szCs w:val="24"/>
        </w:rPr>
        <w:t xml:space="preserve">estimates show that a </w:t>
      </w:r>
      <w:r w:rsidR="004B6C98" w:rsidRPr="00C12FBE">
        <w:rPr>
          <w:sz w:val="24"/>
          <w:szCs w:val="24"/>
        </w:rPr>
        <w:t>2024/25</w:t>
      </w:r>
      <w:r w:rsidR="00A10C8D" w:rsidRPr="00C12FBE">
        <w:rPr>
          <w:sz w:val="24"/>
          <w:szCs w:val="24"/>
        </w:rPr>
        <w:t xml:space="preserve"> deficit of £</w:t>
      </w:r>
      <w:r w:rsidR="009C255E" w:rsidRPr="00C12FBE">
        <w:rPr>
          <w:sz w:val="24"/>
          <w:szCs w:val="24"/>
        </w:rPr>
        <w:t>1.4</w:t>
      </w:r>
      <w:r w:rsidR="00A10C8D" w:rsidRPr="00C12FBE">
        <w:rPr>
          <w:sz w:val="24"/>
          <w:szCs w:val="24"/>
        </w:rPr>
        <w:t xml:space="preserve">m could be </w:t>
      </w:r>
      <w:r w:rsidR="0081036D" w:rsidRPr="00C12FBE">
        <w:rPr>
          <w:sz w:val="24"/>
          <w:szCs w:val="24"/>
        </w:rPr>
        <w:t>likely</w:t>
      </w:r>
      <w:r w:rsidR="00A10C8D" w:rsidRPr="00C12FBE">
        <w:rPr>
          <w:sz w:val="24"/>
          <w:szCs w:val="24"/>
        </w:rPr>
        <w:t>, even assuming</w:t>
      </w:r>
      <w:r w:rsidR="00A10C8D" w:rsidRPr="00785601">
        <w:rPr>
          <w:sz w:val="24"/>
          <w:szCs w:val="24"/>
        </w:rPr>
        <w:t xml:space="preserve"> a </w:t>
      </w:r>
      <w:r w:rsidR="009C255E" w:rsidRPr="00785601">
        <w:rPr>
          <w:sz w:val="24"/>
          <w:szCs w:val="24"/>
        </w:rPr>
        <w:t>2</w:t>
      </w:r>
      <w:r w:rsidR="00A10C8D" w:rsidRPr="00785601">
        <w:rPr>
          <w:sz w:val="24"/>
          <w:szCs w:val="24"/>
        </w:rPr>
        <w:t xml:space="preserve">.95% </w:t>
      </w:r>
      <w:r w:rsidR="00943768">
        <w:rPr>
          <w:sz w:val="24"/>
          <w:szCs w:val="24"/>
        </w:rPr>
        <w:t>c</w:t>
      </w:r>
      <w:r w:rsidR="00A10C8D" w:rsidRPr="00785601">
        <w:rPr>
          <w:sz w:val="24"/>
          <w:szCs w:val="24"/>
        </w:rPr>
        <w:t xml:space="preserve">ouncil </w:t>
      </w:r>
      <w:r w:rsidR="00943768">
        <w:rPr>
          <w:sz w:val="24"/>
          <w:szCs w:val="24"/>
        </w:rPr>
        <w:t>t</w:t>
      </w:r>
      <w:r w:rsidR="00A10C8D" w:rsidRPr="00785601">
        <w:rPr>
          <w:sz w:val="24"/>
          <w:szCs w:val="24"/>
        </w:rPr>
        <w:t>ax increase.  If there were to be no increase in</w:t>
      </w:r>
      <w:r w:rsidR="00A25805" w:rsidRPr="00785601">
        <w:rPr>
          <w:sz w:val="24"/>
          <w:szCs w:val="24"/>
        </w:rPr>
        <w:t xml:space="preserve"> </w:t>
      </w:r>
      <w:r w:rsidR="00943768">
        <w:rPr>
          <w:sz w:val="24"/>
          <w:szCs w:val="24"/>
        </w:rPr>
        <w:t>c</w:t>
      </w:r>
      <w:r w:rsidR="00A25805" w:rsidRPr="00785601">
        <w:rPr>
          <w:sz w:val="24"/>
          <w:szCs w:val="24"/>
        </w:rPr>
        <w:t xml:space="preserve">ouncil </w:t>
      </w:r>
      <w:r w:rsidR="00943768">
        <w:rPr>
          <w:sz w:val="24"/>
          <w:szCs w:val="24"/>
        </w:rPr>
        <w:t>t</w:t>
      </w:r>
      <w:r w:rsidR="00A25805" w:rsidRPr="00785601">
        <w:rPr>
          <w:sz w:val="24"/>
          <w:szCs w:val="24"/>
        </w:rPr>
        <w:t>ax levels</w:t>
      </w:r>
      <w:r w:rsidR="00A10C8D" w:rsidRPr="001674B9">
        <w:rPr>
          <w:sz w:val="24"/>
          <w:szCs w:val="24"/>
        </w:rPr>
        <w:t xml:space="preserve"> the </w:t>
      </w:r>
      <w:r w:rsidR="004B6C98">
        <w:rPr>
          <w:sz w:val="24"/>
          <w:szCs w:val="24"/>
        </w:rPr>
        <w:t>2024/25</w:t>
      </w:r>
      <w:r w:rsidR="00A10C8D" w:rsidRPr="001674B9">
        <w:rPr>
          <w:sz w:val="24"/>
          <w:szCs w:val="24"/>
        </w:rPr>
        <w:t xml:space="preserve"> deficit would rise to £</w:t>
      </w:r>
      <w:r w:rsidR="009C255E">
        <w:rPr>
          <w:sz w:val="24"/>
          <w:szCs w:val="24"/>
        </w:rPr>
        <w:t>2.685m</w:t>
      </w:r>
      <w:r w:rsidR="00A10C8D" w:rsidRPr="001674B9">
        <w:rPr>
          <w:sz w:val="24"/>
          <w:szCs w:val="24"/>
        </w:rPr>
        <w:t>.</w:t>
      </w:r>
      <w:r w:rsidR="0034166C">
        <w:rPr>
          <w:sz w:val="24"/>
          <w:szCs w:val="24"/>
        </w:rPr>
        <w:t xml:space="preserve">  If this were to be the </w:t>
      </w:r>
      <w:r w:rsidR="00981FE7">
        <w:rPr>
          <w:sz w:val="24"/>
          <w:szCs w:val="24"/>
        </w:rPr>
        <w:t>case,</w:t>
      </w:r>
      <w:r w:rsidR="0034166C">
        <w:rPr>
          <w:sz w:val="24"/>
          <w:szCs w:val="24"/>
        </w:rPr>
        <w:t xml:space="preserve"> then significant savings would be </w:t>
      </w:r>
      <w:r w:rsidR="00981FE7">
        <w:rPr>
          <w:sz w:val="24"/>
          <w:szCs w:val="24"/>
        </w:rPr>
        <w:t>required,</w:t>
      </w:r>
      <w:r w:rsidR="0034166C">
        <w:rPr>
          <w:sz w:val="24"/>
          <w:szCs w:val="24"/>
        </w:rPr>
        <w:t xml:space="preserve"> and the more difficult options identified in the Futures 25 Efficiency Strategy would need to be considered.</w:t>
      </w:r>
    </w:p>
    <w:p w14:paraId="1C709888" w14:textId="77777777" w:rsidR="0005672C" w:rsidRDefault="0005672C" w:rsidP="00A25805">
      <w:pPr>
        <w:tabs>
          <w:tab w:val="num" w:pos="709"/>
        </w:tabs>
        <w:ind w:left="709" w:hanging="709"/>
        <w:rPr>
          <w:sz w:val="24"/>
          <w:szCs w:val="24"/>
        </w:rPr>
      </w:pPr>
    </w:p>
    <w:p w14:paraId="2698562D" w14:textId="77777777" w:rsidR="002A5964" w:rsidRPr="001674B9" w:rsidRDefault="0005672C" w:rsidP="002A5964">
      <w:pPr>
        <w:pStyle w:val="ListParagraph"/>
        <w:ind w:left="709" w:hanging="709"/>
        <w:rPr>
          <w:sz w:val="24"/>
          <w:szCs w:val="24"/>
        </w:rPr>
      </w:pPr>
      <w:r>
        <w:rPr>
          <w:sz w:val="24"/>
          <w:szCs w:val="24"/>
        </w:rPr>
        <w:t>7</w:t>
      </w:r>
      <w:r w:rsidR="00A2723C" w:rsidRPr="001674B9">
        <w:rPr>
          <w:sz w:val="24"/>
          <w:szCs w:val="24"/>
        </w:rPr>
        <w:t>.</w:t>
      </w:r>
      <w:r w:rsidR="0034166C">
        <w:rPr>
          <w:sz w:val="24"/>
          <w:szCs w:val="24"/>
        </w:rPr>
        <w:t>5</w:t>
      </w:r>
      <w:r w:rsidR="002A5964" w:rsidRPr="001674B9">
        <w:rPr>
          <w:sz w:val="24"/>
          <w:szCs w:val="24"/>
        </w:rPr>
        <w:tab/>
      </w:r>
      <w:r w:rsidR="002A5964" w:rsidRPr="00C334D0">
        <w:rPr>
          <w:sz w:val="24"/>
          <w:szCs w:val="24"/>
        </w:rPr>
        <w:t xml:space="preserve">It is probable that the maximum limit for the amount </w:t>
      </w:r>
      <w:r w:rsidR="00943768" w:rsidRPr="00C334D0">
        <w:rPr>
          <w:sz w:val="24"/>
          <w:szCs w:val="24"/>
        </w:rPr>
        <w:t>c</w:t>
      </w:r>
      <w:r w:rsidR="002A5964" w:rsidRPr="00C334D0">
        <w:rPr>
          <w:sz w:val="24"/>
          <w:szCs w:val="24"/>
        </w:rPr>
        <w:t xml:space="preserve">ouncil </w:t>
      </w:r>
      <w:r w:rsidR="00943768" w:rsidRPr="00C334D0">
        <w:rPr>
          <w:sz w:val="24"/>
          <w:szCs w:val="24"/>
        </w:rPr>
        <w:t>t</w:t>
      </w:r>
      <w:r w:rsidR="002A5964" w:rsidRPr="00C334D0">
        <w:rPr>
          <w:sz w:val="24"/>
          <w:szCs w:val="24"/>
        </w:rPr>
        <w:t xml:space="preserve">ax can be increased before invoking a referendum will be </w:t>
      </w:r>
      <w:r w:rsidR="001674B9" w:rsidRPr="00C334D0">
        <w:rPr>
          <w:sz w:val="24"/>
          <w:szCs w:val="24"/>
        </w:rPr>
        <w:t>3</w:t>
      </w:r>
      <w:r w:rsidR="002A5964" w:rsidRPr="00C334D0">
        <w:rPr>
          <w:sz w:val="24"/>
          <w:szCs w:val="24"/>
        </w:rPr>
        <w:t xml:space="preserve">%.  The </w:t>
      </w:r>
      <w:r w:rsidR="00324D44">
        <w:rPr>
          <w:sz w:val="24"/>
          <w:szCs w:val="24"/>
        </w:rPr>
        <w:t>f</w:t>
      </w:r>
      <w:r w:rsidR="002A5964" w:rsidRPr="00C334D0">
        <w:rPr>
          <w:sz w:val="24"/>
          <w:szCs w:val="24"/>
        </w:rPr>
        <w:t>ire sector ha</w:t>
      </w:r>
      <w:r w:rsidR="00943768" w:rsidRPr="00C334D0">
        <w:rPr>
          <w:sz w:val="24"/>
          <w:szCs w:val="24"/>
        </w:rPr>
        <w:t>s</w:t>
      </w:r>
      <w:r w:rsidR="002A5964" w:rsidRPr="00C334D0">
        <w:rPr>
          <w:sz w:val="24"/>
          <w:szCs w:val="24"/>
        </w:rPr>
        <w:t xml:space="preserve"> requested the flexibility to increase council tax by £5 to enable investment to help it deal with pressures outlined in section </w:t>
      </w:r>
      <w:r w:rsidR="0040262D" w:rsidRPr="00C334D0">
        <w:rPr>
          <w:sz w:val="24"/>
          <w:szCs w:val="24"/>
        </w:rPr>
        <w:t>3</w:t>
      </w:r>
      <w:r w:rsidR="002A5964" w:rsidRPr="00C334D0">
        <w:rPr>
          <w:sz w:val="24"/>
          <w:szCs w:val="24"/>
        </w:rPr>
        <w:t xml:space="preserve"> and investment in future services.</w:t>
      </w:r>
    </w:p>
    <w:p w14:paraId="3D2EBBBD" w14:textId="77777777" w:rsidR="002A5964" w:rsidRPr="001674B9" w:rsidRDefault="002A5964" w:rsidP="002A5964">
      <w:pPr>
        <w:pStyle w:val="ListParagraph"/>
        <w:ind w:left="709" w:hanging="709"/>
        <w:rPr>
          <w:sz w:val="24"/>
          <w:szCs w:val="24"/>
        </w:rPr>
      </w:pPr>
    </w:p>
    <w:p w14:paraId="44E50EC3" w14:textId="77777777" w:rsidR="00C442AB" w:rsidRPr="0034166C" w:rsidRDefault="00251DF2" w:rsidP="002A5964">
      <w:pPr>
        <w:pStyle w:val="ListParagraph"/>
        <w:ind w:left="709" w:hanging="709"/>
        <w:rPr>
          <w:sz w:val="24"/>
          <w:szCs w:val="24"/>
        </w:rPr>
      </w:pPr>
      <w:r>
        <w:rPr>
          <w:sz w:val="24"/>
          <w:szCs w:val="24"/>
        </w:rPr>
        <w:t>7</w:t>
      </w:r>
      <w:r w:rsidR="00983B61" w:rsidRPr="0034166C">
        <w:rPr>
          <w:sz w:val="24"/>
          <w:szCs w:val="24"/>
        </w:rPr>
        <w:t>.</w:t>
      </w:r>
      <w:r w:rsidR="0034166C">
        <w:rPr>
          <w:sz w:val="24"/>
          <w:szCs w:val="24"/>
        </w:rPr>
        <w:t>6</w:t>
      </w:r>
      <w:r w:rsidR="00983B61" w:rsidRPr="0034166C">
        <w:rPr>
          <w:sz w:val="24"/>
          <w:szCs w:val="24"/>
        </w:rPr>
        <w:tab/>
      </w:r>
      <w:r w:rsidR="00983B61" w:rsidRPr="006F72EC">
        <w:rPr>
          <w:sz w:val="24"/>
          <w:szCs w:val="24"/>
        </w:rPr>
        <w:t xml:space="preserve">The Reserves Strategy sets out plans for </w:t>
      </w:r>
      <w:r w:rsidR="001674B9" w:rsidRPr="006F72EC">
        <w:rPr>
          <w:sz w:val="24"/>
          <w:szCs w:val="24"/>
        </w:rPr>
        <w:t xml:space="preserve">re-allocating </w:t>
      </w:r>
      <w:r w:rsidR="0034166C" w:rsidRPr="006F72EC">
        <w:rPr>
          <w:sz w:val="24"/>
          <w:szCs w:val="24"/>
        </w:rPr>
        <w:t>£</w:t>
      </w:r>
      <w:r w:rsidR="00B74DE8" w:rsidRPr="006F72EC">
        <w:rPr>
          <w:sz w:val="24"/>
          <w:szCs w:val="24"/>
        </w:rPr>
        <w:t>4</w:t>
      </w:r>
      <w:r w:rsidR="00C12FBE">
        <w:rPr>
          <w:sz w:val="24"/>
          <w:szCs w:val="24"/>
        </w:rPr>
        <w:t>85</w:t>
      </w:r>
      <w:r w:rsidR="0034166C" w:rsidRPr="006F72EC">
        <w:rPr>
          <w:sz w:val="24"/>
          <w:szCs w:val="24"/>
        </w:rPr>
        <w:t xml:space="preserve">k of Earmarked Reserves, some of which will be transferred into the </w:t>
      </w:r>
      <w:r w:rsidR="00261C52" w:rsidRPr="006F72EC">
        <w:rPr>
          <w:sz w:val="24"/>
          <w:szCs w:val="24"/>
        </w:rPr>
        <w:t xml:space="preserve">Replacement Mobilising  System and the Efficiency Programme </w:t>
      </w:r>
      <w:r w:rsidR="0034166C" w:rsidRPr="006F72EC">
        <w:rPr>
          <w:sz w:val="24"/>
          <w:szCs w:val="24"/>
        </w:rPr>
        <w:t xml:space="preserve">Earmarked Reserve. This will be used to help the </w:t>
      </w:r>
      <w:r w:rsidR="00943768">
        <w:rPr>
          <w:sz w:val="24"/>
          <w:szCs w:val="24"/>
        </w:rPr>
        <w:t>S</w:t>
      </w:r>
      <w:r w:rsidR="0034166C" w:rsidRPr="006F72EC">
        <w:rPr>
          <w:sz w:val="24"/>
          <w:szCs w:val="24"/>
        </w:rPr>
        <w:t xml:space="preserve">ervice transition into a balanced budget position by </w:t>
      </w:r>
      <w:r w:rsidR="004B6C98" w:rsidRPr="006F72EC">
        <w:rPr>
          <w:sz w:val="24"/>
          <w:szCs w:val="24"/>
        </w:rPr>
        <w:t>2025/26</w:t>
      </w:r>
      <w:r w:rsidR="00801C71" w:rsidRPr="006F72EC">
        <w:rPr>
          <w:sz w:val="24"/>
          <w:szCs w:val="24"/>
        </w:rPr>
        <w:t>.</w:t>
      </w:r>
    </w:p>
    <w:p w14:paraId="22742529" w14:textId="77777777" w:rsidR="00C442AB" w:rsidRPr="0034166C" w:rsidRDefault="00C442AB" w:rsidP="002A5964">
      <w:pPr>
        <w:pStyle w:val="ListParagraph"/>
        <w:ind w:left="709" w:hanging="709"/>
        <w:rPr>
          <w:sz w:val="24"/>
          <w:szCs w:val="24"/>
        </w:rPr>
      </w:pPr>
    </w:p>
    <w:p w14:paraId="5CC252F6" w14:textId="77777777" w:rsidR="00C442AB" w:rsidRPr="0034166C" w:rsidRDefault="00251DF2" w:rsidP="00C442AB">
      <w:pPr>
        <w:ind w:left="709" w:hanging="709"/>
        <w:rPr>
          <w:sz w:val="24"/>
          <w:szCs w:val="24"/>
        </w:rPr>
      </w:pPr>
      <w:r>
        <w:rPr>
          <w:sz w:val="24"/>
          <w:szCs w:val="24"/>
        </w:rPr>
        <w:t>7</w:t>
      </w:r>
      <w:r w:rsidR="00A2723C" w:rsidRPr="0034166C">
        <w:rPr>
          <w:sz w:val="24"/>
          <w:szCs w:val="24"/>
        </w:rPr>
        <w:t>.</w:t>
      </w:r>
      <w:r w:rsidR="0034166C">
        <w:rPr>
          <w:sz w:val="24"/>
          <w:szCs w:val="24"/>
        </w:rPr>
        <w:t>7</w:t>
      </w:r>
      <w:r w:rsidR="00C442AB" w:rsidRPr="0034166C">
        <w:rPr>
          <w:sz w:val="24"/>
          <w:szCs w:val="24"/>
        </w:rPr>
        <w:tab/>
      </w:r>
      <w:r w:rsidR="00A31A30" w:rsidRPr="006F72EC">
        <w:rPr>
          <w:sz w:val="24"/>
          <w:szCs w:val="24"/>
        </w:rPr>
        <w:t>Whilst there remain clear challenges ahead, the Authority starts this journey in a relatively positive position whereby it has sufficient reserves to underpin the changes required in the coming years</w:t>
      </w:r>
      <w:r w:rsidR="00AE21C4" w:rsidRPr="006F72EC">
        <w:rPr>
          <w:sz w:val="24"/>
          <w:szCs w:val="24"/>
        </w:rPr>
        <w:t xml:space="preserve">. </w:t>
      </w:r>
      <w:r w:rsidR="00A31A30" w:rsidRPr="006F72EC">
        <w:rPr>
          <w:sz w:val="24"/>
          <w:szCs w:val="24"/>
        </w:rPr>
        <w:t xml:space="preserve"> </w:t>
      </w:r>
      <w:r w:rsidR="00C442AB" w:rsidRPr="006F72EC">
        <w:rPr>
          <w:sz w:val="24"/>
          <w:szCs w:val="24"/>
        </w:rPr>
        <w:t>With careful budgetary planning and resource maximisation it is anticipated that the Authority will be able to forge a future path that will enable it to meet priorities and balance the budget.</w:t>
      </w:r>
    </w:p>
    <w:p w14:paraId="25F582A2" w14:textId="77777777" w:rsidR="00C442AB" w:rsidRPr="0034166C" w:rsidRDefault="00C442AB" w:rsidP="002A5964">
      <w:pPr>
        <w:pStyle w:val="ListParagraph"/>
        <w:ind w:left="709" w:hanging="709"/>
        <w:rPr>
          <w:sz w:val="24"/>
          <w:szCs w:val="24"/>
        </w:rPr>
      </w:pPr>
    </w:p>
    <w:p w14:paraId="56A13D78" w14:textId="77777777" w:rsidR="00285F1B" w:rsidRDefault="00251DF2" w:rsidP="00FB6797">
      <w:pPr>
        <w:tabs>
          <w:tab w:val="num" w:pos="709"/>
        </w:tabs>
        <w:ind w:left="709" w:hanging="709"/>
        <w:rPr>
          <w:sz w:val="24"/>
          <w:szCs w:val="24"/>
        </w:rPr>
      </w:pPr>
      <w:r w:rsidRPr="006F72EC">
        <w:rPr>
          <w:sz w:val="24"/>
          <w:szCs w:val="24"/>
        </w:rPr>
        <w:t>7</w:t>
      </w:r>
      <w:r w:rsidR="00A2723C" w:rsidRPr="006F72EC">
        <w:rPr>
          <w:sz w:val="24"/>
          <w:szCs w:val="24"/>
        </w:rPr>
        <w:t>.</w:t>
      </w:r>
      <w:r w:rsidR="0034166C" w:rsidRPr="006F72EC">
        <w:rPr>
          <w:sz w:val="24"/>
          <w:szCs w:val="24"/>
        </w:rPr>
        <w:t>8</w:t>
      </w:r>
      <w:r w:rsidR="00A25805" w:rsidRPr="006F72EC">
        <w:rPr>
          <w:sz w:val="24"/>
          <w:szCs w:val="24"/>
        </w:rPr>
        <w:tab/>
        <w:t>At its meeting on 2</w:t>
      </w:r>
      <w:r w:rsidR="00542D27" w:rsidRPr="006F72EC">
        <w:rPr>
          <w:sz w:val="24"/>
          <w:szCs w:val="24"/>
        </w:rPr>
        <w:t>3</w:t>
      </w:r>
      <w:r w:rsidR="00A25805" w:rsidRPr="006F72EC">
        <w:rPr>
          <w:sz w:val="24"/>
          <w:szCs w:val="24"/>
        </w:rPr>
        <w:t xml:space="preserve"> February 202</w:t>
      </w:r>
      <w:r w:rsidR="00542D27" w:rsidRPr="006F72EC">
        <w:rPr>
          <w:sz w:val="24"/>
          <w:szCs w:val="24"/>
        </w:rPr>
        <w:t>4</w:t>
      </w:r>
      <w:r w:rsidR="00A25805" w:rsidRPr="006F72EC">
        <w:rPr>
          <w:sz w:val="24"/>
          <w:szCs w:val="24"/>
        </w:rPr>
        <w:t xml:space="preserve"> the Fire Authority will consider the budget report with the objective of setting Council Tax levels for </w:t>
      </w:r>
      <w:r w:rsidR="004B6C98" w:rsidRPr="00C12FBE">
        <w:rPr>
          <w:sz w:val="24"/>
          <w:szCs w:val="24"/>
        </w:rPr>
        <w:t>2024/25</w:t>
      </w:r>
      <w:r w:rsidR="00A25805" w:rsidRPr="00C12FBE">
        <w:rPr>
          <w:sz w:val="24"/>
          <w:szCs w:val="24"/>
        </w:rPr>
        <w:t>.</w:t>
      </w:r>
      <w:r w:rsidR="00A25805">
        <w:rPr>
          <w:sz w:val="24"/>
          <w:szCs w:val="24"/>
        </w:rPr>
        <w:t xml:space="preserve">  </w:t>
      </w:r>
    </w:p>
    <w:p w14:paraId="02BFFC6A" w14:textId="77777777" w:rsidR="00285F1B" w:rsidRDefault="00285F1B" w:rsidP="00FB6797">
      <w:pPr>
        <w:tabs>
          <w:tab w:val="num" w:pos="709"/>
        </w:tabs>
        <w:ind w:left="709" w:hanging="709"/>
        <w:rPr>
          <w:sz w:val="24"/>
          <w:szCs w:val="24"/>
        </w:rPr>
      </w:pPr>
    </w:p>
    <w:p w14:paraId="1A431D7E" w14:textId="77777777" w:rsidR="00285F1B" w:rsidRPr="00E05E60" w:rsidRDefault="00285F1B" w:rsidP="00285F1B">
      <w:pPr>
        <w:ind w:left="709" w:hanging="709"/>
        <w:rPr>
          <w:sz w:val="24"/>
          <w:szCs w:val="24"/>
          <w:highlight w:val="yellow"/>
        </w:rPr>
      </w:pPr>
    </w:p>
    <w:p w14:paraId="1BCF19FC" w14:textId="77777777" w:rsidR="00285F1B" w:rsidRDefault="00285F1B" w:rsidP="00285F1B">
      <w:pPr>
        <w:tabs>
          <w:tab w:val="num" w:pos="709"/>
        </w:tabs>
        <w:ind w:left="709" w:hanging="709"/>
        <w:rPr>
          <w:b/>
          <w:sz w:val="24"/>
          <w:szCs w:val="24"/>
        </w:rPr>
      </w:pPr>
      <w:r w:rsidRPr="001674B9">
        <w:rPr>
          <w:b/>
          <w:sz w:val="24"/>
          <w:szCs w:val="24"/>
        </w:rPr>
        <w:t>SECTION</w:t>
      </w:r>
      <w:r>
        <w:rPr>
          <w:b/>
          <w:sz w:val="24"/>
          <w:szCs w:val="24"/>
        </w:rPr>
        <w:t xml:space="preserve"> 8</w:t>
      </w:r>
      <w:r w:rsidRPr="001674B9">
        <w:rPr>
          <w:b/>
          <w:sz w:val="24"/>
          <w:szCs w:val="24"/>
        </w:rPr>
        <w:t xml:space="preserve">: </w:t>
      </w:r>
      <w:r>
        <w:rPr>
          <w:b/>
          <w:sz w:val="24"/>
          <w:szCs w:val="24"/>
        </w:rPr>
        <w:t>CONCLUSION</w:t>
      </w:r>
    </w:p>
    <w:p w14:paraId="73248D4B" w14:textId="77777777" w:rsidR="00285F1B" w:rsidRDefault="00285F1B" w:rsidP="00285F1B">
      <w:pPr>
        <w:tabs>
          <w:tab w:val="num" w:pos="709"/>
        </w:tabs>
        <w:ind w:left="709" w:hanging="709"/>
        <w:rPr>
          <w:b/>
          <w:sz w:val="24"/>
          <w:szCs w:val="24"/>
        </w:rPr>
      </w:pPr>
    </w:p>
    <w:p w14:paraId="5C4D71A7" w14:textId="77777777" w:rsidR="00285F1B" w:rsidRPr="00285F1B" w:rsidRDefault="00285F1B" w:rsidP="00285F1B">
      <w:pPr>
        <w:tabs>
          <w:tab w:val="num" w:pos="709"/>
        </w:tabs>
        <w:ind w:left="709" w:hanging="709"/>
        <w:rPr>
          <w:bCs/>
          <w:sz w:val="24"/>
          <w:szCs w:val="24"/>
        </w:rPr>
      </w:pPr>
      <w:r w:rsidRPr="00285F1B">
        <w:rPr>
          <w:bCs/>
          <w:sz w:val="24"/>
          <w:szCs w:val="24"/>
        </w:rPr>
        <w:t>8.1</w:t>
      </w:r>
      <w:r>
        <w:rPr>
          <w:bCs/>
          <w:sz w:val="24"/>
          <w:szCs w:val="24"/>
        </w:rPr>
        <w:tab/>
      </w:r>
      <w:r>
        <w:rPr>
          <w:sz w:val="24"/>
          <w:szCs w:val="24"/>
        </w:rPr>
        <w:t>In</w:t>
      </w:r>
      <w:r w:rsidR="00324D44">
        <w:rPr>
          <w:sz w:val="24"/>
          <w:szCs w:val="24"/>
        </w:rPr>
        <w:t xml:space="preserve"> </w:t>
      </w:r>
      <w:r>
        <w:rPr>
          <w:sz w:val="24"/>
          <w:szCs w:val="24"/>
        </w:rPr>
        <w:t>conclusion</w:t>
      </w:r>
      <w:r w:rsidR="00324D44">
        <w:rPr>
          <w:sz w:val="24"/>
          <w:szCs w:val="24"/>
        </w:rPr>
        <w:t>,</w:t>
      </w:r>
      <w:r>
        <w:rPr>
          <w:sz w:val="24"/>
          <w:szCs w:val="24"/>
        </w:rPr>
        <w:t xml:space="preserve"> this MTFS financial plan based on the most likely</w:t>
      </w:r>
      <w:r w:rsidR="00C334D0">
        <w:rPr>
          <w:sz w:val="24"/>
          <w:szCs w:val="24"/>
        </w:rPr>
        <w:t xml:space="preserve"> option indicates</w:t>
      </w:r>
      <w:r>
        <w:rPr>
          <w:sz w:val="24"/>
          <w:szCs w:val="24"/>
        </w:rPr>
        <w:t xml:space="preserve"> that even counting for a council tax increase of £5.00 as well as continued budget challenges, which delivers £200k in savings, there remains a structural in balance within the financial forecast. In 2024/25 there is £601k deficit that can be balanced from reserves</w:t>
      </w:r>
      <w:r w:rsidRPr="002F3420">
        <w:rPr>
          <w:b/>
          <w:bCs/>
          <w:sz w:val="24"/>
          <w:szCs w:val="24"/>
        </w:rPr>
        <w:t>. However, as the deficit continues into the end of the medium term plan, it is imperative that members consider efficiency proposal in the next annual budget to address this deficit.</w:t>
      </w:r>
    </w:p>
    <w:p w14:paraId="220DF3CE" w14:textId="77777777" w:rsidR="00BC03CE" w:rsidRPr="00A96485" w:rsidRDefault="00BC03CE" w:rsidP="00FB6797">
      <w:pPr>
        <w:tabs>
          <w:tab w:val="num" w:pos="709"/>
        </w:tabs>
        <w:ind w:left="709" w:hanging="709"/>
        <w:rPr>
          <w:sz w:val="24"/>
          <w:szCs w:val="24"/>
        </w:rPr>
      </w:pPr>
      <w:r>
        <w:rPr>
          <w:sz w:val="24"/>
          <w:szCs w:val="24"/>
        </w:rPr>
        <w:br w:type="page"/>
      </w:r>
    </w:p>
    <w:bookmarkEnd w:id="25"/>
    <w:p w14:paraId="0C4EDB0A" w14:textId="77777777" w:rsidR="00A8179F" w:rsidRDefault="00A8179F" w:rsidP="00E43F68">
      <w:pPr>
        <w:rPr>
          <w:b/>
          <w:bCs/>
          <w:sz w:val="24"/>
          <w:szCs w:val="24"/>
        </w:rPr>
      </w:pPr>
    </w:p>
    <w:p w14:paraId="4835C0C2" w14:textId="77777777" w:rsidR="00A8179F" w:rsidRDefault="00A8179F" w:rsidP="00E43F68">
      <w:pPr>
        <w:rPr>
          <w:b/>
          <w:bCs/>
          <w:sz w:val="24"/>
          <w:szCs w:val="24"/>
        </w:rPr>
      </w:pPr>
    </w:p>
    <w:p w14:paraId="5130C02C" w14:textId="77777777" w:rsidR="00E43F68" w:rsidRPr="00E05E60" w:rsidRDefault="00E43F68" w:rsidP="00E43F68">
      <w:pPr>
        <w:jc w:val="right"/>
        <w:rPr>
          <w:b/>
          <w:sz w:val="24"/>
        </w:rPr>
      </w:pPr>
      <w:r w:rsidRPr="00E05E60">
        <w:rPr>
          <w:b/>
          <w:sz w:val="24"/>
        </w:rPr>
        <w:t xml:space="preserve">APPENDIX </w:t>
      </w:r>
      <w:r w:rsidR="003802A4" w:rsidRPr="00E05E60">
        <w:rPr>
          <w:b/>
          <w:sz w:val="24"/>
        </w:rPr>
        <w:t>1</w:t>
      </w:r>
    </w:p>
    <w:p w14:paraId="56492ED3" w14:textId="77777777" w:rsidR="00E43F68" w:rsidRPr="00E05E60" w:rsidRDefault="00E43F68" w:rsidP="00E43F68">
      <w:pPr>
        <w:jc w:val="both"/>
        <w:rPr>
          <w:b/>
          <w:sz w:val="24"/>
        </w:rPr>
      </w:pPr>
    </w:p>
    <w:p w14:paraId="5096427F" w14:textId="77777777" w:rsidR="00E43F68" w:rsidRPr="00E05E60" w:rsidRDefault="00E43F68" w:rsidP="00E43F68">
      <w:pPr>
        <w:jc w:val="both"/>
        <w:rPr>
          <w:b/>
          <w:sz w:val="24"/>
        </w:rPr>
      </w:pPr>
    </w:p>
    <w:p w14:paraId="2F81E6EB" w14:textId="77777777" w:rsidR="00E43F68" w:rsidRPr="00E05E60" w:rsidRDefault="00E43F68" w:rsidP="00E43F68">
      <w:pPr>
        <w:jc w:val="both"/>
        <w:rPr>
          <w:b/>
          <w:sz w:val="24"/>
        </w:rPr>
      </w:pPr>
    </w:p>
    <w:p w14:paraId="2584849D" w14:textId="77777777" w:rsidR="00E43F68" w:rsidRPr="00E05E60" w:rsidRDefault="00E43F68" w:rsidP="00E43F68">
      <w:pPr>
        <w:jc w:val="both"/>
        <w:rPr>
          <w:b/>
          <w:sz w:val="24"/>
        </w:rPr>
      </w:pPr>
    </w:p>
    <w:p w14:paraId="67E03A33" w14:textId="77777777" w:rsidR="00E43F68" w:rsidRPr="00E05E60" w:rsidRDefault="00E43F68" w:rsidP="00E43F68">
      <w:pPr>
        <w:jc w:val="both"/>
        <w:rPr>
          <w:b/>
          <w:sz w:val="24"/>
        </w:rPr>
      </w:pPr>
    </w:p>
    <w:p w14:paraId="20259517" w14:textId="77777777" w:rsidR="00E43F68" w:rsidRPr="00E05E60" w:rsidRDefault="00246C18" w:rsidP="00E43F68">
      <w:pPr>
        <w:jc w:val="both"/>
        <w:rPr>
          <w:b/>
          <w:sz w:val="24"/>
        </w:rPr>
      </w:pPr>
      <w:r w:rsidRPr="00E05E60">
        <w:rPr>
          <w:noProof/>
        </w:rPr>
        <mc:AlternateContent>
          <mc:Choice Requires="wps">
            <w:drawing>
              <wp:anchor distT="0" distB="0" distL="114300" distR="114300" simplePos="0" relativeHeight="251658240" behindDoc="0" locked="0" layoutInCell="1" allowOverlap="1" wp14:anchorId="1153CE59" wp14:editId="571FE307">
                <wp:simplePos x="0" y="0"/>
                <wp:positionH relativeFrom="column">
                  <wp:posOffset>318770</wp:posOffset>
                </wp:positionH>
                <wp:positionV relativeFrom="paragraph">
                  <wp:posOffset>125730</wp:posOffset>
                </wp:positionV>
                <wp:extent cx="5372100" cy="2859405"/>
                <wp:effectExtent l="0" t="0" r="0" b="0"/>
                <wp:wrapNone/>
                <wp:docPr id="4675932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2100" cy="285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0B1F8" w14:textId="77777777" w:rsidR="00780D79" w:rsidRDefault="00780D79" w:rsidP="00E43F68">
                            <w:pPr>
                              <w:rPr>
                                <w:b/>
                                <w:sz w:val="80"/>
                                <w:szCs w:val="80"/>
                              </w:rPr>
                            </w:pPr>
                            <w:r>
                              <w:rPr>
                                <w:b/>
                                <w:sz w:val="80"/>
                                <w:szCs w:val="80"/>
                              </w:rPr>
                              <w:t>CAPITAL</w:t>
                            </w:r>
                            <w:r w:rsidRPr="00EC3F89">
                              <w:rPr>
                                <w:b/>
                                <w:sz w:val="80"/>
                                <w:szCs w:val="80"/>
                              </w:rPr>
                              <w:t xml:space="preserve"> STRATEGY</w:t>
                            </w:r>
                          </w:p>
                          <w:p w14:paraId="6F085846" w14:textId="77777777" w:rsidR="00780D79" w:rsidRDefault="004B6C98" w:rsidP="00E43F68">
                            <w:pPr>
                              <w:jc w:val="center"/>
                              <w:rPr>
                                <w:b/>
                                <w:sz w:val="80"/>
                                <w:szCs w:val="80"/>
                              </w:rPr>
                            </w:pPr>
                            <w:r>
                              <w:rPr>
                                <w:b/>
                                <w:sz w:val="80"/>
                                <w:szCs w:val="80"/>
                              </w:rPr>
                              <w:t>2024/25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CE59" id="Text Box 1" o:spid="_x0000_s1028" type="#_x0000_t202" style="position:absolute;left:0;text-align:left;margin-left:25.1pt;margin-top:9.9pt;width:423pt;height:2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" filled="f" stroked="f">
                <v:path arrowok="t"/>
                <v:textbox>
                  <w:txbxContent>
                    <w:p w14:paraId="6990B1F8" w14:textId="77777777" w:rsidR="00780D79" w:rsidRDefault="00780D79" w:rsidP="00E43F68">
                      <w:pPr>
                        <w:rPr>
                          <w:b/>
                          <w:sz w:val="80"/>
                          <w:szCs w:val="80"/>
                        </w:rPr>
                      </w:pPr>
                      <w:r>
                        <w:rPr>
                          <w:b/>
                          <w:sz w:val="80"/>
                          <w:szCs w:val="80"/>
                        </w:rPr>
                        <w:t>CAPITAL</w:t>
                      </w:r>
                      <w:r w:rsidRPr="00EC3F89">
                        <w:rPr>
                          <w:b/>
                          <w:sz w:val="80"/>
                          <w:szCs w:val="80"/>
                        </w:rPr>
                        <w:t xml:space="preserve"> STRATEGY</w:t>
                      </w:r>
                    </w:p>
                    <w:p w14:paraId="6F085846" w14:textId="77777777" w:rsidR="00780D79" w:rsidRDefault="004B6C98" w:rsidP="00E43F68">
                      <w:pPr>
                        <w:jc w:val="center"/>
                        <w:rPr>
                          <w:b/>
                          <w:sz w:val="80"/>
                          <w:szCs w:val="80"/>
                        </w:rPr>
                      </w:pPr>
                      <w:r>
                        <w:rPr>
                          <w:b/>
                          <w:sz w:val="80"/>
                          <w:szCs w:val="80"/>
                        </w:rPr>
                        <w:t>2024/25</w:t>
                      </w:r>
                    </w:p>
                  </w:txbxContent>
                </v:textbox>
              </v:shape>
            </w:pict>
          </mc:Fallback>
        </mc:AlternateContent>
      </w:r>
    </w:p>
    <w:p w14:paraId="5CD54FAC" w14:textId="77777777" w:rsidR="00E43F68" w:rsidRPr="00E05E60" w:rsidRDefault="00E43F68" w:rsidP="00E43F68">
      <w:pPr>
        <w:jc w:val="both"/>
        <w:rPr>
          <w:b/>
          <w:sz w:val="24"/>
        </w:rPr>
      </w:pPr>
    </w:p>
    <w:p w14:paraId="7E5E5BC9" w14:textId="77777777" w:rsidR="00E43F68" w:rsidRPr="00E05E60" w:rsidRDefault="00E43F68" w:rsidP="00E43F68">
      <w:pPr>
        <w:jc w:val="both"/>
        <w:rPr>
          <w:b/>
          <w:sz w:val="24"/>
        </w:rPr>
      </w:pPr>
    </w:p>
    <w:p w14:paraId="04F43A37" w14:textId="77777777" w:rsidR="00E43F68" w:rsidRPr="00E05E60" w:rsidRDefault="00E43F68" w:rsidP="00E43F68">
      <w:pPr>
        <w:jc w:val="both"/>
        <w:rPr>
          <w:b/>
          <w:sz w:val="24"/>
        </w:rPr>
      </w:pPr>
    </w:p>
    <w:p w14:paraId="2869FDC3" w14:textId="77777777" w:rsidR="00E43F68" w:rsidRPr="00E05E60" w:rsidRDefault="00E43F68" w:rsidP="00E43F68">
      <w:pPr>
        <w:jc w:val="both"/>
        <w:rPr>
          <w:b/>
          <w:sz w:val="24"/>
        </w:rPr>
      </w:pPr>
    </w:p>
    <w:p w14:paraId="0538FB02" w14:textId="77777777" w:rsidR="00E43F68" w:rsidRPr="00E05E60" w:rsidRDefault="00E43F68" w:rsidP="00E43F68">
      <w:pPr>
        <w:jc w:val="both"/>
        <w:rPr>
          <w:b/>
          <w:sz w:val="24"/>
        </w:rPr>
      </w:pPr>
    </w:p>
    <w:p w14:paraId="7602350B" w14:textId="77777777" w:rsidR="00E43F68" w:rsidRPr="00E05E60" w:rsidRDefault="00E43F68" w:rsidP="00E43F68">
      <w:pPr>
        <w:jc w:val="both"/>
        <w:rPr>
          <w:b/>
          <w:sz w:val="24"/>
        </w:rPr>
      </w:pPr>
    </w:p>
    <w:p w14:paraId="4DB9E579" w14:textId="77777777" w:rsidR="00E43F68" w:rsidRPr="00E05E60" w:rsidRDefault="00E43F68" w:rsidP="00E43F68">
      <w:pPr>
        <w:jc w:val="both"/>
        <w:rPr>
          <w:b/>
          <w:sz w:val="24"/>
        </w:rPr>
      </w:pPr>
    </w:p>
    <w:p w14:paraId="6FA5442C" w14:textId="77777777" w:rsidR="00E43F68" w:rsidRPr="00E05E60" w:rsidRDefault="00E43F68" w:rsidP="00E43F68">
      <w:pPr>
        <w:jc w:val="both"/>
        <w:rPr>
          <w:b/>
          <w:sz w:val="24"/>
        </w:rPr>
      </w:pPr>
    </w:p>
    <w:p w14:paraId="3235376F" w14:textId="77777777" w:rsidR="00E43F68" w:rsidRPr="00E05E60" w:rsidRDefault="00E43F68" w:rsidP="00E43F68">
      <w:pPr>
        <w:jc w:val="both"/>
        <w:rPr>
          <w:b/>
          <w:sz w:val="24"/>
        </w:rPr>
      </w:pPr>
    </w:p>
    <w:p w14:paraId="3E9C6315" w14:textId="77777777" w:rsidR="00E43F68" w:rsidRPr="00E05E60" w:rsidRDefault="00E43F68" w:rsidP="00E43F68">
      <w:pPr>
        <w:jc w:val="both"/>
        <w:rPr>
          <w:b/>
          <w:sz w:val="24"/>
        </w:rPr>
      </w:pPr>
    </w:p>
    <w:p w14:paraId="1091FA98" w14:textId="77777777" w:rsidR="00E43F68" w:rsidRPr="00E05E60" w:rsidRDefault="00E43F68" w:rsidP="00E43F68">
      <w:pPr>
        <w:jc w:val="both"/>
        <w:rPr>
          <w:b/>
          <w:sz w:val="24"/>
        </w:rPr>
      </w:pPr>
    </w:p>
    <w:p w14:paraId="4B474427" w14:textId="77777777" w:rsidR="00E43F68" w:rsidRPr="00E05E60" w:rsidRDefault="00E43F68" w:rsidP="00E43F68">
      <w:pPr>
        <w:jc w:val="both"/>
        <w:rPr>
          <w:b/>
          <w:sz w:val="24"/>
        </w:rPr>
      </w:pPr>
    </w:p>
    <w:p w14:paraId="080E6915" w14:textId="77777777" w:rsidR="00E43F68" w:rsidRPr="00E05E60" w:rsidRDefault="00E43F68" w:rsidP="00E43F68">
      <w:pPr>
        <w:jc w:val="both"/>
        <w:rPr>
          <w:b/>
          <w:sz w:val="24"/>
        </w:rPr>
      </w:pPr>
    </w:p>
    <w:p w14:paraId="2BE20719" w14:textId="77777777" w:rsidR="00E43F68" w:rsidRPr="00E05E60" w:rsidRDefault="00E43F68" w:rsidP="00E43F68">
      <w:pPr>
        <w:jc w:val="both"/>
        <w:rPr>
          <w:b/>
          <w:sz w:val="24"/>
        </w:rPr>
      </w:pPr>
    </w:p>
    <w:p w14:paraId="193713F7" w14:textId="77777777" w:rsidR="00E43F68" w:rsidRPr="00E05E60" w:rsidRDefault="00E43F68" w:rsidP="00E43F68">
      <w:pPr>
        <w:rPr>
          <w:b/>
          <w:sz w:val="28"/>
        </w:rPr>
      </w:pPr>
    </w:p>
    <w:p w14:paraId="7105A1F3" w14:textId="77777777" w:rsidR="00E43F68" w:rsidRPr="00E05E60" w:rsidRDefault="00E43F68" w:rsidP="00E43F68">
      <w:pPr>
        <w:rPr>
          <w:b/>
          <w:sz w:val="28"/>
        </w:rPr>
      </w:pPr>
    </w:p>
    <w:p w14:paraId="0022E277" w14:textId="77777777" w:rsidR="00E43F68" w:rsidRPr="00E05E60" w:rsidRDefault="00E43F68" w:rsidP="00E43F68">
      <w:pPr>
        <w:rPr>
          <w:b/>
          <w:sz w:val="28"/>
        </w:rPr>
      </w:pPr>
    </w:p>
    <w:p w14:paraId="55569405" w14:textId="77777777" w:rsidR="00E43F68" w:rsidRPr="00A518C1" w:rsidRDefault="00E43F68" w:rsidP="00E43F68">
      <w:pPr>
        <w:jc w:val="center"/>
        <w:rPr>
          <w:b/>
          <w:sz w:val="28"/>
        </w:rPr>
      </w:pPr>
      <w:r w:rsidRPr="00A518C1">
        <w:rPr>
          <w:b/>
          <w:sz w:val="28"/>
        </w:rPr>
        <w:t xml:space="preserve">Date </w:t>
      </w:r>
      <w:r w:rsidR="00E05088" w:rsidRPr="00A518C1">
        <w:rPr>
          <w:b/>
          <w:sz w:val="28"/>
        </w:rPr>
        <w:t>Reviewed</w:t>
      </w:r>
      <w:r w:rsidRPr="00A518C1">
        <w:rPr>
          <w:b/>
          <w:sz w:val="28"/>
        </w:rPr>
        <w:t xml:space="preserve"> by Fire Authority:  </w:t>
      </w:r>
      <w:r w:rsidR="00233E4B" w:rsidRPr="00A518C1">
        <w:rPr>
          <w:b/>
          <w:sz w:val="28"/>
        </w:rPr>
        <w:t>Decemb</w:t>
      </w:r>
      <w:r w:rsidR="00CA4BCF" w:rsidRPr="00A518C1">
        <w:rPr>
          <w:b/>
          <w:sz w:val="28"/>
        </w:rPr>
        <w:t>er 202</w:t>
      </w:r>
      <w:r w:rsidR="00534B4A" w:rsidRPr="00A518C1">
        <w:rPr>
          <w:b/>
          <w:sz w:val="28"/>
        </w:rPr>
        <w:t>3</w:t>
      </w:r>
      <w:r w:rsidRPr="00A518C1">
        <w:rPr>
          <w:b/>
          <w:sz w:val="28"/>
        </w:rPr>
        <w:br w:type="page"/>
      </w:r>
    </w:p>
    <w:p w14:paraId="757964C6" w14:textId="77777777" w:rsidR="00E43F68" w:rsidRPr="00A518C1" w:rsidRDefault="00E43F68" w:rsidP="00E43F68">
      <w:pPr>
        <w:jc w:val="center"/>
        <w:rPr>
          <w:b/>
          <w:sz w:val="28"/>
        </w:rPr>
      </w:pPr>
      <w:r w:rsidRPr="00A518C1">
        <w:rPr>
          <w:b/>
          <w:sz w:val="28"/>
        </w:rPr>
        <w:lastRenderedPageBreak/>
        <w:t>TABLE OF CONTENTS</w:t>
      </w:r>
    </w:p>
    <w:p w14:paraId="4D1BE9CE" w14:textId="77777777" w:rsidR="00E43F68" w:rsidRPr="00A518C1" w:rsidRDefault="00E43F68" w:rsidP="00E43F68">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E43F68" w:rsidRPr="00A518C1" w14:paraId="034AD9BC" w14:textId="77777777" w:rsidTr="00373A8A">
        <w:tc>
          <w:tcPr>
            <w:tcW w:w="2830" w:type="dxa"/>
            <w:shd w:val="clear" w:color="auto" w:fill="auto"/>
          </w:tcPr>
          <w:p w14:paraId="42E550A3" w14:textId="77777777" w:rsidR="00E43F68" w:rsidRPr="00A518C1" w:rsidRDefault="00E43F68" w:rsidP="00373A8A">
            <w:pPr>
              <w:spacing w:before="360" w:after="360"/>
              <w:rPr>
                <w:b/>
                <w:sz w:val="24"/>
                <w:szCs w:val="24"/>
              </w:rPr>
            </w:pPr>
            <w:r w:rsidRPr="00A518C1">
              <w:rPr>
                <w:b/>
                <w:sz w:val="24"/>
                <w:szCs w:val="24"/>
              </w:rPr>
              <w:t>Section 1</w:t>
            </w:r>
          </w:p>
        </w:tc>
        <w:tc>
          <w:tcPr>
            <w:tcW w:w="6186" w:type="dxa"/>
            <w:shd w:val="clear" w:color="auto" w:fill="auto"/>
          </w:tcPr>
          <w:p w14:paraId="72535E05" w14:textId="77777777" w:rsidR="00E43F68" w:rsidRPr="00A518C1" w:rsidRDefault="00E43F68" w:rsidP="00373A8A">
            <w:pPr>
              <w:spacing w:before="360" w:after="360"/>
              <w:rPr>
                <w:sz w:val="24"/>
                <w:szCs w:val="24"/>
              </w:rPr>
            </w:pPr>
            <w:r w:rsidRPr="00A518C1">
              <w:rPr>
                <w:sz w:val="24"/>
                <w:szCs w:val="24"/>
              </w:rPr>
              <w:t>Introduction and Background</w:t>
            </w:r>
          </w:p>
        </w:tc>
      </w:tr>
      <w:tr w:rsidR="00E43F68" w:rsidRPr="00A518C1" w14:paraId="0DD9C157" w14:textId="77777777" w:rsidTr="00373A8A">
        <w:tc>
          <w:tcPr>
            <w:tcW w:w="2830" w:type="dxa"/>
            <w:shd w:val="clear" w:color="auto" w:fill="auto"/>
          </w:tcPr>
          <w:p w14:paraId="698FB4C5" w14:textId="77777777" w:rsidR="00E43F68" w:rsidRPr="00A518C1" w:rsidRDefault="00E43F68" w:rsidP="00373A8A">
            <w:pPr>
              <w:spacing w:before="360" w:after="360"/>
              <w:rPr>
                <w:b/>
                <w:sz w:val="24"/>
                <w:szCs w:val="24"/>
              </w:rPr>
            </w:pPr>
            <w:r w:rsidRPr="00A518C1">
              <w:rPr>
                <w:b/>
                <w:sz w:val="24"/>
                <w:szCs w:val="24"/>
              </w:rPr>
              <w:t>Section 2</w:t>
            </w:r>
          </w:p>
        </w:tc>
        <w:tc>
          <w:tcPr>
            <w:tcW w:w="6186" w:type="dxa"/>
            <w:shd w:val="clear" w:color="auto" w:fill="auto"/>
          </w:tcPr>
          <w:p w14:paraId="4916E19B" w14:textId="77777777" w:rsidR="00E43F68" w:rsidRPr="00A518C1" w:rsidRDefault="00E43F68" w:rsidP="00373A8A">
            <w:pPr>
              <w:autoSpaceDE w:val="0"/>
              <w:autoSpaceDN w:val="0"/>
              <w:adjustRightInd w:val="0"/>
              <w:spacing w:before="360" w:after="360"/>
              <w:rPr>
                <w:sz w:val="24"/>
                <w:szCs w:val="24"/>
              </w:rPr>
            </w:pPr>
            <w:r w:rsidRPr="00A518C1">
              <w:rPr>
                <w:bCs/>
                <w:sz w:val="24"/>
                <w:szCs w:val="24"/>
              </w:rPr>
              <w:t>Governance</w:t>
            </w:r>
          </w:p>
        </w:tc>
      </w:tr>
      <w:tr w:rsidR="00E43F68" w:rsidRPr="00A518C1" w14:paraId="393FE6B6" w14:textId="77777777" w:rsidTr="00373A8A">
        <w:tc>
          <w:tcPr>
            <w:tcW w:w="2830" w:type="dxa"/>
            <w:shd w:val="clear" w:color="auto" w:fill="auto"/>
          </w:tcPr>
          <w:p w14:paraId="75DAEBC3" w14:textId="77777777" w:rsidR="00E43F68" w:rsidRPr="00A518C1" w:rsidRDefault="00E43F68" w:rsidP="00373A8A">
            <w:pPr>
              <w:spacing w:before="360" w:after="360"/>
              <w:rPr>
                <w:b/>
                <w:sz w:val="24"/>
                <w:szCs w:val="24"/>
              </w:rPr>
            </w:pPr>
            <w:r w:rsidRPr="00A518C1">
              <w:rPr>
                <w:b/>
                <w:sz w:val="24"/>
                <w:szCs w:val="24"/>
              </w:rPr>
              <w:t>Section 3</w:t>
            </w:r>
          </w:p>
        </w:tc>
        <w:tc>
          <w:tcPr>
            <w:tcW w:w="6186" w:type="dxa"/>
            <w:shd w:val="clear" w:color="auto" w:fill="auto"/>
          </w:tcPr>
          <w:p w14:paraId="6A938AC7" w14:textId="77777777" w:rsidR="00E43F68" w:rsidRPr="00A518C1" w:rsidRDefault="00E43F68" w:rsidP="00373A8A">
            <w:pPr>
              <w:spacing w:before="360" w:after="360"/>
              <w:rPr>
                <w:sz w:val="24"/>
                <w:szCs w:val="24"/>
              </w:rPr>
            </w:pPr>
            <w:r w:rsidRPr="00A518C1">
              <w:rPr>
                <w:sz w:val="24"/>
                <w:szCs w:val="24"/>
              </w:rPr>
              <w:t>The Capital Programme</w:t>
            </w:r>
          </w:p>
        </w:tc>
      </w:tr>
      <w:tr w:rsidR="00E43F68" w:rsidRPr="00A518C1" w14:paraId="054394C7" w14:textId="77777777" w:rsidTr="00373A8A">
        <w:tc>
          <w:tcPr>
            <w:tcW w:w="2830" w:type="dxa"/>
            <w:shd w:val="clear" w:color="auto" w:fill="auto"/>
          </w:tcPr>
          <w:p w14:paraId="6382959A" w14:textId="77777777" w:rsidR="00E43F68" w:rsidRPr="00A518C1" w:rsidRDefault="00E43F68" w:rsidP="00373A8A">
            <w:pPr>
              <w:spacing w:before="360" w:after="360"/>
              <w:rPr>
                <w:b/>
                <w:sz w:val="24"/>
                <w:szCs w:val="24"/>
              </w:rPr>
            </w:pPr>
            <w:r w:rsidRPr="00A518C1">
              <w:rPr>
                <w:b/>
                <w:sz w:val="24"/>
                <w:szCs w:val="24"/>
              </w:rPr>
              <w:t>Section 4</w:t>
            </w:r>
          </w:p>
        </w:tc>
        <w:tc>
          <w:tcPr>
            <w:tcW w:w="6186" w:type="dxa"/>
            <w:shd w:val="clear" w:color="auto" w:fill="auto"/>
          </w:tcPr>
          <w:p w14:paraId="23B22BB5" w14:textId="77777777" w:rsidR="00E43F68" w:rsidRPr="00A518C1" w:rsidRDefault="00E43F68" w:rsidP="00373A8A">
            <w:pPr>
              <w:spacing w:before="360" w:after="360"/>
              <w:rPr>
                <w:sz w:val="24"/>
                <w:szCs w:val="24"/>
              </w:rPr>
            </w:pPr>
            <w:r w:rsidRPr="00A518C1">
              <w:rPr>
                <w:sz w:val="24"/>
                <w:szCs w:val="24"/>
              </w:rPr>
              <w:t>Capital Financing</w:t>
            </w:r>
          </w:p>
        </w:tc>
      </w:tr>
      <w:tr w:rsidR="00E43F68" w:rsidRPr="00A518C1" w14:paraId="7CC9FC39" w14:textId="77777777" w:rsidTr="00373A8A">
        <w:tc>
          <w:tcPr>
            <w:tcW w:w="2830" w:type="dxa"/>
            <w:shd w:val="clear" w:color="auto" w:fill="auto"/>
          </w:tcPr>
          <w:p w14:paraId="0CAF377D" w14:textId="77777777" w:rsidR="00E43F68" w:rsidRPr="00A518C1" w:rsidRDefault="00E43F68" w:rsidP="00373A8A">
            <w:pPr>
              <w:spacing w:before="360" w:after="360"/>
              <w:rPr>
                <w:b/>
                <w:sz w:val="24"/>
                <w:szCs w:val="24"/>
              </w:rPr>
            </w:pPr>
            <w:r w:rsidRPr="00A518C1">
              <w:rPr>
                <w:b/>
                <w:sz w:val="24"/>
                <w:szCs w:val="24"/>
              </w:rPr>
              <w:t>Section 4</w:t>
            </w:r>
          </w:p>
        </w:tc>
        <w:tc>
          <w:tcPr>
            <w:tcW w:w="6186" w:type="dxa"/>
            <w:shd w:val="clear" w:color="auto" w:fill="auto"/>
          </w:tcPr>
          <w:p w14:paraId="38F07BCB" w14:textId="77777777" w:rsidR="00E43F68" w:rsidRPr="00A518C1" w:rsidRDefault="00E43F68" w:rsidP="00373A8A">
            <w:pPr>
              <w:spacing w:before="360" w:after="360"/>
              <w:rPr>
                <w:sz w:val="24"/>
                <w:szCs w:val="24"/>
              </w:rPr>
            </w:pPr>
            <w:r w:rsidRPr="00A518C1">
              <w:rPr>
                <w:sz w:val="24"/>
                <w:szCs w:val="24"/>
              </w:rPr>
              <w:t>Summary</w:t>
            </w:r>
          </w:p>
        </w:tc>
      </w:tr>
      <w:tr w:rsidR="00E43F68" w:rsidRPr="00A518C1" w14:paraId="547606AB" w14:textId="77777777" w:rsidTr="00373A8A">
        <w:tc>
          <w:tcPr>
            <w:tcW w:w="2830" w:type="dxa"/>
            <w:shd w:val="clear" w:color="auto" w:fill="auto"/>
          </w:tcPr>
          <w:p w14:paraId="6BDE22F8" w14:textId="77777777" w:rsidR="00E43F68" w:rsidRPr="00A518C1" w:rsidRDefault="00E43F68" w:rsidP="00373A8A">
            <w:pPr>
              <w:spacing w:before="360" w:after="360"/>
              <w:rPr>
                <w:b/>
                <w:sz w:val="24"/>
                <w:szCs w:val="24"/>
              </w:rPr>
            </w:pPr>
            <w:r w:rsidRPr="00A518C1">
              <w:rPr>
                <w:b/>
                <w:sz w:val="24"/>
                <w:szCs w:val="24"/>
              </w:rPr>
              <w:t>Appendix A</w:t>
            </w:r>
          </w:p>
        </w:tc>
        <w:tc>
          <w:tcPr>
            <w:tcW w:w="6186" w:type="dxa"/>
            <w:shd w:val="clear" w:color="auto" w:fill="auto"/>
          </w:tcPr>
          <w:p w14:paraId="43F0857F" w14:textId="77777777" w:rsidR="00E43F68" w:rsidRPr="00A518C1" w:rsidRDefault="00E43F68" w:rsidP="00373A8A">
            <w:pPr>
              <w:rPr>
                <w:sz w:val="32"/>
                <w:szCs w:val="24"/>
              </w:rPr>
            </w:pPr>
          </w:p>
          <w:p w14:paraId="7D3E2749" w14:textId="77777777" w:rsidR="00E43F68" w:rsidRPr="00A518C1" w:rsidRDefault="00E43F68" w:rsidP="00373A8A">
            <w:pPr>
              <w:rPr>
                <w:sz w:val="24"/>
                <w:szCs w:val="24"/>
              </w:rPr>
            </w:pPr>
            <w:r w:rsidRPr="00A518C1">
              <w:rPr>
                <w:sz w:val="24"/>
                <w:szCs w:val="24"/>
              </w:rPr>
              <w:t>Flexible Use of Capital Receipts Strategy</w:t>
            </w:r>
          </w:p>
        </w:tc>
      </w:tr>
    </w:tbl>
    <w:p w14:paraId="4EEA9E5E" w14:textId="77777777" w:rsidR="00E43F68" w:rsidRPr="003546DD" w:rsidRDefault="00E43F68" w:rsidP="00E43F68">
      <w:pPr>
        <w:rPr>
          <w:highlight w:val="green"/>
        </w:rPr>
      </w:pPr>
    </w:p>
    <w:p w14:paraId="19CA6A98" w14:textId="77777777" w:rsidR="00E43F68" w:rsidRPr="003546DD" w:rsidRDefault="00E43F68" w:rsidP="00E43F68">
      <w:pPr>
        <w:rPr>
          <w:highlight w:val="green"/>
        </w:rPr>
      </w:pPr>
    </w:p>
    <w:p w14:paraId="05681905" w14:textId="77777777" w:rsidR="00E43F68" w:rsidRPr="003546DD" w:rsidRDefault="00E43F68" w:rsidP="00E43F68">
      <w:pPr>
        <w:spacing w:after="160" w:line="259" w:lineRule="auto"/>
        <w:rPr>
          <w:highlight w:val="green"/>
        </w:rPr>
      </w:pPr>
      <w:r w:rsidRPr="003546DD">
        <w:rPr>
          <w:highlight w:val="green"/>
        </w:rPr>
        <w:br w:type="page"/>
      </w:r>
    </w:p>
    <w:p w14:paraId="05949974" w14:textId="77777777" w:rsidR="00E43F68" w:rsidRPr="00A518C1" w:rsidRDefault="00E43F68" w:rsidP="00E43F68">
      <w:pPr>
        <w:autoSpaceDE w:val="0"/>
        <w:autoSpaceDN w:val="0"/>
        <w:adjustRightInd w:val="0"/>
        <w:ind w:left="709" w:hanging="709"/>
        <w:rPr>
          <w:sz w:val="24"/>
          <w:szCs w:val="24"/>
        </w:rPr>
      </w:pPr>
      <w:r w:rsidRPr="00A518C1">
        <w:rPr>
          <w:b/>
          <w:bCs/>
          <w:sz w:val="24"/>
          <w:szCs w:val="24"/>
        </w:rPr>
        <w:lastRenderedPageBreak/>
        <w:t>1</w:t>
      </w:r>
      <w:r w:rsidRPr="00A518C1">
        <w:rPr>
          <w:b/>
          <w:bCs/>
          <w:sz w:val="24"/>
          <w:szCs w:val="24"/>
        </w:rPr>
        <w:tab/>
        <w:t>INTRODUCTION AND BACKGROUND</w:t>
      </w:r>
    </w:p>
    <w:p w14:paraId="30CFB94E" w14:textId="77777777" w:rsidR="00E43F68" w:rsidRPr="00A518C1" w:rsidRDefault="00E43F68" w:rsidP="00E43F68">
      <w:pPr>
        <w:rPr>
          <w:sz w:val="24"/>
          <w:szCs w:val="24"/>
        </w:rPr>
      </w:pPr>
    </w:p>
    <w:p w14:paraId="2C04A7B9" w14:textId="77777777" w:rsidR="00E43F68" w:rsidRPr="00A518C1" w:rsidRDefault="00E43F68" w:rsidP="00E43F68">
      <w:pPr>
        <w:pStyle w:val="Default"/>
        <w:ind w:left="720" w:hanging="720"/>
      </w:pPr>
      <w:r w:rsidRPr="00A518C1">
        <w:t xml:space="preserve">1.1 </w:t>
      </w:r>
      <w:r w:rsidRPr="00A518C1">
        <w:tab/>
        <w:t xml:space="preserve">This Capital Strategy is a key corporate document that outlines how the Authority intends to optimise the use of available capital resources to help achieve its objectives. Capital expenditure is a major cost to the Authority and as a result it is necessary to ensure that key programmes of work requiring capital expenditure have been properly identified, evaluated and prioritised. </w:t>
      </w:r>
    </w:p>
    <w:p w14:paraId="49A33B80" w14:textId="77777777" w:rsidR="00E43F68" w:rsidRPr="00A518C1" w:rsidRDefault="00E43F68" w:rsidP="00E43F68">
      <w:pPr>
        <w:pStyle w:val="Default"/>
        <w:ind w:left="720" w:hanging="720"/>
      </w:pPr>
    </w:p>
    <w:p w14:paraId="162E686E" w14:textId="77777777" w:rsidR="00E43F68" w:rsidRPr="00A518C1" w:rsidRDefault="00E43F68" w:rsidP="00E43F68">
      <w:pPr>
        <w:pStyle w:val="Default"/>
        <w:ind w:left="720" w:hanging="720"/>
      </w:pPr>
      <w:r w:rsidRPr="00A518C1">
        <w:t xml:space="preserve">1.2 </w:t>
      </w:r>
      <w:r w:rsidRPr="00A518C1">
        <w:tab/>
        <w:t xml:space="preserve">This document sets out the framework for planning and financing capital in order to ensure the broad requirements set out above can be consistently met by the Authority. The Strategy sits alongside the Medium Term Financial Strategy (MTFS) and the proposed 10-year capital programme is included in the MTFS. The </w:t>
      </w:r>
      <w:r w:rsidR="008640C5">
        <w:t>S</w:t>
      </w:r>
      <w:r w:rsidRPr="00A518C1">
        <w:t xml:space="preserve">trategy is supported by the Authority’s </w:t>
      </w:r>
      <w:r w:rsidR="008640C5">
        <w:t>E</w:t>
      </w:r>
      <w:r w:rsidR="00CA4BCF" w:rsidRPr="00A518C1">
        <w:t>states</w:t>
      </w:r>
      <w:r w:rsidRPr="00A518C1">
        <w:t xml:space="preserve"> </w:t>
      </w:r>
      <w:r w:rsidR="008640C5">
        <w:t>S</w:t>
      </w:r>
      <w:r w:rsidRPr="00A518C1">
        <w:t xml:space="preserve">trategy, asset management plans and the </w:t>
      </w:r>
      <w:r w:rsidR="008640C5">
        <w:t>c</w:t>
      </w:r>
      <w:r w:rsidRPr="00A518C1">
        <w:t xml:space="preserve">apital </w:t>
      </w:r>
      <w:r w:rsidR="008640C5">
        <w:t>p</w:t>
      </w:r>
      <w:r w:rsidRPr="00A518C1">
        <w:t xml:space="preserve">rogramme which, in combination, lay out how the Authority will use its assets and its capital investments in pursuit of the key goals set out in the </w:t>
      </w:r>
      <w:r w:rsidR="007A0FF5" w:rsidRPr="00A518C1">
        <w:t>CRMP</w:t>
      </w:r>
      <w:r w:rsidRPr="00A518C1">
        <w:t xml:space="preserve">. </w:t>
      </w:r>
    </w:p>
    <w:p w14:paraId="0D691004" w14:textId="77777777" w:rsidR="00E43F68" w:rsidRPr="00A518C1" w:rsidRDefault="00E43F68" w:rsidP="00E43F68">
      <w:pPr>
        <w:pStyle w:val="Default"/>
        <w:ind w:left="720" w:hanging="720"/>
      </w:pPr>
    </w:p>
    <w:p w14:paraId="12982AF2" w14:textId="77777777" w:rsidR="00E43F68" w:rsidRPr="00A518C1" w:rsidRDefault="00E43F68" w:rsidP="00E43F68">
      <w:pPr>
        <w:pStyle w:val="Default"/>
        <w:ind w:left="720" w:hanging="720"/>
      </w:pPr>
      <w:r w:rsidRPr="00A518C1">
        <w:t>1.3</w:t>
      </w:r>
      <w:r w:rsidRPr="00A518C1">
        <w:tab/>
        <w:t xml:space="preserve">There are several influences which feed into the capital investment process, the main ones being: </w:t>
      </w:r>
    </w:p>
    <w:p w14:paraId="72B42FF2" w14:textId="77777777" w:rsidR="00E43F68" w:rsidRPr="00A518C1" w:rsidRDefault="00E43F68" w:rsidP="00E43F68">
      <w:pPr>
        <w:pStyle w:val="Default"/>
      </w:pPr>
    </w:p>
    <w:p w14:paraId="05A0534D" w14:textId="77777777" w:rsidR="00E43F68" w:rsidRPr="00A518C1" w:rsidRDefault="007A0FF5" w:rsidP="00332C87">
      <w:pPr>
        <w:pStyle w:val="Default"/>
        <w:numPr>
          <w:ilvl w:val="0"/>
          <w:numId w:val="12"/>
        </w:numPr>
        <w:ind w:hanging="11"/>
      </w:pPr>
      <w:r w:rsidRPr="00A518C1">
        <w:t>CRMP</w:t>
      </w:r>
    </w:p>
    <w:p w14:paraId="72A8522A" w14:textId="77777777" w:rsidR="00E43F68" w:rsidRPr="00A518C1" w:rsidRDefault="00E43F68" w:rsidP="00332C87">
      <w:pPr>
        <w:pStyle w:val="Default"/>
        <w:numPr>
          <w:ilvl w:val="0"/>
          <w:numId w:val="12"/>
        </w:numPr>
        <w:ind w:hanging="11"/>
      </w:pPr>
      <w:r w:rsidRPr="00A518C1">
        <w:t xml:space="preserve">Treasury Management Strategy </w:t>
      </w:r>
    </w:p>
    <w:p w14:paraId="3E650101" w14:textId="77777777" w:rsidR="00E43F68" w:rsidRPr="00A518C1" w:rsidRDefault="00E43F68" w:rsidP="00332C87">
      <w:pPr>
        <w:pStyle w:val="Default"/>
        <w:numPr>
          <w:ilvl w:val="0"/>
          <w:numId w:val="12"/>
        </w:numPr>
        <w:ind w:hanging="11"/>
      </w:pPr>
      <w:r w:rsidRPr="00A518C1">
        <w:t xml:space="preserve">Medium Term Financial Strategy </w:t>
      </w:r>
    </w:p>
    <w:p w14:paraId="43E464FF" w14:textId="77777777" w:rsidR="00E43F68" w:rsidRPr="00A518C1" w:rsidRDefault="00E43F68" w:rsidP="00332C87">
      <w:pPr>
        <w:pStyle w:val="Default"/>
        <w:numPr>
          <w:ilvl w:val="0"/>
          <w:numId w:val="12"/>
        </w:numPr>
        <w:ind w:hanging="11"/>
      </w:pPr>
      <w:r w:rsidRPr="00A518C1">
        <w:t xml:space="preserve">Property Strategy </w:t>
      </w:r>
    </w:p>
    <w:p w14:paraId="2C03581D" w14:textId="77777777" w:rsidR="00E43F68" w:rsidRPr="00A518C1" w:rsidRDefault="00E43F68" w:rsidP="00332C87">
      <w:pPr>
        <w:pStyle w:val="Default"/>
        <w:numPr>
          <w:ilvl w:val="0"/>
          <w:numId w:val="12"/>
        </w:numPr>
        <w:ind w:left="1418" w:hanging="709"/>
      </w:pPr>
      <w:r w:rsidRPr="00A518C1">
        <w:t xml:space="preserve">Corporate Asset Management Plans (buildings, vehicles and equipment) </w:t>
      </w:r>
    </w:p>
    <w:p w14:paraId="17582355" w14:textId="77777777" w:rsidR="00E43F68" w:rsidRPr="00A518C1" w:rsidRDefault="00E43F68" w:rsidP="00332C87">
      <w:pPr>
        <w:pStyle w:val="Default"/>
        <w:numPr>
          <w:ilvl w:val="0"/>
          <w:numId w:val="12"/>
        </w:numPr>
        <w:ind w:hanging="11"/>
      </w:pPr>
      <w:r w:rsidRPr="00A518C1">
        <w:t xml:space="preserve">Procurement Strategy </w:t>
      </w:r>
    </w:p>
    <w:p w14:paraId="2B5042B4" w14:textId="77777777" w:rsidR="00E43F68" w:rsidRPr="00A518C1" w:rsidRDefault="00E43F68" w:rsidP="00332C87">
      <w:pPr>
        <w:pStyle w:val="Default"/>
        <w:numPr>
          <w:ilvl w:val="0"/>
          <w:numId w:val="12"/>
        </w:numPr>
        <w:ind w:hanging="11"/>
      </w:pPr>
      <w:r w:rsidRPr="00A518C1">
        <w:t xml:space="preserve">ICT Strategy </w:t>
      </w:r>
    </w:p>
    <w:p w14:paraId="411BD087" w14:textId="77777777" w:rsidR="00E43F68" w:rsidRPr="00A518C1" w:rsidRDefault="00E43F68" w:rsidP="00332C87">
      <w:pPr>
        <w:pStyle w:val="Default"/>
        <w:numPr>
          <w:ilvl w:val="0"/>
          <w:numId w:val="12"/>
        </w:numPr>
        <w:ind w:hanging="11"/>
      </w:pPr>
      <w:r w:rsidRPr="00A518C1">
        <w:t xml:space="preserve">Transport Strategy </w:t>
      </w:r>
    </w:p>
    <w:p w14:paraId="631B9C6A" w14:textId="77777777" w:rsidR="00E43F68" w:rsidRPr="00A518C1" w:rsidRDefault="00E43F68" w:rsidP="00332C87">
      <w:pPr>
        <w:pStyle w:val="Default"/>
        <w:numPr>
          <w:ilvl w:val="0"/>
          <w:numId w:val="12"/>
        </w:numPr>
        <w:ind w:hanging="11"/>
      </w:pPr>
      <w:r w:rsidRPr="00A518C1">
        <w:t xml:space="preserve">Community Safety Strategy </w:t>
      </w:r>
    </w:p>
    <w:p w14:paraId="354C7263" w14:textId="77777777" w:rsidR="00E43F68" w:rsidRPr="00A518C1" w:rsidRDefault="00661D0A" w:rsidP="00332C87">
      <w:pPr>
        <w:pStyle w:val="Default"/>
        <w:numPr>
          <w:ilvl w:val="0"/>
          <w:numId w:val="12"/>
        </w:numPr>
        <w:ind w:hanging="11"/>
      </w:pPr>
      <w:r w:rsidRPr="00A518C1">
        <w:t>Work Force Plan</w:t>
      </w:r>
    </w:p>
    <w:p w14:paraId="50CD1EAC" w14:textId="77777777" w:rsidR="00E43F68" w:rsidRPr="00A518C1" w:rsidRDefault="00E43F68" w:rsidP="00332C87">
      <w:pPr>
        <w:pStyle w:val="Default"/>
        <w:numPr>
          <w:ilvl w:val="0"/>
          <w:numId w:val="12"/>
        </w:numPr>
        <w:ind w:hanging="11"/>
      </w:pPr>
      <w:r w:rsidRPr="00A518C1">
        <w:t xml:space="preserve">Learning &amp; Development Strategy </w:t>
      </w:r>
    </w:p>
    <w:p w14:paraId="681E9D19" w14:textId="77777777" w:rsidR="00E43F68" w:rsidRPr="00A518C1" w:rsidRDefault="00E43F68" w:rsidP="00332C87">
      <w:pPr>
        <w:pStyle w:val="Default"/>
        <w:numPr>
          <w:ilvl w:val="0"/>
          <w:numId w:val="12"/>
        </w:numPr>
        <w:ind w:hanging="11"/>
      </w:pPr>
      <w:r w:rsidRPr="00A518C1">
        <w:t xml:space="preserve">Risk Register </w:t>
      </w:r>
    </w:p>
    <w:p w14:paraId="797DC882" w14:textId="77777777" w:rsidR="00E43F68" w:rsidRPr="00A518C1" w:rsidRDefault="00E43F68" w:rsidP="00E43F68">
      <w:pPr>
        <w:pStyle w:val="Default"/>
      </w:pPr>
    </w:p>
    <w:p w14:paraId="698209CD" w14:textId="77777777" w:rsidR="00E43F68" w:rsidRPr="00A518C1" w:rsidRDefault="00E43F68" w:rsidP="00E43F68">
      <w:pPr>
        <w:tabs>
          <w:tab w:val="left" w:pos="567"/>
        </w:tabs>
        <w:rPr>
          <w:b/>
          <w:sz w:val="24"/>
          <w:szCs w:val="24"/>
        </w:rPr>
      </w:pPr>
      <w:r w:rsidRPr="00A518C1">
        <w:rPr>
          <w:b/>
          <w:sz w:val="24"/>
          <w:szCs w:val="24"/>
        </w:rPr>
        <w:t>2</w:t>
      </w:r>
      <w:r w:rsidRPr="00A518C1">
        <w:rPr>
          <w:b/>
          <w:sz w:val="24"/>
          <w:szCs w:val="24"/>
        </w:rPr>
        <w:tab/>
        <w:t>GOVERNANCE</w:t>
      </w:r>
    </w:p>
    <w:p w14:paraId="3CBEF0F0" w14:textId="77777777" w:rsidR="00E43F68" w:rsidRPr="00A518C1" w:rsidRDefault="00E43F68" w:rsidP="00E43F68">
      <w:pPr>
        <w:rPr>
          <w:sz w:val="24"/>
          <w:szCs w:val="24"/>
        </w:rPr>
      </w:pPr>
    </w:p>
    <w:p w14:paraId="042DFD82" w14:textId="77777777" w:rsidR="00E43F68" w:rsidRPr="00A518C1" w:rsidRDefault="00E43F68" w:rsidP="00E43F68">
      <w:pPr>
        <w:tabs>
          <w:tab w:val="left" w:pos="-720"/>
        </w:tabs>
        <w:suppressAutoHyphens/>
        <w:ind w:left="567" w:hanging="567"/>
        <w:rPr>
          <w:sz w:val="24"/>
          <w:szCs w:val="24"/>
        </w:rPr>
      </w:pPr>
      <w:r w:rsidRPr="00A518C1">
        <w:rPr>
          <w:sz w:val="24"/>
          <w:szCs w:val="24"/>
        </w:rPr>
        <w:t>2.1</w:t>
      </w:r>
      <w:r w:rsidRPr="00A518C1">
        <w:rPr>
          <w:sz w:val="24"/>
          <w:szCs w:val="24"/>
        </w:rPr>
        <w:tab/>
        <w:t xml:space="preserve">The Local Government Act 2003 sets out a framework for the financing of capital investments in local authorities which came into operation from April 2004. Alongside this, the Prudential Code was developed by the Chartered Institute of Public Finance and Accountancy (CIPFA) as a professional code of practice to support local authorities’ decision making in the areas of capital investment and financing. Authorities are required by regulation to have regard to the Prudential Code. </w:t>
      </w:r>
    </w:p>
    <w:p w14:paraId="7363214A" w14:textId="77777777" w:rsidR="00E43F68" w:rsidRPr="00A518C1" w:rsidRDefault="00E43F68" w:rsidP="00E43F68">
      <w:pPr>
        <w:tabs>
          <w:tab w:val="left" w:pos="-720"/>
        </w:tabs>
        <w:suppressAutoHyphens/>
        <w:ind w:left="567" w:hanging="567"/>
        <w:rPr>
          <w:sz w:val="24"/>
          <w:szCs w:val="24"/>
        </w:rPr>
      </w:pPr>
    </w:p>
    <w:p w14:paraId="3D011582" w14:textId="77777777" w:rsidR="00E43F68" w:rsidRPr="00A518C1" w:rsidRDefault="00E43F68" w:rsidP="00E43F68">
      <w:pPr>
        <w:tabs>
          <w:tab w:val="left" w:pos="-720"/>
        </w:tabs>
        <w:suppressAutoHyphens/>
        <w:ind w:left="567" w:hanging="567"/>
        <w:rPr>
          <w:sz w:val="24"/>
          <w:szCs w:val="24"/>
        </w:rPr>
      </w:pPr>
      <w:r w:rsidRPr="00A518C1">
        <w:rPr>
          <w:sz w:val="24"/>
          <w:szCs w:val="24"/>
        </w:rPr>
        <w:t>2.</w:t>
      </w:r>
      <w:r w:rsidR="00C44B8A" w:rsidRPr="00A518C1">
        <w:rPr>
          <w:sz w:val="24"/>
          <w:szCs w:val="24"/>
        </w:rPr>
        <w:t>2</w:t>
      </w:r>
      <w:r w:rsidRPr="00A518C1">
        <w:rPr>
          <w:sz w:val="24"/>
          <w:szCs w:val="24"/>
        </w:rPr>
        <w:tab/>
        <w:t xml:space="preserve">The objectives of the Prudential Code are to ensure that the capital investment plans of authorities are affordable, prudent and sustainable. This is achieved through the use of a number of prudential indicators covering affordability, prudence, capital expenditure, debt levels and treasury management. These indicators are included in the Prudential Code for Capital Finance which is approved by the Fire Authority each year and monitored throughout the year by the Finance and Resources Committee.  A 10-year </w:t>
      </w:r>
      <w:r w:rsidR="004B6B39">
        <w:rPr>
          <w:sz w:val="24"/>
          <w:szCs w:val="24"/>
        </w:rPr>
        <w:t>c</w:t>
      </w:r>
      <w:r w:rsidRPr="00A518C1">
        <w:rPr>
          <w:sz w:val="24"/>
          <w:szCs w:val="24"/>
        </w:rPr>
        <w:t xml:space="preserve">apital </w:t>
      </w:r>
      <w:r w:rsidR="004B6B39">
        <w:rPr>
          <w:sz w:val="24"/>
          <w:szCs w:val="24"/>
        </w:rPr>
        <w:t>p</w:t>
      </w:r>
      <w:r w:rsidRPr="00A518C1">
        <w:rPr>
          <w:sz w:val="24"/>
          <w:szCs w:val="24"/>
        </w:rPr>
        <w:t xml:space="preserve">rogramme is </w:t>
      </w:r>
      <w:r w:rsidRPr="00A518C1">
        <w:rPr>
          <w:sz w:val="24"/>
          <w:szCs w:val="24"/>
        </w:rPr>
        <w:lastRenderedPageBreak/>
        <w:t>included in the MTFS which includes a projection of future year debt costs to ensure that they are affordable in the long term.</w:t>
      </w:r>
    </w:p>
    <w:p w14:paraId="6DA2FF5B" w14:textId="77777777" w:rsidR="00E43F68" w:rsidRPr="00A518C1" w:rsidRDefault="00E43F68" w:rsidP="00E43F68">
      <w:pPr>
        <w:tabs>
          <w:tab w:val="left" w:pos="-720"/>
        </w:tabs>
        <w:suppressAutoHyphens/>
        <w:ind w:left="567" w:hanging="567"/>
        <w:rPr>
          <w:sz w:val="24"/>
          <w:szCs w:val="24"/>
        </w:rPr>
      </w:pPr>
    </w:p>
    <w:p w14:paraId="212B2BD0" w14:textId="77777777" w:rsidR="00E43F68" w:rsidRPr="00A518C1" w:rsidRDefault="00E43F68" w:rsidP="00E43F68">
      <w:pPr>
        <w:pStyle w:val="Default"/>
        <w:rPr>
          <w:b/>
          <w:bCs/>
        </w:rPr>
      </w:pPr>
      <w:r w:rsidRPr="00A518C1">
        <w:rPr>
          <w:b/>
          <w:bCs/>
        </w:rPr>
        <w:t xml:space="preserve">FIRE AUTHORITY </w:t>
      </w:r>
    </w:p>
    <w:p w14:paraId="103C97D1" w14:textId="77777777" w:rsidR="00E43F68" w:rsidRPr="00A518C1" w:rsidRDefault="00E43F68" w:rsidP="00E43F68">
      <w:pPr>
        <w:pStyle w:val="Default"/>
      </w:pPr>
    </w:p>
    <w:p w14:paraId="7F98EAD0" w14:textId="77777777" w:rsidR="00E43F68" w:rsidRPr="00A518C1" w:rsidRDefault="00E43F68" w:rsidP="00E43F68">
      <w:pPr>
        <w:pStyle w:val="Default"/>
        <w:ind w:left="720" w:hanging="720"/>
      </w:pPr>
      <w:r w:rsidRPr="00A518C1">
        <w:t>2.</w:t>
      </w:r>
      <w:r w:rsidR="00C44B8A" w:rsidRPr="00A518C1">
        <w:t>3</w:t>
      </w:r>
      <w:r w:rsidRPr="00A518C1">
        <w:tab/>
        <w:t xml:space="preserve">The </w:t>
      </w:r>
      <w:r w:rsidR="004B6B39">
        <w:t>c</w:t>
      </w:r>
      <w:r w:rsidRPr="00A518C1">
        <w:t xml:space="preserve">apital </w:t>
      </w:r>
      <w:r w:rsidR="004B6B39">
        <w:t>p</w:t>
      </w:r>
      <w:r w:rsidRPr="00A518C1">
        <w:t xml:space="preserve">rogramme is an aggregation of the approved schemes which will help ensure that the Authority can deliver on its strategic objectives. The </w:t>
      </w:r>
      <w:r w:rsidR="004B6B39">
        <w:t>c</w:t>
      </w:r>
      <w:r w:rsidRPr="00A518C1">
        <w:t xml:space="preserve">apital </w:t>
      </w:r>
      <w:r w:rsidR="004B6B39">
        <w:t>p</w:t>
      </w:r>
      <w:r w:rsidRPr="00A518C1">
        <w:t xml:space="preserve">rogramme approved by Authority as part of the annual budget process covers a 4-year period in line with revenue budget forecasting.  Estimating expenditure beyond 4 years is more difficult, although still important in determining the affordability of capital expenditure in future years.  For this reason, a proposed 10-year </w:t>
      </w:r>
      <w:r w:rsidR="004B6B39">
        <w:t>c</w:t>
      </w:r>
      <w:r w:rsidRPr="00A518C1">
        <w:t xml:space="preserve">apital </w:t>
      </w:r>
      <w:r w:rsidR="004B6B39">
        <w:t>p</w:t>
      </w:r>
      <w:r w:rsidRPr="00A518C1">
        <w:t xml:space="preserve">rogramme is included </w:t>
      </w:r>
      <w:r w:rsidR="00F8777C" w:rsidRPr="00A518C1">
        <w:t xml:space="preserve">as a separate document </w:t>
      </w:r>
      <w:r w:rsidRPr="00A518C1">
        <w:t>in the Medium Term Financial Strategy</w:t>
      </w:r>
      <w:r w:rsidR="00F8777C" w:rsidRPr="00A518C1">
        <w:t xml:space="preserve"> (Appendix 2)</w:t>
      </w:r>
      <w:r w:rsidRPr="00A518C1">
        <w:t xml:space="preserve"> for planning and cost projection purposes.  </w:t>
      </w:r>
    </w:p>
    <w:p w14:paraId="28752F1E" w14:textId="77777777" w:rsidR="00E43F68" w:rsidRPr="00A518C1" w:rsidRDefault="00E43F68" w:rsidP="00E43F68">
      <w:pPr>
        <w:pStyle w:val="Default"/>
        <w:ind w:left="720" w:hanging="720"/>
      </w:pPr>
    </w:p>
    <w:p w14:paraId="329D47A0" w14:textId="77777777" w:rsidR="00E43F68" w:rsidRPr="00A518C1" w:rsidRDefault="00E43F68" w:rsidP="00E43F68">
      <w:pPr>
        <w:pStyle w:val="Default"/>
        <w:ind w:left="720" w:hanging="720"/>
      </w:pPr>
      <w:r w:rsidRPr="00A518C1">
        <w:t>2.</w:t>
      </w:r>
      <w:r w:rsidR="00C44B8A" w:rsidRPr="00A518C1">
        <w:t>4</w:t>
      </w:r>
      <w:r w:rsidRPr="00A518C1">
        <w:tab/>
        <w:t>T</w:t>
      </w:r>
      <w:r w:rsidRPr="00A518C1">
        <w:rPr>
          <w:color w:val="auto"/>
        </w:rPr>
        <w:t xml:space="preserve">he full revenue implications of the </w:t>
      </w:r>
      <w:r w:rsidR="004B6B39">
        <w:rPr>
          <w:color w:val="auto"/>
        </w:rPr>
        <w:t>c</w:t>
      </w:r>
      <w:r w:rsidRPr="00A518C1">
        <w:rPr>
          <w:color w:val="auto"/>
        </w:rPr>
        <w:t xml:space="preserve">apital </w:t>
      </w:r>
      <w:r w:rsidR="004B6B39">
        <w:rPr>
          <w:color w:val="auto"/>
        </w:rPr>
        <w:t>p</w:t>
      </w:r>
      <w:r w:rsidRPr="00A518C1">
        <w:rPr>
          <w:color w:val="auto"/>
        </w:rPr>
        <w:t xml:space="preserve">rogramme are presented to members prior to each financial year within the </w:t>
      </w:r>
      <w:r w:rsidR="008640C5">
        <w:rPr>
          <w:color w:val="auto"/>
        </w:rPr>
        <w:t>r</w:t>
      </w:r>
      <w:r w:rsidRPr="00A518C1">
        <w:rPr>
          <w:color w:val="auto"/>
        </w:rPr>
        <w:t xml:space="preserve">evenue </w:t>
      </w:r>
      <w:r w:rsidR="008640C5">
        <w:rPr>
          <w:color w:val="auto"/>
        </w:rPr>
        <w:t>b</w:t>
      </w:r>
      <w:r w:rsidRPr="00A518C1">
        <w:rPr>
          <w:color w:val="auto"/>
        </w:rPr>
        <w:t xml:space="preserve">udget.  </w:t>
      </w:r>
      <w:r w:rsidR="00333C9A">
        <w:rPr>
          <w:color w:val="auto"/>
        </w:rPr>
        <w:t>The</w:t>
      </w:r>
      <w:r w:rsidRPr="00A518C1">
        <w:rPr>
          <w:color w:val="auto"/>
        </w:rPr>
        <w:t xml:space="preserve"> Authority is also responsible for approving the Treasury Management Strategy and Prudential Code prior to the start of each year to ensure that the </w:t>
      </w:r>
      <w:r w:rsidR="004B6B39">
        <w:rPr>
          <w:color w:val="auto"/>
        </w:rPr>
        <w:t>c</w:t>
      </w:r>
      <w:r w:rsidRPr="00A518C1">
        <w:rPr>
          <w:color w:val="auto"/>
        </w:rPr>
        <w:t xml:space="preserve">apital </w:t>
      </w:r>
      <w:r w:rsidR="004B6B39">
        <w:rPr>
          <w:color w:val="auto"/>
        </w:rPr>
        <w:t>p</w:t>
      </w:r>
      <w:r w:rsidRPr="00A518C1">
        <w:rPr>
          <w:color w:val="auto"/>
        </w:rPr>
        <w:t xml:space="preserve">rogramme is affordable, prudent and sustainable.  </w:t>
      </w:r>
    </w:p>
    <w:p w14:paraId="56D181AA" w14:textId="77777777" w:rsidR="00E43F68" w:rsidRPr="00A518C1" w:rsidRDefault="00E43F68" w:rsidP="00E43F68">
      <w:pPr>
        <w:pStyle w:val="Default"/>
        <w:rPr>
          <w:b/>
        </w:rPr>
      </w:pPr>
      <w:r w:rsidRPr="00A518C1">
        <w:t xml:space="preserve"> </w:t>
      </w:r>
    </w:p>
    <w:p w14:paraId="3E684DF8" w14:textId="77777777" w:rsidR="00E43F68" w:rsidRPr="00A518C1" w:rsidRDefault="00E43F68" w:rsidP="00E43F68">
      <w:pPr>
        <w:pStyle w:val="Default"/>
        <w:rPr>
          <w:b/>
          <w:bCs/>
        </w:rPr>
      </w:pPr>
      <w:r w:rsidRPr="00A518C1">
        <w:rPr>
          <w:b/>
        </w:rPr>
        <w:t>FINANCE AND</w:t>
      </w:r>
      <w:r w:rsidRPr="00A518C1">
        <w:t xml:space="preserve"> </w:t>
      </w:r>
      <w:r w:rsidRPr="00A518C1">
        <w:rPr>
          <w:b/>
          <w:bCs/>
        </w:rPr>
        <w:t xml:space="preserve">RESOURCES COMMITTEE </w:t>
      </w:r>
    </w:p>
    <w:p w14:paraId="4283FC8F" w14:textId="77777777" w:rsidR="00E43F68" w:rsidRPr="00A518C1" w:rsidRDefault="00E43F68" w:rsidP="00E43F68">
      <w:pPr>
        <w:pStyle w:val="Default"/>
      </w:pPr>
    </w:p>
    <w:p w14:paraId="5C7CCF24" w14:textId="77777777" w:rsidR="00E43F68" w:rsidRPr="00A518C1" w:rsidRDefault="00E43F68" w:rsidP="00E43F68">
      <w:pPr>
        <w:pStyle w:val="Default"/>
        <w:ind w:left="709" w:hanging="709"/>
      </w:pPr>
      <w:r w:rsidRPr="00A518C1">
        <w:t>2.</w:t>
      </w:r>
      <w:r w:rsidR="00C44B8A" w:rsidRPr="00A518C1">
        <w:t>5</w:t>
      </w:r>
      <w:r w:rsidRPr="00A518C1">
        <w:tab/>
        <w:t xml:space="preserve">The Finance and Resources Committee </w:t>
      </w:r>
      <w:r w:rsidR="00333C9A">
        <w:t>is</w:t>
      </w:r>
      <w:r w:rsidRPr="00A518C1">
        <w:t xml:space="preserve"> responsible for receiving quarterly monitoring reports on the </w:t>
      </w:r>
      <w:r w:rsidR="004B6B39">
        <w:t>c</w:t>
      </w:r>
      <w:r w:rsidRPr="00A518C1">
        <w:t xml:space="preserve">apital </w:t>
      </w:r>
      <w:r w:rsidR="004B6B39">
        <w:t>p</w:t>
      </w:r>
      <w:r w:rsidRPr="00A518C1">
        <w:t>rogramme and Prudential Code.</w:t>
      </w:r>
    </w:p>
    <w:p w14:paraId="3B238613" w14:textId="77777777" w:rsidR="00E43F68" w:rsidRPr="00A518C1" w:rsidRDefault="00E43F68" w:rsidP="00E43F68">
      <w:pPr>
        <w:pStyle w:val="Default"/>
        <w:ind w:left="709" w:hanging="709"/>
      </w:pPr>
      <w:r w:rsidRPr="00A518C1">
        <w:tab/>
      </w:r>
    </w:p>
    <w:p w14:paraId="5CDB5341" w14:textId="77777777" w:rsidR="00E43F68" w:rsidRPr="00A518C1" w:rsidRDefault="00E43F68" w:rsidP="00E43F68">
      <w:pPr>
        <w:pStyle w:val="Default"/>
        <w:ind w:left="709" w:hanging="709"/>
        <w:rPr>
          <w:b/>
        </w:rPr>
      </w:pPr>
      <w:r w:rsidRPr="00A518C1">
        <w:rPr>
          <w:b/>
        </w:rPr>
        <w:t>CORPORATE GOVERNANCE</w:t>
      </w:r>
    </w:p>
    <w:p w14:paraId="6515C1F9" w14:textId="77777777" w:rsidR="00E43F68" w:rsidRPr="00A518C1" w:rsidRDefault="00E43F68" w:rsidP="00E43F68">
      <w:pPr>
        <w:pStyle w:val="Default"/>
        <w:ind w:left="709" w:hanging="709"/>
        <w:rPr>
          <w:b/>
        </w:rPr>
      </w:pPr>
    </w:p>
    <w:p w14:paraId="0EBF53BD" w14:textId="77777777" w:rsidR="00E43F68" w:rsidRPr="00A518C1" w:rsidRDefault="00E43F68" w:rsidP="00E43F68">
      <w:pPr>
        <w:pStyle w:val="Default"/>
        <w:ind w:left="709" w:hanging="709"/>
      </w:pPr>
      <w:r w:rsidRPr="00A518C1">
        <w:t>2.</w:t>
      </w:r>
      <w:r w:rsidR="00C44B8A" w:rsidRPr="00A518C1">
        <w:t>6</w:t>
      </w:r>
      <w:r w:rsidRPr="00A518C1">
        <w:tab/>
        <w:t xml:space="preserve">Corporate Governance is ensured throughout the process through the Authority’s: </w:t>
      </w:r>
    </w:p>
    <w:p w14:paraId="5CFC2AD0" w14:textId="77777777" w:rsidR="00E43F68" w:rsidRPr="00A518C1" w:rsidRDefault="00E43F68" w:rsidP="00E43F68">
      <w:pPr>
        <w:pStyle w:val="Default"/>
      </w:pPr>
    </w:p>
    <w:p w14:paraId="51034D65" w14:textId="77777777" w:rsidR="00E43F68" w:rsidRPr="00A518C1" w:rsidRDefault="00E43F68" w:rsidP="00332C87">
      <w:pPr>
        <w:pStyle w:val="Default"/>
        <w:numPr>
          <w:ilvl w:val="0"/>
          <w:numId w:val="13"/>
        </w:numPr>
      </w:pPr>
      <w:r w:rsidRPr="00A518C1">
        <w:t xml:space="preserve">Internal </w:t>
      </w:r>
      <w:r w:rsidR="00C44B8A" w:rsidRPr="00A518C1">
        <w:t>Audit</w:t>
      </w:r>
    </w:p>
    <w:p w14:paraId="06BD01BF" w14:textId="77777777" w:rsidR="00E43F68" w:rsidRPr="00A518C1" w:rsidRDefault="00E43F68" w:rsidP="00332C87">
      <w:pPr>
        <w:pStyle w:val="Default"/>
        <w:numPr>
          <w:ilvl w:val="0"/>
          <w:numId w:val="13"/>
        </w:numPr>
      </w:pPr>
      <w:r w:rsidRPr="00A518C1">
        <w:t xml:space="preserve">Service </w:t>
      </w:r>
      <w:r w:rsidR="00C44B8A" w:rsidRPr="00A518C1">
        <w:t>p</w:t>
      </w:r>
      <w:r w:rsidRPr="00A518C1">
        <w:t>lans</w:t>
      </w:r>
      <w:r w:rsidR="00C44B8A" w:rsidRPr="00A518C1">
        <w:t xml:space="preserve"> and procedures</w:t>
      </w:r>
    </w:p>
    <w:p w14:paraId="1BF8BF00" w14:textId="77777777" w:rsidR="00E43F68" w:rsidRPr="00A518C1" w:rsidRDefault="00E43F68" w:rsidP="00332C87">
      <w:pPr>
        <w:pStyle w:val="Default"/>
        <w:numPr>
          <w:ilvl w:val="0"/>
          <w:numId w:val="13"/>
        </w:numPr>
      </w:pPr>
      <w:r w:rsidRPr="00A518C1">
        <w:t xml:space="preserve">Performance </w:t>
      </w:r>
      <w:r w:rsidR="00C44B8A" w:rsidRPr="00A518C1">
        <w:t>m</w:t>
      </w:r>
      <w:r w:rsidRPr="00A518C1">
        <w:t>anagement</w:t>
      </w:r>
    </w:p>
    <w:p w14:paraId="30C428D6" w14:textId="77777777" w:rsidR="00E43F68" w:rsidRPr="00A518C1" w:rsidRDefault="00E43F68" w:rsidP="00332C87">
      <w:pPr>
        <w:pStyle w:val="Default"/>
        <w:numPr>
          <w:ilvl w:val="0"/>
          <w:numId w:val="13"/>
        </w:numPr>
      </w:pPr>
      <w:r w:rsidRPr="00A518C1">
        <w:t xml:space="preserve">Financial Regulations and </w:t>
      </w:r>
      <w:r w:rsidR="00C44B8A" w:rsidRPr="00A518C1">
        <w:t>p</w:t>
      </w:r>
      <w:r w:rsidRPr="00A518C1">
        <w:t>rocedures</w:t>
      </w:r>
    </w:p>
    <w:p w14:paraId="705F584E" w14:textId="77777777" w:rsidR="00E43F68" w:rsidRPr="00A518C1" w:rsidRDefault="00E43F68" w:rsidP="00332C87">
      <w:pPr>
        <w:pStyle w:val="Default"/>
        <w:numPr>
          <w:ilvl w:val="0"/>
          <w:numId w:val="13"/>
        </w:numPr>
      </w:pPr>
      <w:r w:rsidRPr="00A518C1">
        <w:t xml:space="preserve">Standing Orders. </w:t>
      </w:r>
    </w:p>
    <w:p w14:paraId="14CB9BE1" w14:textId="77777777" w:rsidR="00E43F68" w:rsidRPr="00A518C1" w:rsidRDefault="00E43F68" w:rsidP="00E43F68">
      <w:pPr>
        <w:pStyle w:val="Default"/>
        <w:rPr>
          <w:color w:val="auto"/>
        </w:rPr>
      </w:pPr>
    </w:p>
    <w:p w14:paraId="6227BDCF" w14:textId="77777777" w:rsidR="00E43F68" w:rsidRPr="00A518C1" w:rsidRDefault="00E43F68" w:rsidP="00E43F68">
      <w:pPr>
        <w:pStyle w:val="Default"/>
        <w:rPr>
          <w:b/>
          <w:color w:val="auto"/>
        </w:rPr>
      </w:pPr>
      <w:r w:rsidRPr="00A518C1">
        <w:rPr>
          <w:b/>
          <w:color w:val="auto"/>
        </w:rPr>
        <w:t>STRATEGIC LEADERSHIP TEAM (SLT)</w:t>
      </w:r>
    </w:p>
    <w:p w14:paraId="29A99B72" w14:textId="77777777" w:rsidR="00E43F68" w:rsidRPr="00A518C1" w:rsidRDefault="00E43F68" w:rsidP="00E43F68">
      <w:pPr>
        <w:pStyle w:val="Default"/>
        <w:rPr>
          <w:color w:val="auto"/>
        </w:rPr>
      </w:pPr>
    </w:p>
    <w:p w14:paraId="6ABD37CF" w14:textId="77777777" w:rsidR="00E43F68" w:rsidRPr="00A518C1" w:rsidRDefault="00E43F68" w:rsidP="00E43F68">
      <w:pPr>
        <w:pStyle w:val="Default"/>
        <w:ind w:left="709" w:hanging="709"/>
      </w:pPr>
      <w:r w:rsidRPr="00A518C1">
        <w:rPr>
          <w:color w:val="auto"/>
        </w:rPr>
        <w:t>2.</w:t>
      </w:r>
      <w:r w:rsidR="00C44B8A" w:rsidRPr="00A518C1">
        <w:rPr>
          <w:color w:val="auto"/>
        </w:rPr>
        <w:t>7</w:t>
      </w:r>
      <w:r w:rsidRPr="00A518C1">
        <w:rPr>
          <w:color w:val="auto"/>
        </w:rPr>
        <w:tab/>
        <w:t xml:space="preserve">SLT </w:t>
      </w:r>
      <w:r w:rsidR="00333C9A">
        <w:rPr>
          <w:color w:val="auto"/>
        </w:rPr>
        <w:t>has</w:t>
      </w:r>
      <w:r w:rsidRPr="00A518C1">
        <w:t xml:space="preserve"> oversight of and make appropriate decisions relating to the revenue and capital budgets set by the Fire and Rescue Authority in order to operate within the delegated financial authority agreed by the Authority to deliver a balanced budget position.</w:t>
      </w:r>
    </w:p>
    <w:p w14:paraId="7812E067" w14:textId="77777777" w:rsidR="00E43F68" w:rsidRPr="00A518C1" w:rsidRDefault="00E43F68" w:rsidP="00E43F68">
      <w:pPr>
        <w:pStyle w:val="Default"/>
        <w:ind w:left="709"/>
        <w:rPr>
          <w:b/>
          <w:color w:val="auto"/>
        </w:rPr>
      </w:pPr>
    </w:p>
    <w:p w14:paraId="0737D851" w14:textId="77777777" w:rsidR="00E43F68" w:rsidRPr="00A518C1" w:rsidRDefault="00E43F68" w:rsidP="00E43F68">
      <w:pPr>
        <w:pStyle w:val="Default"/>
        <w:ind w:left="709" w:hanging="709"/>
        <w:rPr>
          <w:color w:val="auto"/>
        </w:rPr>
      </w:pPr>
      <w:r w:rsidRPr="00A518C1">
        <w:rPr>
          <w:color w:val="auto"/>
        </w:rPr>
        <w:t>2.</w:t>
      </w:r>
      <w:r w:rsidR="00C44B8A" w:rsidRPr="00A518C1">
        <w:rPr>
          <w:color w:val="auto"/>
        </w:rPr>
        <w:t>8</w:t>
      </w:r>
      <w:r w:rsidRPr="00A518C1">
        <w:rPr>
          <w:color w:val="auto"/>
        </w:rPr>
        <w:tab/>
      </w:r>
      <w:r w:rsidR="00CA4BCF" w:rsidRPr="00A518C1">
        <w:rPr>
          <w:color w:val="auto"/>
        </w:rPr>
        <w:t>SLT also</w:t>
      </w:r>
      <w:r w:rsidRPr="00A518C1">
        <w:rPr>
          <w:color w:val="auto"/>
        </w:rPr>
        <w:t xml:space="preserve"> </w:t>
      </w:r>
      <w:r w:rsidR="00333C9A">
        <w:rPr>
          <w:color w:val="auto"/>
        </w:rPr>
        <w:t>has</w:t>
      </w:r>
      <w:r w:rsidRPr="00A518C1">
        <w:rPr>
          <w:color w:val="auto"/>
        </w:rPr>
        <w:t xml:space="preserve"> responsibility for managing project performance and receive regular monitoring updates</w:t>
      </w:r>
      <w:r w:rsidR="00CA4BCF" w:rsidRPr="00A518C1">
        <w:rPr>
          <w:color w:val="auto"/>
        </w:rPr>
        <w:t>,</w:t>
      </w:r>
      <w:r w:rsidRPr="00A518C1">
        <w:rPr>
          <w:color w:val="auto"/>
        </w:rPr>
        <w:t xml:space="preserve"> project closure reports</w:t>
      </w:r>
      <w:r w:rsidR="00CA4BCF" w:rsidRPr="00A518C1">
        <w:rPr>
          <w:color w:val="auto"/>
        </w:rPr>
        <w:t xml:space="preserve"> and</w:t>
      </w:r>
      <w:r w:rsidRPr="00A518C1">
        <w:rPr>
          <w:color w:val="auto"/>
        </w:rPr>
        <w:t xml:space="preserve"> to ensure that any lessons learned are shared across the organisation.</w:t>
      </w:r>
    </w:p>
    <w:p w14:paraId="04724983" w14:textId="77777777" w:rsidR="00E43F68" w:rsidRPr="00A518C1" w:rsidRDefault="00E43F68" w:rsidP="00E43F68">
      <w:pPr>
        <w:pStyle w:val="Default"/>
        <w:ind w:left="709" w:hanging="709"/>
        <w:rPr>
          <w:color w:val="auto"/>
        </w:rPr>
      </w:pPr>
    </w:p>
    <w:p w14:paraId="2F7ACEE7" w14:textId="77777777" w:rsidR="00E43F68" w:rsidRPr="00A518C1" w:rsidRDefault="00E43F68" w:rsidP="00E43F68">
      <w:pPr>
        <w:pStyle w:val="Default"/>
        <w:ind w:left="709" w:hanging="709"/>
        <w:rPr>
          <w:b/>
          <w:color w:val="auto"/>
        </w:rPr>
      </w:pPr>
      <w:r w:rsidRPr="00A518C1">
        <w:rPr>
          <w:b/>
          <w:color w:val="auto"/>
        </w:rPr>
        <w:t>TREASURER</w:t>
      </w:r>
    </w:p>
    <w:p w14:paraId="1560431F" w14:textId="77777777" w:rsidR="00E43F68" w:rsidRPr="00A518C1" w:rsidRDefault="00E43F68" w:rsidP="00E43F68">
      <w:pPr>
        <w:pStyle w:val="Default"/>
        <w:ind w:left="709" w:hanging="709"/>
        <w:rPr>
          <w:color w:val="auto"/>
        </w:rPr>
      </w:pPr>
    </w:p>
    <w:p w14:paraId="28FBAF84" w14:textId="77777777" w:rsidR="00E43F68" w:rsidRPr="00A518C1" w:rsidRDefault="00E43F68" w:rsidP="00E43F68">
      <w:pPr>
        <w:pStyle w:val="Default"/>
        <w:ind w:left="709" w:hanging="709"/>
        <w:rPr>
          <w:color w:val="auto"/>
        </w:rPr>
      </w:pPr>
      <w:r w:rsidRPr="00A518C1">
        <w:rPr>
          <w:color w:val="auto"/>
        </w:rPr>
        <w:t>2.</w:t>
      </w:r>
      <w:r w:rsidR="00C44B8A" w:rsidRPr="00A518C1">
        <w:rPr>
          <w:color w:val="auto"/>
        </w:rPr>
        <w:t>9</w:t>
      </w:r>
      <w:r w:rsidRPr="00A518C1">
        <w:rPr>
          <w:color w:val="auto"/>
        </w:rPr>
        <w:tab/>
        <w:t xml:space="preserve">Under </w:t>
      </w:r>
      <w:r w:rsidR="00333C9A">
        <w:rPr>
          <w:color w:val="auto"/>
        </w:rPr>
        <w:t>S</w:t>
      </w:r>
      <w:r w:rsidRPr="00A518C1">
        <w:rPr>
          <w:color w:val="auto"/>
        </w:rPr>
        <w:t xml:space="preserve">ection 25 of the Local Government Act 2003, the Treasurer is specifically required to report to the Authority regarding the estimates for the purposes of calculations in order that </w:t>
      </w:r>
      <w:r w:rsidR="008640C5">
        <w:rPr>
          <w:color w:val="auto"/>
        </w:rPr>
        <w:t xml:space="preserve">the </w:t>
      </w:r>
      <w:r w:rsidRPr="00A518C1">
        <w:rPr>
          <w:color w:val="auto"/>
        </w:rPr>
        <w:t xml:space="preserve">Fire Authority can make informed </w:t>
      </w:r>
      <w:r w:rsidRPr="00A518C1">
        <w:rPr>
          <w:color w:val="auto"/>
        </w:rPr>
        <w:lastRenderedPageBreak/>
        <w:t>decisions about future years’ budgets.  The Treasurer also has responsibility to ensure compliance with regulatory frameworks and to report on unlawful expenditure or on an unbalanced budget.</w:t>
      </w:r>
    </w:p>
    <w:p w14:paraId="5A8917B8" w14:textId="77777777" w:rsidR="00E43F68" w:rsidRPr="00A518C1" w:rsidRDefault="00E43F68" w:rsidP="00E43F68">
      <w:pPr>
        <w:pStyle w:val="Default"/>
        <w:ind w:left="709" w:hanging="709"/>
        <w:rPr>
          <w:color w:val="auto"/>
        </w:rPr>
      </w:pPr>
    </w:p>
    <w:p w14:paraId="585FD398" w14:textId="77777777" w:rsidR="00E43F68" w:rsidRPr="00A518C1" w:rsidRDefault="00E43F68" w:rsidP="00E43F68">
      <w:pPr>
        <w:pStyle w:val="Default"/>
        <w:rPr>
          <w:b/>
          <w:color w:val="auto"/>
        </w:rPr>
      </w:pPr>
      <w:r w:rsidRPr="00A518C1">
        <w:rPr>
          <w:b/>
          <w:color w:val="auto"/>
        </w:rPr>
        <w:t>FINANCE EMPLOYEES</w:t>
      </w:r>
    </w:p>
    <w:p w14:paraId="6F4561AE" w14:textId="77777777" w:rsidR="00E43F68" w:rsidRPr="00A518C1" w:rsidRDefault="00E43F68" w:rsidP="00E43F68">
      <w:pPr>
        <w:pStyle w:val="Default"/>
        <w:rPr>
          <w:b/>
          <w:color w:val="auto"/>
        </w:rPr>
      </w:pPr>
    </w:p>
    <w:p w14:paraId="53C14CE4" w14:textId="77777777" w:rsidR="00E43F68" w:rsidRPr="00A518C1" w:rsidRDefault="00E43F68" w:rsidP="00E43F68">
      <w:pPr>
        <w:pStyle w:val="Default"/>
        <w:ind w:left="709" w:hanging="709"/>
        <w:rPr>
          <w:color w:val="auto"/>
        </w:rPr>
      </w:pPr>
      <w:r w:rsidRPr="00A518C1">
        <w:rPr>
          <w:color w:val="auto"/>
        </w:rPr>
        <w:t>2.1</w:t>
      </w:r>
      <w:r w:rsidR="00C44B8A" w:rsidRPr="00A518C1">
        <w:rPr>
          <w:color w:val="auto"/>
        </w:rPr>
        <w:t>0</w:t>
      </w:r>
      <w:r w:rsidRPr="00A518C1">
        <w:rPr>
          <w:color w:val="auto"/>
        </w:rPr>
        <w:tab/>
        <w:t xml:space="preserve">The Authority ensures that the Finance </w:t>
      </w:r>
      <w:r w:rsidR="008640C5">
        <w:rPr>
          <w:color w:val="auto"/>
        </w:rPr>
        <w:t>T</w:t>
      </w:r>
      <w:r w:rsidRPr="00A518C1">
        <w:rPr>
          <w:color w:val="auto"/>
        </w:rPr>
        <w:t xml:space="preserve">eam contains staff who are appropriately trained in </w:t>
      </w:r>
      <w:r w:rsidR="008640C5">
        <w:rPr>
          <w:color w:val="auto"/>
        </w:rPr>
        <w:t>c</w:t>
      </w:r>
      <w:r w:rsidRPr="00A518C1">
        <w:rPr>
          <w:color w:val="auto"/>
        </w:rPr>
        <w:t xml:space="preserve">apital </w:t>
      </w:r>
      <w:r w:rsidR="008640C5">
        <w:rPr>
          <w:color w:val="auto"/>
        </w:rPr>
        <w:t>a</w:t>
      </w:r>
      <w:r w:rsidRPr="00A518C1">
        <w:rPr>
          <w:color w:val="auto"/>
        </w:rPr>
        <w:t xml:space="preserve">ccounting and </w:t>
      </w:r>
      <w:r w:rsidR="008640C5">
        <w:rPr>
          <w:color w:val="auto"/>
        </w:rPr>
        <w:t>t</w:t>
      </w:r>
      <w:r w:rsidRPr="00A518C1">
        <w:rPr>
          <w:color w:val="auto"/>
        </w:rPr>
        <w:t xml:space="preserve">reasury </w:t>
      </w:r>
      <w:r w:rsidR="008640C5">
        <w:rPr>
          <w:color w:val="auto"/>
        </w:rPr>
        <w:t>m</w:t>
      </w:r>
      <w:r w:rsidRPr="00A518C1">
        <w:rPr>
          <w:color w:val="auto"/>
        </w:rPr>
        <w:t xml:space="preserve">anagement.  In addition, the </w:t>
      </w:r>
      <w:r w:rsidR="008640C5">
        <w:rPr>
          <w:color w:val="auto"/>
        </w:rPr>
        <w:t>S</w:t>
      </w:r>
      <w:r w:rsidRPr="00A518C1">
        <w:rPr>
          <w:color w:val="auto"/>
        </w:rPr>
        <w:t xml:space="preserve">ervice employs external treasury management advisors who provide specialist advice and resources. </w:t>
      </w:r>
    </w:p>
    <w:p w14:paraId="39AFAA42" w14:textId="77777777" w:rsidR="00E43F68" w:rsidRPr="00A518C1" w:rsidRDefault="00E43F68" w:rsidP="00E43F68">
      <w:pPr>
        <w:pStyle w:val="Default"/>
        <w:rPr>
          <w:color w:val="auto"/>
        </w:rPr>
      </w:pPr>
    </w:p>
    <w:p w14:paraId="2323813E" w14:textId="77777777" w:rsidR="00E43F68" w:rsidRPr="00A518C1" w:rsidRDefault="00E43F68" w:rsidP="00E43F68">
      <w:pPr>
        <w:pStyle w:val="Default"/>
        <w:rPr>
          <w:b/>
          <w:color w:val="auto"/>
        </w:rPr>
      </w:pPr>
      <w:r w:rsidRPr="00A518C1">
        <w:rPr>
          <w:b/>
          <w:color w:val="auto"/>
        </w:rPr>
        <w:t>3</w:t>
      </w:r>
      <w:r w:rsidRPr="00A518C1">
        <w:rPr>
          <w:b/>
          <w:color w:val="auto"/>
        </w:rPr>
        <w:tab/>
        <w:t>THE CAPITAL PROGRAMME</w:t>
      </w:r>
    </w:p>
    <w:p w14:paraId="2421E424" w14:textId="77777777" w:rsidR="00E43F68" w:rsidRPr="00A518C1" w:rsidRDefault="00E43F68" w:rsidP="00E43F68">
      <w:pPr>
        <w:pStyle w:val="Default"/>
        <w:rPr>
          <w:color w:val="auto"/>
        </w:rPr>
      </w:pPr>
    </w:p>
    <w:p w14:paraId="433A10E5" w14:textId="77777777" w:rsidR="00E43F68" w:rsidRPr="00A518C1" w:rsidRDefault="00E43F68" w:rsidP="00E43F68">
      <w:pPr>
        <w:pStyle w:val="Default"/>
        <w:ind w:left="709" w:hanging="709"/>
      </w:pPr>
      <w:r w:rsidRPr="00A518C1">
        <w:t>3.1</w:t>
      </w:r>
      <w:r w:rsidRPr="00A518C1">
        <w:tab/>
        <w:t xml:space="preserve">The capital expenditure recommendations are determined from an assessment of the Authority’s Asset Management plans for buildings, equipment and vehicles. As the impact of capital expenditure and </w:t>
      </w:r>
      <w:r w:rsidR="008640C5">
        <w:t xml:space="preserve">the </w:t>
      </w:r>
      <w:r w:rsidRPr="00A518C1">
        <w:t xml:space="preserve">associated borrowing is spread over </w:t>
      </w:r>
      <w:r w:rsidR="008640C5">
        <w:t xml:space="preserve">a number of </w:t>
      </w:r>
      <w:r w:rsidRPr="00A518C1">
        <w:t>years, it is important to consider the effects of any proposals in both the forthcoming and future financial years.</w:t>
      </w:r>
    </w:p>
    <w:p w14:paraId="25A6F689" w14:textId="77777777" w:rsidR="00E43F68" w:rsidRPr="00A518C1" w:rsidRDefault="00E43F68" w:rsidP="00E43F68">
      <w:pPr>
        <w:pStyle w:val="Default"/>
      </w:pPr>
      <w:r w:rsidRPr="00A518C1">
        <w:t xml:space="preserve"> </w:t>
      </w:r>
    </w:p>
    <w:p w14:paraId="114CBB57" w14:textId="77777777" w:rsidR="00E43F68" w:rsidRPr="00A518C1" w:rsidRDefault="00E43F68" w:rsidP="00E43F68">
      <w:pPr>
        <w:pStyle w:val="Default"/>
        <w:ind w:left="709" w:hanging="709"/>
      </w:pPr>
      <w:r w:rsidRPr="00A518C1">
        <w:t>3.2</w:t>
      </w:r>
      <w:r w:rsidRPr="00A518C1">
        <w:tab/>
        <w:t xml:space="preserve">The Authority’s approach to developing capital investment is to evaluate projects against criteria such as: </w:t>
      </w:r>
    </w:p>
    <w:p w14:paraId="47BBBCB7" w14:textId="77777777" w:rsidR="00E43F68" w:rsidRPr="00A518C1" w:rsidRDefault="00E43F68" w:rsidP="00E43F68">
      <w:pPr>
        <w:pStyle w:val="Default"/>
      </w:pPr>
    </w:p>
    <w:p w14:paraId="08439698" w14:textId="77777777" w:rsidR="00E43F68" w:rsidRPr="00A518C1" w:rsidRDefault="00E43F68" w:rsidP="00332C87">
      <w:pPr>
        <w:pStyle w:val="Default"/>
        <w:numPr>
          <w:ilvl w:val="0"/>
          <w:numId w:val="13"/>
        </w:numPr>
      </w:pPr>
      <w:r w:rsidRPr="00A518C1">
        <w:t>Fire Authority objectives</w:t>
      </w:r>
    </w:p>
    <w:p w14:paraId="23F4FE17" w14:textId="77777777" w:rsidR="00E43F68" w:rsidRPr="00A518C1" w:rsidRDefault="00E43F68" w:rsidP="00332C87">
      <w:pPr>
        <w:pStyle w:val="Default"/>
        <w:numPr>
          <w:ilvl w:val="0"/>
          <w:numId w:val="13"/>
        </w:numPr>
      </w:pPr>
      <w:r w:rsidRPr="00A518C1">
        <w:t xml:space="preserve">Funding </w:t>
      </w:r>
      <w:r w:rsidR="00C44B8A" w:rsidRPr="00A518C1">
        <w:t>availability</w:t>
      </w:r>
    </w:p>
    <w:p w14:paraId="08C48D07" w14:textId="77777777" w:rsidR="00E43F68" w:rsidRPr="00A518C1" w:rsidRDefault="00E43F68" w:rsidP="00332C87">
      <w:pPr>
        <w:pStyle w:val="Default"/>
        <w:numPr>
          <w:ilvl w:val="0"/>
          <w:numId w:val="13"/>
        </w:numPr>
      </w:pPr>
      <w:r w:rsidRPr="00A518C1">
        <w:t>Statutory obligations</w:t>
      </w:r>
    </w:p>
    <w:p w14:paraId="776302C2" w14:textId="77777777" w:rsidR="00E43F68" w:rsidRPr="00A518C1" w:rsidRDefault="00E43F68" w:rsidP="00332C87">
      <w:pPr>
        <w:pStyle w:val="Default"/>
        <w:numPr>
          <w:ilvl w:val="0"/>
          <w:numId w:val="13"/>
        </w:numPr>
      </w:pPr>
      <w:r w:rsidRPr="00A518C1">
        <w:t>Reserve savin</w:t>
      </w:r>
      <w:r w:rsidR="00C44B8A" w:rsidRPr="00A518C1">
        <w:t>gs and</w:t>
      </w:r>
      <w:r w:rsidRPr="00A518C1">
        <w:t xml:space="preserve"> implications</w:t>
      </w:r>
    </w:p>
    <w:p w14:paraId="2C6DB5AD" w14:textId="77777777" w:rsidR="00E43F68" w:rsidRPr="00A518C1" w:rsidRDefault="00E43F68" w:rsidP="00332C87">
      <w:pPr>
        <w:pStyle w:val="Default"/>
        <w:numPr>
          <w:ilvl w:val="0"/>
          <w:numId w:val="13"/>
        </w:numPr>
      </w:pPr>
      <w:r w:rsidRPr="00A518C1">
        <w:t xml:space="preserve">Any surplus assets for which a receipt will subsequently be available </w:t>
      </w:r>
    </w:p>
    <w:p w14:paraId="07DF8897" w14:textId="77777777" w:rsidR="00E43F68" w:rsidRPr="00A518C1" w:rsidRDefault="00E43F68" w:rsidP="00332C87">
      <w:pPr>
        <w:pStyle w:val="Default"/>
        <w:numPr>
          <w:ilvl w:val="0"/>
          <w:numId w:val="13"/>
        </w:numPr>
      </w:pPr>
      <w:r w:rsidRPr="00A518C1">
        <w:t>Any special considerations</w:t>
      </w:r>
    </w:p>
    <w:p w14:paraId="2587BB0F" w14:textId="77777777" w:rsidR="00E43F68" w:rsidRPr="00A518C1" w:rsidRDefault="00E43F68" w:rsidP="00332C87">
      <w:pPr>
        <w:pStyle w:val="Default"/>
        <w:numPr>
          <w:ilvl w:val="0"/>
          <w:numId w:val="13"/>
        </w:numPr>
      </w:pPr>
      <w:r w:rsidRPr="00A518C1">
        <w:t>Affordability</w:t>
      </w:r>
    </w:p>
    <w:p w14:paraId="631FFCBF" w14:textId="77777777" w:rsidR="00E43F68" w:rsidRPr="00A518C1" w:rsidRDefault="00E43F68" w:rsidP="00332C87">
      <w:pPr>
        <w:pStyle w:val="Default"/>
        <w:numPr>
          <w:ilvl w:val="0"/>
          <w:numId w:val="13"/>
        </w:numPr>
      </w:pPr>
      <w:r w:rsidRPr="00A518C1">
        <w:t>Sustainability (by considering whole life costs)</w:t>
      </w:r>
    </w:p>
    <w:p w14:paraId="5D302478" w14:textId="77777777" w:rsidR="00E43F68" w:rsidRPr="00A518C1" w:rsidRDefault="00E43F68" w:rsidP="00332C87">
      <w:pPr>
        <w:pStyle w:val="Default"/>
        <w:numPr>
          <w:ilvl w:val="0"/>
          <w:numId w:val="13"/>
        </w:numPr>
      </w:pPr>
      <w:r w:rsidRPr="00A518C1">
        <w:t>Evaluation of condition, suitability, and sufficiency information from the Asset Management system</w:t>
      </w:r>
    </w:p>
    <w:p w14:paraId="1AF3FDD1" w14:textId="77777777" w:rsidR="00E43F68" w:rsidRPr="00A518C1" w:rsidRDefault="00E43F68" w:rsidP="00332C87">
      <w:pPr>
        <w:pStyle w:val="Default"/>
        <w:numPr>
          <w:ilvl w:val="0"/>
          <w:numId w:val="13"/>
        </w:numPr>
      </w:pPr>
      <w:r w:rsidRPr="00A518C1">
        <w:t>Collaborative Opportunities.</w:t>
      </w:r>
    </w:p>
    <w:p w14:paraId="1D5CF5D2" w14:textId="77777777" w:rsidR="00E43F68" w:rsidRPr="00A518C1" w:rsidRDefault="00E43F68" w:rsidP="00E43F68">
      <w:pPr>
        <w:pStyle w:val="Default"/>
      </w:pPr>
    </w:p>
    <w:p w14:paraId="124F4A4A" w14:textId="77777777" w:rsidR="00E43F68" w:rsidRPr="00A518C1" w:rsidRDefault="00E43F68" w:rsidP="00E43F68">
      <w:pPr>
        <w:pStyle w:val="Default"/>
        <w:ind w:left="709" w:hanging="709"/>
      </w:pPr>
      <w:r w:rsidRPr="00A518C1">
        <w:t>3.3</w:t>
      </w:r>
      <w:r w:rsidRPr="00A518C1">
        <w:tab/>
        <w:t xml:space="preserve">Where there is a possibility to take a collaborative approach to purchasing or using assets it will be pursued providing that the partnership or sharing arrangements are financially viable and in the best interests of Nottinghamshire Fire &amp; Rescue Service. </w:t>
      </w:r>
    </w:p>
    <w:p w14:paraId="06E1B9ED" w14:textId="77777777" w:rsidR="00E43F68" w:rsidRPr="00A518C1" w:rsidRDefault="00E43F68" w:rsidP="00E43F68">
      <w:pPr>
        <w:pStyle w:val="Default"/>
        <w:ind w:left="709" w:hanging="709"/>
      </w:pPr>
    </w:p>
    <w:p w14:paraId="1CA65FB0" w14:textId="77777777" w:rsidR="00E43F68" w:rsidRPr="00A518C1" w:rsidRDefault="00E43F68" w:rsidP="00E43F68">
      <w:pPr>
        <w:pStyle w:val="Default"/>
        <w:ind w:left="709" w:hanging="709"/>
      </w:pPr>
      <w:r w:rsidRPr="00A518C1">
        <w:t>3.4</w:t>
      </w:r>
      <w:r w:rsidRPr="00A518C1">
        <w:tab/>
        <w:t>Where collaborative projects are undertaken</w:t>
      </w:r>
      <w:r w:rsidR="008640C5">
        <w:t>,</w:t>
      </w:r>
      <w:r w:rsidRPr="00A518C1">
        <w:t xml:space="preserve"> consideration will be given to the most appropriate delivery vehicle whether it be leasing arrangements</w:t>
      </w:r>
      <w:r w:rsidR="00CA4BCF" w:rsidRPr="00A518C1">
        <w:t xml:space="preserve">, joint </w:t>
      </w:r>
      <w:r w:rsidR="00981FE7" w:rsidRPr="00A518C1">
        <w:t>ownership,</w:t>
      </w:r>
      <w:r w:rsidRPr="00A518C1">
        <w:t xml:space="preserve"> or the setting up </w:t>
      </w:r>
      <w:r w:rsidR="008640C5">
        <w:t xml:space="preserve">of </w:t>
      </w:r>
      <w:r w:rsidRPr="00A518C1">
        <w:t>partnership arrangements such as a Limited Liability Partnership (LLP).</w:t>
      </w:r>
    </w:p>
    <w:p w14:paraId="35B1AB52" w14:textId="77777777" w:rsidR="00E43F68" w:rsidRPr="00A518C1" w:rsidRDefault="00E43F68" w:rsidP="00E43F68">
      <w:pPr>
        <w:pStyle w:val="Default"/>
        <w:ind w:left="709" w:hanging="709"/>
      </w:pPr>
    </w:p>
    <w:p w14:paraId="7C062E18" w14:textId="77777777" w:rsidR="00E43F68" w:rsidRPr="00A518C1" w:rsidRDefault="00E43F68" w:rsidP="00E43F68">
      <w:pPr>
        <w:pStyle w:val="Default"/>
        <w:ind w:left="709" w:hanging="709"/>
      </w:pPr>
      <w:r w:rsidRPr="00A518C1">
        <w:t>3.5</w:t>
      </w:r>
      <w:r w:rsidRPr="00A518C1">
        <w:tab/>
        <w:t xml:space="preserve">The purpose of the capital investment programme is to support the </w:t>
      </w:r>
      <w:r w:rsidR="007A0FF5" w:rsidRPr="00A518C1">
        <w:t>CRMP</w:t>
      </w:r>
      <w:r w:rsidR="004B6B39">
        <w:t>,</w:t>
      </w:r>
      <w:r w:rsidRPr="00A518C1">
        <w:t xml:space="preserve"> which </w:t>
      </w:r>
      <w:r w:rsidR="004B6B39">
        <w:t xml:space="preserve">currently </w:t>
      </w:r>
      <w:r w:rsidRPr="00A518C1">
        <w:t>does not include investment in commercial activities due to the Authority not wishing to undertake undue risk.</w:t>
      </w:r>
    </w:p>
    <w:p w14:paraId="14234F99" w14:textId="77777777" w:rsidR="00E43F68" w:rsidRPr="00A518C1" w:rsidRDefault="00E43F68" w:rsidP="00E43F68">
      <w:pPr>
        <w:pStyle w:val="Default"/>
        <w:ind w:left="709" w:hanging="709"/>
      </w:pPr>
    </w:p>
    <w:p w14:paraId="29B1643E" w14:textId="77777777" w:rsidR="00E43F68" w:rsidRPr="00A518C1" w:rsidRDefault="00E43F68" w:rsidP="00E43F68">
      <w:pPr>
        <w:pStyle w:val="Default"/>
        <w:ind w:left="709" w:hanging="709"/>
      </w:pPr>
      <w:r w:rsidRPr="00A518C1">
        <w:t>3.6</w:t>
      </w:r>
      <w:r w:rsidRPr="00A518C1">
        <w:tab/>
        <w:t>Establishing the level and type of investment available, which is currently projected for up to ten years in advance enables the revenue implications of the capital programme to be considered in detail</w:t>
      </w:r>
      <w:r w:rsidR="004B6B39">
        <w:t>,</w:t>
      </w:r>
      <w:r w:rsidRPr="00A518C1">
        <w:t xml:space="preserve"> including repair and maintenance costs, energy efficiencies and economies for scale. The debt </w:t>
      </w:r>
      <w:r w:rsidRPr="00A518C1">
        <w:lastRenderedPageBreak/>
        <w:t xml:space="preserve">charges (Minimum Revenue Provision and interest charges) are built into the revenue budget and monitored to ensure that they remain affordable.  </w:t>
      </w:r>
    </w:p>
    <w:p w14:paraId="155F7931" w14:textId="77777777" w:rsidR="00E43F68" w:rsidRPr="00A518C1" w:rsidRDefault="00E43F68" w:rsidP="00E43F68">
      <w:pPr>
        <w:pStyle w:val="Default"/>
        <w:ind w:left="709" w:hanging="709"/>
      </w:pPr>
    </w:p>
    <w:p w14:paraId="0AB8F80A" w14:textId="77777777" w:rsidR="00E43F68" w:rsidRPr="00A518C1" w:rsidRDefault="00E43F68" w:rsidP="00E43F68">
      <w:pPr>
        <w:pStyle w:val="Default"/>
        <w:ind w:left="709" w:hanging="709"/>
      </w:pPr>
      <w:r w:rsidRPr="00A518C1">
        <w:t>3.7</w:t>
      </w:r>
      <w:r w:rsidRPr="00A518C1">
        <w:tab/>
        <w:t xml:space="preserve">The Finance and Resources Committee recommend a draft </w:t>
      </w:r>
      <w:r w:rsidR="004B6B39">
        <w:t>c</w:t>
      </w:r>
      <w:r w:rsidRPr="00A518C1">
        <w:t xml:space="preserve">apital </w:t>
      </w:r>
      <w:r w:rsidR="004B6B39">
        <w:t>p</w:t>
      </w:r>
      <w:r w:rsidRPr="00A518C1">
        <w:t xml:space="preserve">rogramme to </w:t>
      </w:r>
      <w:r w:rsidR="004B6B39">
        <w:t xml:space="preserve">the </w:t>
      </w:r>
      <w:r w:rsidRPr="00A518C1">
        <w:t>Fire Authority</w:t>
      </w:r>
      <w:r w:rsidR="004B6B39">
        <w:t>,</w:t>
      </w:r>
      <w:r w:rsidRPr="00A518C1">
        <w:t xml:space="preserve"> who approve the final programme at its budget setting meeting in February of each year. Additional approval is sought from </w:t>
      </w:r>
      <w:r w:rsidR="004B6B39">
        <w:t xml:space="preserve">the </w:t>
      </w:r>
      <w:r w:rsidRPr="00A518C1">
        <w:t xml:space="preserve">Finance and Resources Committee before major building projects are commenced. </w:t>
      </w:r>
    </w:p>
    <w:p w14:paraId="751043B0" w14:textId="77777777" w:rsidR="00E43F68" w:rsidRPr="003546DD" w:rsidRDefault="00E43F68" w:rsidP="00E43F68">
      <w:pPr>
        <w:pStyle w:val="Default"/>
        <w:ind w:left="709" w:hanging="709"/>
        <w:rPr>
          <w:highlight w:val="green"/>
        </w:rPr>
      </w:pPr>
    </w:p>
    <w:p w14:paraId="0C01AFA7" w14:textId="77777777" w:rsidR="00E43F68" w:rsidRPr="00A518C1" w:rsidRDefault="00E43F68" w:rsidP="00E43F68">
      <w:pPr>
        <w:pStyle w:val="Default"/>
        <w:ind w:left="709" w:hanging="709"/>
      </w:pPr>
      <w:r w:rsidRPr="00A518C1">
        <w:t>3.8</w:t>
      </w:r>
      <w:r w:rsidRPr="00A518C1">
        <w:tab/>
        <w:t xml:space="preserve">Projects utilise the principles of Prince 2 methodology where </w:t>
      </w:r>
      <w:r w:rsidR="004B6B39" w:rsidRPr="00A518C1">
        <w:t>appropriate and</w:t>
      </w:r>
      <w:r w:rsidRPr="00A518C1">
        <w:t xml:space="preserve"> are subject to a review following completion where clients, occupiers and consultants establish how far the project has achieved </w:t>
      </w:r>
      <w:r w:rsidR="004B6B39">
        <w:t xml:space="preserve">the </w:t>
      </w:r>
      <w:r w:rsidRPr="00A518C1">
        <w:t>objectives and outcomes against targets (as detailed in the original investment appraisal</w:t>
      </w:r>
      <w:r w:rsidR="00981FE7" w:rsidRPr="00A518C1">
        <w:t>)</w:t>
      </w:r>
      <w:r w:rsidR="00981FE7">
        <w:t xml:space="preserve"> and</w:t>
      </w:r>
      <w:r w:rsidRPr="00A518C1">
        <w:t xml:space="preserve"> </w:t>
      </w:r>
      <w:r w:rsidR="004B6B39">
        <w:t>identify</w:t>
      </w:r>
      <w:r w:rsidR="004B6B39" w:rsidRPr="00A518C1">
        <w:t xml:space="preserve"> </w:t>
      </w:r>
      <w:r w:rsidRPr="00A518C1">
        <w:t>areas of good practice</w:t>
      </w:r>
      <w:r w:rsidR="004B6B39">
        <w:t xml:space="preserve"> or</w:t>
      </w:r>
      <w:r w:rsidR="00981FE7">
        <w:t xml:space="preserve"> </w:t>
      </w:r>
      <w:r w:rsidRPr="00A518C1">
        <w:t>areas for improvement</w:t>
      </w:r>
      <w:r w:rsidR="004B6B39">
        <w:t>.</w:t>
      </w:r>
      <w:r w:rsidRPr="00A518C1">
        <w:t xml:space="preserve"> </w:t>
      </w:r>
    </w:p>
    <w:p w14:paraId="37BC3EC2" w14:textId="77777777" w:rsidR="00E43F68" w:rsidRPr="00A518C1" w:rsidRDefault="00E43F68" w:rsidP="00E43F68">
      <w:pPr>
        <w:pStyle w:val="Default"/>
        <w:ind w:left="709" w:hanging="709"/>
      </w:pPr>
    </w:p>
    <w:p w14:paraId="4BC06EF2" w14:textId="77777777" w:rsidR="00E43F68" w:rsidRPr="00A518C1" w:rsidRDefault="00E43F68" w:rsidP="00E43F68">
      <w:pPr>
        <w:pStyle w:val="Default"/>
        <w:rPr>
          <w:b/>
        </w:rPr>
      </w:pPr>
      <w:r w:rsidRPr="00A518C1">
        <w:rPr>
          <w:b/>
        </w:rPr>
        <w:t>4</w:t>
      </w:r>
      <w:r w:rsidRPr="00A518C1">
        <w:rPr>
          <w:b/>
        </w:rPr>
        <w:tab/>
        <w:t>CAPITAL FINANCING</w:t>
      </w:r>
    </w:p>
    <w:p w14:paraId="306D04EB" w14:textId="77777777" w:rsidR="00E43F68" w:rsidRPr="00A518C1" w:rsidRDefault="00E43F68" w:rsidP="00E43F68">
      <w:pPr>
        <w:pStyle w:val="Default"/>
      </w:pPr>
    </w:p>
    <w:p w14:paraId="61627E64" w14:textId="77777777" w:rsidR="00E43F68" w:rsidRPr="00A518C1" w:rsidRDefault="00E43F68" w:rsidP="00E43F68">
      <w:pPr>
        <w:pStyle w:val="Default"/>
        <w:ind w:left="709" w:hanging="709"/>
      </w:pPr>
      <w:r w:rsidRPr="00A518C1">
        <w:t>4.1</w:t>
      </w:r>
      <w:r w:rsidRPr="00A518C1">
        <w:tab/>
        <w:t xml:space="preserve">The </w:t>
      </w:r>
      <w:r w:rsidR="00A03663">
        <w:t>c</w:t>
      </w:r>
      <w:r w:rsidRPr="00A518C1">
        <w:t xml:space="preserve">apital </w:t>
      </w:r>
      <w:r w:rsidR="00A03663">
        <w:t>p</w:t>
      </w:r>
      <w:r w:rsidRPr="00A518C1">
        <w:t xml:space="preserve">rogramme is currently constrained by the availability of finance, which continues at present to be provided by traditional methods including: </w:t>
      </w:r>
    </w:p>
    <w:p w14:paraId="1A97A60F" w14:textId="77777777" w:rsidR="00E43F68" w:rsidRPr="00A518C1" w:rsidRDefault="00E43F68" w:rsidP="00E43F68">
      <w:pPr>
        <w:pStyle w:val="Default"/>
      </w:pPr>
    </w:p>
    <w:p w14:paraId="46CA5E39" w14:textId="77777777" w:rsidR="00E43F68" w:rsidRPr="00A518C1" w:rsidRDefault="00E43F68" w:rsidP="00332C87">
      <w:pPr>
        <w:pStyle w:val="Default"/>
        <w:numPr>
          <w:ilvl w:val="0"/>
          <w:numId w:val="14"/>
        </w:numPr>
        <w:ind w:firstLine="131"/>
      </w:pPr>
      <w:r w:rsidRPr="00A518C1">
        <w:t>Borrowing under the Prudential Code</w:t>
      </w:r>
      <w:r w:rsidR="00BB6CB1">
        <w:t>.</w:t>
      </w:r>
      <w:r w:rsidRPr="00A518C1">
        <w:t xml:space="preserve"> </w:t>
      </w:r>
    </w:p>
    <w:p w14:paraId="5C8D8334" w14:textId="77777777" w:rsidR="00E43F68" w:rsidRPr="00A518C1" w:rsidRDefault="00E43F68" w:rsidP="00332C87">
      <w:pPr>
        <w:pStyle w:val="Default"/>
        <w:numPr>
          <w:ilvl w:val="0"/>
          <w:numId w:val="14"/>
        </w:numPr>
        <w:ind w:firstLine="131"/>
      </w:pPr>
      <w:r w:rsidRPr="00A518C1">
        <w:t xml:space="preserve">Revenue </w:t>
      </w:r>
      <w:r w:rsidR="002F12FC">
        <w:t>f</w:t>
      </w:r>
      <w:r w:rsidRPr="00A518C1">
        <w:t>unding</w:t>
      </w:r>
      <w:r w:rsidR="00BB6CB1">
        <w:t>.</w:t>
      </w:r>
    </w:p>
    <w:p w14:paraId="3BEF3B35" w14:textId="77777777" w:rsidR="00E43F68" w:rsidRPr="00A518C1" w:rsidRDefault="00E43F68" w:rsidP="00332C87">
      <w:pPr>
        <w:pStyle w:val="Default"/>
        <w:numPr>
          <w:ilvl w:val="0"/>
          <w:numId w:val="14"/>
        </w:numPr>
        <w:ind w:firstLine="131"/>
      </w:pPr>
      <w:r w:rsidRPr="00A518C1">
        <w:t xml:space="preserve">Capital </w:t>
      </w:r>
      <w:r w:rsidR="00BB6CB1">
        <w:t>r</w:t>
      </w:r>
      <w:r w:rsidR="00BB6CB1" w:rsidRPr="00A518C1">
        <w:t>eceipts.</w:t>
      </w:r>
    </w:p>
    <w:p w14:paraId="63BF2782" w14:textId="77777777" w:rsidR="00E43F68" w:rsidRPr="00A518C1" w:rsidRDefault="00E43F68" w:rsidP="00332C87">
      <w:pPr>
        <w:pStyle w:val="Default"/>
        <w:numPr>
          <w:ilvl w:val="0"/>
          <w:numId w:val="14"/>
        </w:numPr>
        <w:ind w:firstLine="131"/>
      </w:pPr>
      <w:r w:rsidRPr="00A518C1">
        <w:t xml:space="preserve">Capital </w:t>
      </w:r>
      <w:r w:rsidR="00BB6CB1">
        <w:t>g</w:t>
      </w:r>
      <w:r w:rsidR="00BB6CB1" w:rsidRPr="00A518C1">
        <w:t>rant.</w:t>
      </w:r>
    </w:p>
    <w:p w14:paraId="375B9C77" w14:textId="77777777" w:rsidR="00E43F68" w:rsidRPr="00A518C1" w:rsidRDefault="00E43F68" w:rsidP="00332C87">
      <w:pPr>
        <w:pStyle w:val="Default"/>
        <w:numPr>
          <w:ilvl w:val="0"/>
          <w:numId w:val="14"/>
        </w:numPr>
        <w:ind w:firstLine="131"/>
      </w:pPr>
      <w:r w:rsidRPr="00A518C1">
        <w:t xml:space="preserve">Leasing. </w:t>
      </w:r>
    </w:p>
    <w:p w14:paraId="508E4CD5" w14:textId="77777777" w:rsidR="00E43F68" w:rsidRPr="00A518C1" w:rsidRDefault="00E43F68" w:rsidP="00E43F68">
      <w:pPr>
        <w:pStyle w:val="Default"/>
      </w:pPr>
    </w:p>
    <w:p w14:paraId="7E266BC8" w14:textId="77777777" w:rsidR="00E43F68" w:rsidRPr="00A518C1" w:rsidRDefault="00E43F68" w:rsidP="00E43F68">
      <w:pPr>
        <w:pStyle w:val="Default"/>
        <w:ind w:left="709" w:hanging="709"/>
      </w:pPr>
      <w:r w:rsidRPr="00A518C1">
        <w:t>4.2</w:t>
      </w:r>
      <w:r w:rsidRPr="00A518C1">
        <w:tab/>
        <w:t xml:space="preserve">Funding is expected to be limited in the medium term and the </w:t>
      </w:r>
      <w:r w:rsidR="003A2264" w:rsidRPr="00A518C1">
        <w:t>Funding Settlement</w:t>
      </w:r>
      <w:r w:rsidRPr="00A518C1">
        <w:t xml:space="preserve"> expected in </w:t>
      </w:r>
      <w:r w:rsidR="00DA2A99" w:rsidRPr="00A518C1">
        <w:t>December</w:t>
      </w:r>
      <w:r w:rsidRPr="00A518C1">
        <w:t xml:space="preserve"> 20</w:t>
      </w:r>
      <w:r w:rsidR="00CA4BCF" w:rsidRPr="00A518C1">
        <w:t>2</w:t>
      </w:r>
      <w:r w:rsidR="003A2264" w:rsidRPr="00A518C1">
        <w:t>3</w:t>
      </w:r>
      <w:r w:rsidRPr="00A518C1">
        <w:t xml:space="preserve"> will set the funding limits </w:t>
      </w:r>
      <w:r w:rsidR="002F12FC">
        <w:t>for the period from</w:t>
      </w:r>
      <w:r w:rsidR="002F12FC" w:rsidRPr="00A518C1">
        <w:t xml:space="preserve"> </w:t>
      </w:r>
      <w:r w:rsidR="004B6C98" w:rsidRPr="00A518C1">
        <w:t>2024/25</w:t>
      </w:r>
      <w:r w:rsidR="006664A5" w:rsidRPr="00A518C1">
        <w:t xml:space="preserve"> to </w:t>
      </w:r>
      <w:r w:rsidR="004B6C98" w:rsidRPr="00A518C1">
        <w:t>202</w:t>
      </w:r>
      <w:r w:rsidR="003A2264" w:rsidRPr="00A518C1">
        <w:t>7</w:t>
      </w:r>
      <w:r w:rsidR="004B6C98" w:rsidRPr="00A518C1">
        <w:t>/2</w:t>
      </w:r>
      <w:r w:rsidR="003A2264" w:rsidRPr="00A518C1">
        <w:t>8</w:t>
      </w:r>
      <w:r w:rsidR="00CA4BCF" w:rsidRPr="00A518C1">
        <w:t xml:space="preserve">.  </w:t>
      </w:r>
      <w:r w:rsidRPr="00A518C1">
        <w:t xml:space="preserve">The capital programme will be </w:t>
      </w:r>
      <w:r w:rsidR="006664A5" w:rsidRPr="00A518C1">
        <w:t xml:space="preserve">revised </w:t>
      </w:r>
      <w:r w:rsidRPr="00A518C1">
        <w:t>accordingly a</w:t>
      </w:r>
      <w:r w:rsidR="006664A5" w:rsidRPr="00A518C1">
        <w:t>nd considered as part of the budget setting process, with final approval being sought from Fire Authority in February 202</w:t>
      </w:r>
      <w:r w:rsidR="003A2264" w:rsidRPr="00A518C1">
        <w:t>4</w:t>
      </w:r>
      <w:r w:rsidRPr="00A518C1">
        <w:t>.</w:t>
      </w:r>
    </w:p>
    <w:p w14:paraId="2301C0C8" w14:textId="77777777" w:rsidR="00E43F68" w:rsidRPr="00A518C1" w:rsidRDefault="00E43F68" w:rsidP="00E43F68">
      <w:pPr>
        <w:pStyle w:val="Default"/>
        <w:ind w:left="709" w:hanging="709"/>
      </w:pPr>
    </w:p>
    <w:p w14:paraId="154D8C81" w14:textId="77777777" w:rsidR="00E43F68" w:rsidRPr="00A518C1" w:rsidRDefault="00E43F68" w:rsidP="00E43F68">
      <w:pPr>
        <w:pStyle w:val="Default"/>
        <w:ind w:left="709" w:hanging="709"/>
      </w:pPr>
      <w:r w:rsidRPr="00A518C1">
        <w:t>4.3</w:t>
      </w:r>
      <w:r w:rsidRPr="00A518C1">
        <w:tab/>
        <w:t xml:space="preserve">Surplus </w:t>
      </w:r>
      <w:r w:rsidR="002F12FC">
        <w:t>a</w:t>
      </w:r>
      <w:r w:rsidRPr="00A518C1">
        <w:t xml:space="preserve">ssets are disposed </w:t>
      </w:r>
      <w:r w:rsidR="000712E8" w:rsidRPr="00A518C1">
        <w:t>of,</w:t>
      </w:r>
      <w:r w:rsidRPr="00A518C1">
        <w:t xml:space="preserve"> and all receipts are treated as a corporate resource and </w:t>
      </w:r>
      <w:r w:rsidR="002F12FC">
        <w:t xml:space="preserve">are </w:t>
      </w:r>
      <w:r w:rsidRPr="00A518C1">
        <w:t>used to underpin and support the Capital Strategy</w:t>
      </w:r>
      <w:r w:rsidR="002F12FC">
        <w:t>. This is done</w:t>
      </w:r>
      <w:r w:rsidRPr="00A518C1">
        <w:t xml:space="preserve"> in line with the Flexible Use of Capital Receipts Strategy</w:t>
      </w:r>
      <w:r w:rsidR="002F12FC">
        <w:t>,</w:t>
      </w:r>
      <w:r w:rsidRPr="00A518C1">
        <w:t xml:space="preserve"> which will be approved alongside the Capital Strategy (see Appendix A).</w:t>
      </w:r>
    </w:p>
    <w:p w14:paraId="5B13EE27" w14:textId="77777777" w:rsidR="00E43F68" w:rsidRPr="00A518C1" w:rsidRDefault="00E43F68" w:rsidP="00E43F68">
      <w:pPr>
        <w:pStyle w:val="Default"/>
        <w:ind w:left="709" w:hanging="709"/>
      </w:pPr>
    </w:p>
    <w:p w14:paraId="26A43E56" w14:textId="77777777" w:rsidR="00E43F68" w:rsidRPr="00A518C1" w:rsidRDefault="00E43F68" w:rsidP="00E43F68">
      <w:pPr>
        <w:pStyle w:val="Default"/>
        <w:ind w:left="709" w:hanging="709"/>
      </w:pPr>
      <w:r w:rsidRPr="00A518C1">
        <w:t>4.4</w:t>
      </w:r>
      <w:r w:rsidRPr="00A518C1">
        <w:tab/>
        <w:t xml:space="preserve">The main limiting factor on the Authority’s ability to undertake capital expenditure is whether the revenue resource is available to support in full the implications of capital expenditure, both borrowing costs and running costs, after allowing for any support provided by central government. </w:t>
      </w:r>
    </w:p>
    <w:p w14:paraId="05F83FDD" w14:textId="77777777" w:rsidR="00E43F68" w:rsidRPr="00A518C1" w:rsidRDefault="00E43F68" w:rsidP="00E43F68">
      <w:pPr>
        <w:pStyle w:val="Default"/>
        <w:ind w:left="709" w:hanging="709"/>
      </w:pPr>
    </w:p>
    <w:p w14:paraId="1FB6B3DD" w14:textId="77777777" w:rsidR="00E43F68" w:rsidRPr="00A518C1" w:rsidRDefault="00E43F68" w:rsidP="00E43F68">
      <w:pPr>
        <w:pStyle w:val="Default"/>
        <w:ind w:left="709" w:hanging="709"/>
      </w:pPr>
      <w:r w:rsidRPr="00A518C1">
        <w:t>4.5</w:t>
      </w:r>
      <w:r w:rsidRPr="00A518C1">
        <w:tab/>
        <w:t xml:space="preserve">Capital financing charges </w:t>
      </w:r>
      <w:r w:rsidR="00E37C10" w:rsidRPr="00A518C1">
        <w:t xml:space="preserve">are expected to </w:t>
      </w:r>
      <w:r w:rsidRPr="00A518C1">
        <w:t>represent 5.</w:t>
      </w:r>
      <w:r w:rsidR="003A2264" w:rsidRPr="00A518C1">
        <w:t>0</w:t>
      </w:r>
      <w:r w:rsidRPr="00A518C1">
        <w:t xml:space="preserve">% of the Authority’s revenue budget </w:t>
      </w:r>
      <w:r w:rsidR="00E37C10" w:rsidRPr="00A518C1">
        <w:t xml:space="preserve">by the end of </w:t>
      </w:r>
      <w:r w:rsidR="004B6C98" w:rsidRPr="00A518C1">
        <w:t>202</w:t>
      </w:r>
      <w:r w:rsidR="003A2264" w:rsidRPr="00A518C1">
        <w:t>3</w:t>
      </w:r>
      <w:r w:rsidR="004B6C98" w:rsidRPr="00A518C1">
        <w:t>/24</w:t>
      </w:r>
      <w:r w:rsidR="002F73D6">
        <w:t>,</w:t>
      </w:r>
      <w:r w:rsidR="00E37C10" w:rsidRPr="00A518C1">
        <w:t xml:space="preserve"> </w:t>
      </w:r>
      <w:r w:rsidRPr="00A518C1">
        <w:t xml:space="preserve">which is considered within prudent limits. On 24 October 2008, the Finance and Resources Committee set a maximum limit for this ratio of 8% in order to meet the </w:t>
      </w:r>
      <w:r w:rsidR="002F73D6">
        <w:t>P</w:t>
      </w:r>
      <w:r w:rsidRPr="00A518C1">
        <w:t xml:space="preserve">rudential </w:t>
      </w:r>
      <w:r w:rsidR="002F73D6">
        <w:t>C</w:t>
      </w:r>
      <w:r w:rsidRPr="00A518C1">
        <w:t xml:space="preserve">ode requirements of affordability and sustainability (as part of the Sustainable Capital Plans Report).  This ratio forms one of the Prudential Indicators approved by Fire Authority as part of the Prudential Code for Capital Finance report considered in February of each year.  It is not proposed to change the 8% cap on this ratio.  The 10-year proposed capital programme </w:t>
      </w:r>
      <w:r w:rsidR="00EF4147" w:rsidRPr="00A518C1">
        <w:t>is indicative at this stage and will need to be reviewed as the needs of the Authority change</w:t>
      </w:r>
      <w:r w:rsidR="00EF4147" w:rsidRPr="00E05E60">
        <w:t xml:space="preserve"> </w:t>
      </w:r>
      <w:r w:rsidR="00EF4147" w:rsidRPr="00A518C1">
        <w:t>and to reflect changes in interest rates</w:t>
      </w:r>
      <w:r w:rsidRPr="00A518C1">
        <w:t>.</w:t>
      </w:r>
      <w:r w:rsidR="00F8777C" w:rsidRPr="00A518C1">
        <w:t xml:space="preserve">  There is currently a risk that it will be </w:t>
      </w:r>
      <w:r w:rsidR="00F8777C" w:rsidRPr="00A518C1">
        <w:lastRenderedPageBreak/>
        <w:t xml:space="preserve">breached </w:t>
      </w:r>
      <w:r w:rsidR="008E2851" w:rsidRPr="00A518C1">
        <w:t>be</w:t>
      </w:r>
      <w:r w:rsidR="00E05088" w:rsidRPr="00A518C1">
        <w:t>yond</w:t>
      </w:r>
      <w:r w:rsidR="00F8777C" w:rsidRPr="00A518C1">
        <w:t xml:space="preserve"> </w:t>
      </w:r>
      <w:r w:rsidR="004B6C98" w:rsidRPr="00A518C1">
        <w:t>202</w:t>
      </w:r>
      <w:r w:rsidR="00C876C8" w:rsidRPr="00A518C1">
        <w:t>8</w:t>
      </w:r>
      <w:r w:rsidR="004B6C98" w:rsidRPr="00A518C1">
        <w:t>/2</w:t>
      </w:r>
      <w:r w:rsidR="00C876C8" w:rsidRPr="00A518C1">
        <w:t>9</w:t>
      </w:r>
      <w:r w:rsidR="008E2851" w:rsidRPr="00A518C1">
        <w:t>.  This may change once revenue budget figures are finalised</w:t>
      </w:r>
      <w:r w:rsidR="00E05088" w:rsidRPr="00A518C1">
        <w:t>,</w:t>
      </w:r>
      <w:r w:rsidR="008E2851" w:rsidRPr="00A518C1">
        <w:t xml:space="preserve"> capital costs</w:t>
      </w:r>
      <w:r w:rsidR="002F73D6">
        <w:t xml:space="preserve"> are</w:t>
      </w:r>
      <w:r w:rsidR="008E2851" w:rsidRPr="00A518C1">
        <w:t xml:space="preserve"> confirmed</w:t>
      </w:r>
      <w:r w:rsidR="00E05088" w:rsidRPr="00A518C1">
        <w:t xml:space="preserve"> and interest rates become more predictable</w:t>
      </w:r>
      <w:r w:rsidR="008E2851" w:rsidRPr="00A518C1">
        <w:t>.</w:t>
      </w:r>
      <w:r w:rsidR="00F8777C" w:rsidRPr="00A518C1">
        <w:t xml:space="preserve">  The programme will be altered in future years to ensure the 8% limit is not exceeded.</w:t>
      </w:r>
    </w:p>
    <w:p w14:paraId="3F1EF010" w14:textId="77777777" w:rsidR="00E43F68" w:rsidRPr="00A518C1" w:rsidRDefault="00E43F68" w:rsidP="00E43F68">
      <w:pPr>
        <w:pStyle w:val="Default"/>
      </w:pPr>
    </w:p>
    <w:p w14:paraId="20EC7A4B" w14:textId="77777777" w:rsidR="00E43F68" w:rsidRPr="00A518C1" w:rsidRDefault="00E43F68" w:rsidP="00E43F68">
      <w:pPr>
        <w:pStyle w:val="Default"/>
        <w:rPr>
          <w:b/>
        </w:rPr>
      </w:pPr>
      <w:r w:rsidRPr="00A518C1">
        <w:rPr>
          <w:b/>
        </w:rPr>
        <w:t>5</w:t>
      </w:r>
      <w:r w:rsidRPr="00A518C1">
        <w:rPr>
          <w:b/>
        </w:rPr>
        <w:tab/>
        <w:t>SUMMARY</w:t>
      </w:r>
    </w:p>
    <w:p w14:paraId="2B1C58FA" w14:textId="77777777" w:rsidR="00E43F68" w:rsidRPr="00A518C1" w:rsidRDefault="00E43F68" w:rsidP="00E43F68">
      <w:pPr>
        <w:pStyle w:val="Default"/>
        <w:rPr>
          <w:b/>
        </w:rPr>
      </w:pPr>
    </w:p>
    <w:p w14:paraId="798E3E77" w14:textId="77777777" w:rsidR="00E43F68" w:rsidRPr="00A518C1" w:rsidRDefault="00E43F68" w:rsidP="00E43F68">
      <w:pPr>
        <w:pStyle w:val="Default"/>
        <w:ind w:left="709" w:hanging="709"/>
      </w:pPr>
      <w:r w:rsidRPr="00A518C1">
        <w:t>5.1</w:t>
      </w:r>
      <w:r w:rsidRPr="00A518C1">
        <w:tab/>
        <w:t>This Capital Strategy is a key corporate document that outlines how the Authority intends to optimise the use of available capital resources to help achieve its objectives. Capital expenditure is a major cost to the Authority and as a result it is necessary to ensure that key programmes of work requiring capital expenditure have been properly identified, evaluated, prioritised and authorised.</w:t>
      </w:r>
    </w:p>
    <w:p w14:paraId="60FF5EA7" w14:textId="77777777" w:rsidR="00E43F68" w:rsidRPr="00A518C1" w:rsidRDefault="00E43F68" w:rsidP="00E43F68">
      <w:pPr>
        <w:pStyle w:val="Default"/>
        <w:ind w:left="709" w:hanging="709"/>
      </w:pPr>
    </w:p>
    <w:p w14:paraId="3FDF1D96" w14:textId="77777777" w:rsidR="00E43F68" w:rsidRPr="00A518C1" w:rsidRDefault="00E43F68" w:rsidP="00E43F68">
      <w:pPr>
        <w:pStyle w:val="Default"/>
        <w:ind w:left="709" w:hanging="709"/>
      </w:pPr>
      <w:r w:rsidRPr="00A518C1">
        <w:t>5.2</w:t>
      </w:r>
      <w:r w:rsidRPr="00A518C1">
        <w:tab/>
        <w:t>Due to the long-term impact of the Capital Programme and the high levels of expenditure involved, strong and effective governance arrangements have been put in place to manage any associated risks.</w:t>
      </w:r>
    </w:p>
    <w:p w14:paraId="6D7ED310" w14:textId="77777777" w:rsidR="00E43F68" w:rsidRPr="00A518C1" w:rsidRDefault="00E43F68" w:rsidP="00E43F68">
      <w:pPr>
        <w:pStyle w:val="Default"/>
        <w:ind w:left="709" w:hanging="709"/>
      </w:pPr>
    </w:p>
    <w:p w14:paraId="35740945" w14:textId="77777777" w:rsidR="00E43F68" w:rsidRPr="00E05E60" w:rsidRDefault="00E43F68" w:rsidP="00E43F68">
      <w:pPr>
        <w:pStyle w:val="Default"/>
        <w:ind w:left="709" w:hanging="709"/>
        <w:rPr>
          <w:b/>
        </w:rPr>
      </w:pPr>
      <w:r w:rsidRPr="00A518C1">
        <w:t>5.3</w:t>
      </w:r>
      <w:r w:rsidRPr="00A518C1">
        <w:tab/>
        <w:t>The Authority continues to plan for its Capital Expenditure in such a way that ensures that it is affordable, prudent and sustainable.</w:t>
      </w:r>
    </w:p>
    <w:p w14:paraId="3F946AAB" w14:textId="77777777" w:rsidR="00E43F68" w:rsidRPr="00E05E60" w:rsidRDefault="00E43F68" w:rsidP="00E43F68">
      <w:pPr>
        <w:pStyle w:val="Default"/>
      </w:pPr>
    </w:p>
    <w:p w14:paraId="3BCCEA5A" w14:textId="77777777" w:rsidR="00E43F68" w:rsidRPr="00E05E60" w:rsidRDefault="00E43F68" w:rsidP="00E43F68">
      <w:pPr>
        <w:pStyle w:val="Default"/>
      </w:pPr>
    </w:p>
    <w:p w14:paraId="3F475C6E" w14:textId="77777777" w:rsidR="00E43F68" w:rsidRPr="00E05E60" w:rsidRDefault="00E43F68" w:rsidP="00E43F68">
      <w:pPr>
        <w:pStyle w:val="Default"/>
        <w:rPr>
          <w:color w:val="auto"/>
        </w:rPr>
      </w:pPr>
    </w:p>
    <w:p w14:paraId="2FB1CAB8" w14:textId="77777777" w:rsidR="00E43F68" w:rsidRPr="00E05E60" w:rsidRDefault="00E43F68" w:rsidP="00E43F68">
      <w:pPr>
        <w:rPr>
          <w:sz w:val="24"/>
          <w:szCs w:val="24"/>
        </w:rPr>
      </w:pPr>
    </w:p>
    <w:p w14:paraId="52BAB7C1" w14:textId="77777777" w:rsidR="00E43F68" w:rsidRPr="00E05E60" w:rsidRDefault="00E43F68" w:rsidP="00E43F68">
      <w:pPr>
        <w:spacing w:after="160" w:line="259" w:lineRule="auto"/>
        <w:rPr>
          <w:rFonts w:eastAsia="Calibri"/>
          <w:color w:val="000000"/>
          <w:sz w:val="24"/>
          <w:szCs w:val="24"/>
        </w:rPr>
      </w:pPr>
      <w:r w:rsidRPr="00E05E60">
        <w:br w:type="page"/>
      </w:r>
    </w:p>
    <w:p w14:paraId="602848D1" w14:textId="77777777" w:rsidR="00E43F68" w:rsidRPr="00E05E60" w:rsidRDefault="00E43F68" w:rsidP="00E43F68">
      <w:pPr>
        <w:jc w:val="right"/>
        <w:rPr>
          <w:b/>
          <w:sz w:val="24"/>
          <w:szCs w:val="24"/>
        </w:rPr>
      </w:pPr>
      <w:r w:rsidRPr="00E05E60">
        <w:rPr>
          <w:b/>
          <w:sz w:val="24"/>
          <w:szCs w:val="24"/>
        </w:rPr>
        <w:lastRenderedPageBreak/>
        <w:t>APPENDIX A</w:t>
      </w:r>
    </w:p>
    <w:p w14:paraId="047E74BD" w14:textId="77777777" w:rsidR="00E43F68" w:rsidRPr="00E05E60" w:rsidRDefault="00E43F68" w:rsidP="00E43F68">
      <w:pPr>
        <w:jc w:val="center"/>
        <w:rPr>
          <w:b/>
          <w:sz w:val="24"/>
          <w:szCs w:val="24"/>
        </w:rPr>
      </w:pPr>
    </w:p>
    <w:p w14:paraId="02511EFA" w14:textId="77777777" w:rsidR="00E43F68" w:rsidRPr="00E05E60" w:rsidRDefault="00E43F68" w:rsidP="00E43F68">
      <w:pPr>
        <w:jc w:val="center"/>
        <w:rPr>
          <w:b/>
          <w:sz w:val="24"/>
          <w:szCs w:val="24"/>
        </w:rPr>
      </w:pPr>
    </w:p>
    <w:p w14:paraId="7D1E05A7" w14:textId="77777777" w:rsidR="00E43F68" w:rsidRPr="00E05E60" w:rsidRDefault="00E43F68" w:rsidP="00E43F68">
      <w:pPr>
        <w:jc w:val="center"/>
        <w:rPr>
          <w:b/>
          <w:sz w:val="24"/>
          <w:szCs w:val="24"/>
        </w:rPr>
      </w:pPr>
      <w:r w:rsidRPr="00E05E60">
        <w:rPr>
          <w:b/>
          <w:sz w:val="24"/>
          <w:szCs w:val="24"/>
        </w:rPr>
        <w:t>FLEXIBLE USE OF CAPITAL RECEIPTS STRATEGY</w:t>
      </w:r>
    </w:p>
    <w:p w14:paraId="03CBD7A7" w14:textId="77777777" w:rsidR="00E43F68" w:rsidRPr="00E05E60" w:rsidRDefault="00E43F68" w:rsidP="00E43F68">
      <w:pPr>
        <w:rPr>
          <w:sz w:val="24"/>
          <w:szCs w:val="24"/>
        </w:rPr>
      </w:pPr>
    </w:p>
    <w:p w14:paraId="3E1CCF26" w14:textId="77777777" w:rsidR="00E43F68" w:rsidRPr="00E05E60" w:rsidRDefault="00E43F68" w:rsidP="00E43F68">
      <w:pPr>
        <w:rPr>
          <w:b/>
          <w:sz w:val="24"/>
          <w:szCs w:val="24"/>
        </w:rPr>
      </w:pPr>
      <w:r w:rsidRPr="00E05E60">
        <w:rPr>
          <w:b/>
          <w:sz w:val="24"/>
          <w:szCs w:val="24"/>
        </w:rPr>
        <w:t>Introduction</w:t>
      </w:r>
    </w:p>
    <w:p w14:paraId="7243C875" w14:textId="77777777" w:rsidR="00E43F68" w:rsidRPr="00E05E60" w:rsidRDefault="00E43F68" w:rsidP="00E43F68">
      <w:pPr>
        <w:rPr>
          <w:sz w:val="24"/>
          <w:szCs w:val="24"/>
        </w:rPr>
      </w:pPr>
    </w:p>
    <w:p w14:paraId="2D6E20AC" w14:textId="77777777" w:rsidR="00E43F68" w:rsidRPr="00A518C1" w:rsidRDefault="006134F1" w:rsidP="00E43F68">
      <w:pPr>
        <w:rPr>
          <w:sz w:val="24"/>
          <w:szCs w:val="24"/>
        </w:rPr>
      </w:pPr>
      <w:r w:rsidRPr="00A518C1">
        <w:rPr>
          <w:sz w:val="24"/>
          <w:szCs w:val="24"/>
        </w:rPr>
        <w:t>Statutory Guidance relating to the flexible use of capital receipts (updated August 2022) permits</w:t>
      </w:r>
      <w:r w:rsidR="00E43F68" w:rsidRPr="00A518C1">
        <w:rPr>
          <w:sz w:val="24"/>
          <w:szCs w:val="24"/>
        </w:rPr>
        <w:t xml:space="preserve"> local authorities to spend up to 100% of their capital receipts from the sale of fixed assets on the revenue cost of reform projects. This gives local authorities the power to treat as capital expenditure, expenditure which is incurred in generating on-going revenue savings in the delivery of public services either by way of reducing the cost of or reducing demand for services in future years. This impact of cost or demand reduction can be realised by any public-sector delivery partners but must be properly incurred by authorities </w:t>
      </w:r>
      <w:r w:rsidR="00624AAB" w:rsidRPr="00A518C1">
        <w:rPr>
          <w:sz w:val="24"/>
          <w:szCs w:val="24"/>
        </w:rPr>
        <w:t xml:space="preserve">by the end of </w:t>
      </w:r>
      <w:r w:rsidR="004B6C98" w:rsidRPr="00A518C1">
        <w:rPr>
          <w:sz w:val="24"/>
          <w:szCs w:val="24"/>
        </w:rPr>
        <w:t>202</w:t>
      </w:r>
      <w:r w:rsidR="001173EA" w:rsidRPr="00A518C1">
        <w:rPr>
          <w:sz w:val="24"/>
          <w:szCs w:val="24"/>
        </w:rPr>
        <w:t>4</w:t>
      </w:r>
      <w:r w:rsidR="004B6C98" w:rsidRPr="00A518C1">
        <w:rPr>
          <w:sz w:val="24"/>
          <w:szCs w:val="24"/>
        </w:rPr>
        <w:t>/2</w:t>
      </w:r>
      <w:r w:rsidR="001173EA" w:rsidRPr="00A518C1">
        <w:rPr>
          <w:sz w:val="24"/>
          <w:szCs w:val="24"/>
        </w:rPr>
        <w:t>5</w:t>
      </w:r>
      <w:r w:rsidR="00BF3BF5" w:rsidRPr="00A518C1">
        <w:rPr>
          <w:sz w:val="24"/>
          <w:szCs w:val="24"/>
        </w:rPr>
        <w:t>.</w:t>
      </w:r>
    </w:p>
    <w:p w14:paraId="74E83D2C" w14:textId="77777777" w:rsidR="00E43F68" w:rsidRPr="00A518C1" w:rsidRDefault="00E43F68" w:rsidP="00E43F68">
      <w:pPr>
        <w:rPr>
          <w:sz w:val="24"/>
          <w:szCs w:val="24"/>
        </w:rPr>
      </w:pPr>
    </w:p>
    <w:p w14:paraId="0C7FC742" w14:textId="77777777" w:rsidR="00E43F68" w:rsidRPr="00A518C1" w:rsidRDefault="00E43F68" w:rsidP="00E43F68">
      <w:pPr>
        <w:rPr>
          <w:sz w:val="24"/>
          <w:szCs w:val="24"/>
        </w:rPr>
      </w:pPr>
      <w:r w:rsidRPr="00A518C1">
        <w:rPr>
          <w:sz w:val="24"/>
          <w:szCs w:val="24"/>
        </w:rPr>
        <w:t xml:space="preserve">This new power and its guidance </w:t>
      </w:r>
      <w:r w:rsidR="00E85687" w:rsidRPr="00A518C1">
        <w:rPr>
          <w:sz w:val="24"/>
          <w:szCs w:val="24"/>
        </w:rPr>
        <w:t>are</w:t>
      </w:r>
      <w:r w:rsidRPr="00A518C1">
        <w:rPr>
          <w:sz w:val="24"/>
          <w:szCs w:val="24"/>
        </w:rPr>
        <w:t xml:space="preserve"> issued under Section 15(1) of the Local Government Act 2003, which requires local authorities to have regard to guidance that the Secretary of State may specify.</w:t>
      </w:r>
    </w:p>
    <w:p w14:paraId="1D0BF5A3" w14:textId="77777777" w:rsidR="00E43F68" w:rsidRPr="00A518C1" w:rsidRDefault="00E43F68" w:rsidP="00E43F68">
      <w:pPr>
        <w:rPr>
          <w:sz w:val="24"/>
          <w:szCs w:val="24"/>
        </w:rPr>
      </w:pPr>
    </w:p>
    <w:p w14:paraId="6EDB2CB4" w14:textId="77777777" w:rsidR="00E43F68" w:rsidRPr="00A518C1" w:rsidRDefault="00E43F68" w:rsidP="00E43F68">
      <w:pPr>
        <w:rPr>
          <w:b/>
          <w:sz w:val="24"/>
          <w:szCs w:val="24"/>
        </w:rPr>
      </w:pPr>
      <w:r w:rsidRPr="00A518C1">
        <w:rPr>
          <w:b/>
          <w:sz w:val="24"/>
          <w:szCs w:val="24"/>
        </w:rPr>
        <w:t>Application</w:t>
      </w:r>
    </w:p>
    <w:p w14:paraId="694EE1F6" w14:textId="77777777" w:rsidR="00E43F68" w:rsidRPr="003546DD" w:rsidRDefault="00E43F68" w:rsidP="00E43F68">
      <w:pPr>
        <w:rPr>
          <w:sz w:val="24"/>
          <w:szCs w:val="24"/>
          <w:highlight w:val="green"/>
        </w:rPr>
      </w:pPr>
    </w:p>
    <w:p w14:paraId="123F7BDA" w14:textId="77777777" w:rsidR="00BF3BF5" w:rsidRPr="00A518C1" w:rsidRDefault="00E43F68" w:rsidP="00E43F68">
      <w:pPr>
        <w:rPr>
          <w:sz w:val="24"/>
          <w:szCs w:val="24"/>
        </w:rPr>
      </w:pPr>
      <w:r w:rsidRPr="00A518C1">
        <w:rPr>
          <w:sz w:val="24"/>
          <w:szCs w:val="24"/>
        </w:rPr>
        <w:t>The guidance specifies that authorities may not borrow to finance the revenue costs of service reform, nor may they use capital receipts accumulated from prior years. The key criteria to be used when deciding whether expenditure can be funded by the capital receipts flexibility is that it is forecast to generate on-going savings to an authority’s or several authorities’ and / or to another public-sector body’s net service expenditure.</w:t>
      </w:r>
      <w:r w:rsidR="00BF3BF5" w:rsidRPr="00A518C1">
        <w:rPr>
          <w:sz w:val="24"/>
          <w:szCs w:val="24"/>
        </w:rPr>
        <w:t xml:space="preserve">  </w:t>
      </w:r>
    </w:p>
    <w:p w14:paraId="287F19BC" w14:textId="77777777" w:rsidR="00BF3BF5" w:rsidRPr="00A518C1" w:rsidRDefault="00BF3BF5" w:rsidP="00E43F68">
      <w:pPr>
        <w:rPr>
          <w:sz w:val="24"/>
          <w:szCs w:val="24"/>
        </w:rPr>
      </w:pPr>
    </w:p>
    <w:p w14:paraId="2F0B1C56" w14:textId="77777777" w:rsidR="00BF3BF5" w:rsidRPr="00A518C1" w:rsidRDefault="00BF3BF5" w:rsidP="00E43F68">
      <w:pPr>
        <w:rPr>
          <w:b/>
          <w:bCs/>
          <w:sz w:val="24"/>
          <w:szCs w:val="24"/>
        </w:rPr>
      </w:pPr>
      <w:r w:rsidRPr="00A518C1">
        <w:rPr>
          <w:b/>
          <w:bCs/>
          <w:sz w:val="24"/>
          <w:szCs w:val="24"/>
        </w:rPr>
        <w:t>Qualifying Expenditure</w:t>
      </w:r>
    </w:p>
    <w:p w14:paraId="584ADD51" w14:textId="77777777" w:rsidR="00BF3BF5" w:rsidRPr="00A518C1" w:rsidRDefault="00BF3BF5" w:rsidP="00E43F68">
      <w:pPr>
        <w:rPr>
          <w:b/>
          <w:bCs/>
          <w:sz w:val="24"/>
          <w:szCs w:val="24"/>
        </w:rPr>
      </w:pPr>
    </w:p>
    <w:p w14:paraId="4B19509B" w14:textId="77777777" w:rsidR="00E43F68" w:rsidRPr="00A518C1" w:rsidRDefault="00BF3BF5" w:rsidP="00E43F68">
      <w:pPr>
        <w:rPr>
          <w:sz w:val="24"/>
          <w:szCs w:val="24"/>
        </w:rPr>
      </w:pPr>
      <w:r w:rsidRPr="00A518C1">
        <w:rPr>
          <w:sz w:val="24"/>
          <w:szCs w:val="24"/>
        </w:rPr>
        <w:t xml:space="preserve">Examples of projects that may generate qualifying expenditure include setting up alternative delivery models to deliver services more efficiently.  However, </w:t>
      </w:r>
      <w:r w:rsidR="006134F1" w:rsidRPr="00A518C1">
        <w:rPr>
          <w:sz w:val="24"/>
          <w:szCs w:val="24"/>
        </w:rPr>
        <w:t xml:space="preserve">the qualifying expenditure for these projects is limited to set up and implementation costs.  The ongoing revenue costs of new processes or arrangements cannot be classified as qualifying expenditure.  Furthermore, with respect to redundancy payments, qualifying expenditure is limited to statutory payments - the guidance explicitly excludes non statutory payments and pension strain costs, which would still need to be met from the Authority’s revenue funding. </w:t>
      </w:r>
    </w:p>
    <w:p w14:paraId="25361E88" w14:textId="77777777" w:rsidR="00E43F68" w:rsidRPr="00A518C1" w:rsidRDefault="00E43F68" w:rsidP="00E43F68">
      <w:pPr>
        <w:rPr>
          <w:sz w:val="24"/>
          <w:szCs w:val="24"/>
        </w:rPr>
      </w:pPr>
    </w:p>
    <w:p w14:paraId="283E012E" w14:textId="77777777" w:rsidR="00E43F68" w:rsidRPr="00A518C1" w:rsidRDefault="00E43F68" w:rsidP="00E43F68">
      <w:pPr>
        <w:rPr>
          <w:b/>
          <w:sz w:val="24"/>
          <w:szCs w:val="24"/>
        </w:rPr>
      </w:pPr>
      <w:r w:rsidRPr="00A518C1">
        <w:rPr>
          <w:b/>
          <w:sz w:val="24"/>
          <w:szCs w:val="24"/>
        </w:rPr>
        <w:t>Accountability and Transparency</w:t>
      </w:r>
    </w:p>
    <w:p w14:paraId="6DBFF6E8" w14:textId="77777777" w:rsidR="00E43F68" w:rsidRPr="00A518C1" w:rsidRDefault="00E43F68" w:rsidP="00E43F68">
      <w:pPr>
        <w:rPr>
          <w:sz w:val="24"/>
          <w:szCs w:val="24"/>
        </w:rPr>
      </w:pPr>
    </w:p>
    <w:p w14:paraId="78702122" w14:textId="77777777" w:rsidR="00E43F68" w:rsidRPr="00A518C1" w:rsidRDefault="00E43F68" w:rsidP="00E43F68">
      <w:pPr>
        <w:rPr>
          <w:sz w:val="24"/>
          <w:szCs w:val="24"/>
        </w:rPr>
      </w:pPr>
      <w:r w:rsidRPr="00A518C1">
        <w:rPr>
          <w:sz w:val="24"/>
          <w:szCs w:val="24"/>
        </w:rPr>
        <w:t xml:space="preserve">The guidance specifies that authorities must disclose the individual projects that will be </w:t>
      </w:r>
      <w:r w:rsidR="009D239F" w:rsidRPr="00A518C1">
        <w:rPr>
          <w:sz w:val="24"/>
          <w:szCs w:val="24"/>
        </w:rPr>
        <w:t>funded,</w:t>
      </w:r>
      <w:r w:rsidRPr="00A518C1">
        <w:rPr>
          <w:sz w:val="24"/>
          <w:szCs w:val="24"/>
        </w:rPr>
        <w:t xml:space="preserve"> or part funded through capital receipts flexibility to the full Fire Authority. This requirement can be satisfied as part of the annual budget setting process or through the Medium Term Financial Strategy. It is recommended that the disclosure of projects to be funded in this way should be made prior to the start of each financial year, however if the strategy is updated part way through the year it must be approved by the Fire Authority and notified to central government. A revised strategy must also include the impact on Prudential Indicators. Both the initial strategy and any revised strategy must be made available online to the public.</w:t>
      </w:r>
    </w:p>
    <w:p w14:paraId="00B40320" w14:textId="77777777" w:rsidR="00E43F68" w:rsidRPr="003546DD" w:rsidRDefault="00E43F68" w:rsidP="00E43F68">
      <w:pPr>
        <w:rPr>
          <w:sz w:val="24"/>
          <w:szCs w:val="24"/>
          <w:highlight w:val="green"/>
        </w:rPr>
      </w:pPr>
    </w:p>
    <w:p w14:paraId="14E89A26" w14:textId="77777777" w:rsidR="00E43F68" w:rsidRPr="00A518C1" w:rsidRDefault="00E43F68" w:rsidP="00E43F68">
      <w:pPr>
        <w:rPr>
          <w:sz w:val="24"/>
          <w:szCs w:val="24"/>
        </w:rPr>
      </w:pPr>
      <w:r w:rsidRPr="00A518C1">
        <w:rPr>
          <w:sz w:val="24"/>
          <w:szCs w:val="24"/>
        </w:rPr>
        <w:lastRenderedPageBreak/>
        <w:t xml:space="preserve">The strategy must list each project to be funded through capital receipts flexibility, with details of the expected savings and service transformation. </w:t>
      </w:r>
      <w:r w:rsidR="0092081D">
        <w:rPr>
          <w:sz w:val="24"/>
          <w:szCs w:val="24"/>
        </w:rPr>
        <w:t xml:space="preserve"> Details </w:t>
      </w:r>
      <w:r w:rsidRPr="00A518C1">
        <w:rPr>
          <w:sz w:val="24"/>
          <w:szCs w:val="24"/>
        </w:rPr>
        <w:t xml:space="preserve">must </w:t>
      </w:r>
      <w:r w:rsidR="0092081D">
        <w:rPr>
          <w:sz w:val="24"/>
          <w:szCs w:val="24"/>
        </w:rPr>
        <w:t xml:space="preserve">also </w:t>
      </w:r>
      <w:r w:rsidRPr="00A518C1">
        <w:rPr>
          <w:sz w:val="24"/>
          <w:szCs w:val="24"/>
        </w:rPr>
        <w:t>be included of projects approved in previous years</w:t>
      </w:r>
      <w:r w:rsidR="0092081D">
        <w:rPr>
          <w:sz w:val="24"/>
          <w:szCs w:val="24"/>
        </w:rPr>
        <w:t>,</w:t>
      </w:r>
      <w:r w:rsidRPr="00A518C1">
        <w:rPr>
          <w:sz w:val="24"/>
          <w:szCs w:val="24"/>
        </w:rPr>
        <w:t xml:space="preserve"> and progress against achievement of the benefits outline</w:t>
      </w:r>
      <w:r w:rsidR="0092081D">
        <w:rPr>
          <w:sz w:val="24"/>
          <w:szCs w:val="24"/>
        </w:rPr>
        <w:t>d</w:t>
      </w:r>
      <w:r w:rsidRPr="00A518C1">
        <w:rPr>
          <w:sz w:val="24"/>
          <w:szCs w:val="24"/>
        </w:rPr>
        <w:t xml:space="preserve"> in the original strategy.</w:t>
      </w:r>
    </w:p>
    <w:p w14:paraId="3A6E6E23" w14:textId="77777777" w:rsidR="00E43F68" w:rsidRPr="00A518C1" w:rsidRDefault="00E43F68" w:rsidP="00E43F68">
      <w:pPr>
        <w:rPr>
          <w:sz w:val="24"/>
          <w:szCs w:val="24"/>
        </w:rPr>
      </w:pPr>
    </w:p>
    <w:p w14:paraId="3983FAE3" w14:textId="77777777" w:rsidR="00E43F68" w:rsidRPr="00A518C1" w:rsidRDefault="00E43F68" w:rsidP="00E43F68">
      <w:pPr>
        <w:rPr>
          <w:b/>
          <w:sz w:val="24"/>
          <w:szCs w:val="24"/>
        </w:rPr>
      </w:pPr>
      <w:r w:rsidRPr="00A518C1">
        <w:rPr>
          <w:b/>
          <w:sz w:val="24"/>
          <w:szCs w:val="24"/>
        </w:rPr>
        <w:t xml:space="preserve">Capital Receipts Strategy for </w:t>
      </w:r>
      <w:r w:rsidR="004B6C98" w:rsidRPr="00A518C1">
        <w:rPr>
          <w:b/>
          <w:sz w:val="24"/>
          <w:szCs w:val="24"/>
        </w:rPr>
        <w:t>2024/25</w:t>
      </w:r>
    </w:p>
    <w:p w14:paraId="173CA13F" w14:textId="77777777" w:rsidR="00E43F68" w:rsidRPr="00A518C1" w:rsidRDefault="00E43F68" w:rsidP="00E43F68">
      <w:pPr>
        <w:rPr>
          <w:sz w:val="24"/>
          <w:szCs w:val="24"/>
        </w:rPr>
      </w:pPr>
    </w:p>
    <w:p w14:paraId="0C02AC01" w14:textId="77777777" w:rsidR="00E43F68" w:rsidRPr="00A518C1" w:rsidRDefault="00E43F68" w:rsidP="00E43F68">
      <w:pPr>
        <w:rPr>
          <w:sz w:val="24"/>
          <w:szCs w:val="24"/>
        </w:rPr>
      </w:pPr>
      <w:r w:rsidRPr="00A518C1">
        <w:rPr>
          <w:sz w:val="24"/>
          <w:szCs w:val="24"/>
        </w:rPr>
        <w:t xml:space="preserve">For the financial year </w:t>
      </w:r>
      <w:r w:rsidR="004B6C98" w:rsidRPr="00A518C1">
        <w:rPr>
          <w:sz w:val="24"/>
          <w:szCs w:val="24"/>
        </w:rPr>
        <w:t>2024/25</w:t>
      </w:r>
      <w:r w:rsidRPr="00A518C1">
        <w:rPr>
          <w:sz w:val="24"/>
          <w:szCs w:val="24"/>
        </w:rPr>
        <w:t xml:space="preserve"> it is not proposed to fund any reform projects through the capital receipts flexibility. </w:t>
      </w:r>
      <w:r w:rsidR="003867D1" w:rsidRPr="00A518C1">
        <w:rPr>
          <w:sz w:val="24"/>
          <w:szCs w:val="24"/>
        </w:rPr>
        <w:t xml:space="preserve"> This is largely due to the limited nature of qualifying costs that can be funded this way.</w:t>
      </w:r>
      <w:r w:rsidRPr="00A518C1">
        <w:rPr>
          <w:sz w:val="24"/>
          <w:szCs w:val="24"/>
        </w:rPr>
        <w:t xml:space="preserve"> There are currently sufficient funds held in reserves </w:t>
      </w:r>
      <w:r w:rsidR="003867D1" w:rsidRPr="00A518C1">
        <w:rPr>
          <w:sz w:val="24"/>
          <w:szCs w:val="24"/>
        </w:rPr>
        <w:t>to cover costs of transformational projects</w:t>
      </w:r>
      <w:r w:rsidRPr="00A518C1">
        <w:rPr>
          <w:sz w:val="24"/>
          <w:szCs w:val="24"/>
        </w:rPr>
        <w:t xml:space="preserve"> and it is felt that capital receipts would be better used to finance capital expenditure.  This will enable the Authority to minimise the use of borrowing which needs to be kept within the affordable limits as set out in the Prudential Code for Capital Finance.</w:t>
      </w:r>
    </w:p>
    <w:p w14:paraId="5D8D6C17" w14:textId="77777777" w:rsidR="00E43F68" w:rsidRPr="00A518C1" w:rsidRDefault="00E43F68" w:rsidP="00E43F68">
      <w:pPr>
        <w:rPr>
          <w:sz w:val="24"/>
          <w:szCs w:val="24"/>
        </w:rPr>
      </w:pPr>
    </w:p>
    <w:p w14:paraId="1578A45F" w14:textId="77777777" w:rsidR="00E43F68" w:rsidRPr="00E05E60" w:rsidRDefault="00E43F68" w:rsidP="00E43F68">
      <w:pPr>
        <w:rPr>
          <w:sz w:val="24"/>
          <w:szCs w:val="24"/>
        </w:rPr>
      </w:pPr>
      <w:r w:rsidRPr="00A518C1">
        <w:rPr>
          <w:sz w:val="24"/>
          <w:szCs w:val="24"/>
        </w:rPr>
        <w:t xml:space="preserve">If it is felt in the future that the use of capital receipts flexibility would be beneficial to the </w:t>
      </w:r>
      <w:r w:rsidR="00E85687" w:rsidRPr="00A518C1">
        <w:rPr>
          <w:sz w:val="24"/>
          <w:szCs w:val="24"/>
        </w:rPr>
        <w:t>Authority,</w:t>
      </w:r>
      <w:r w:rsidRPr="00A518C1">
        <w:rPr>
          <w:sz w:val="24"/>
          <w:szCs w:val="24"/>
        </w:rPr>
        <w:t xml:space="preserve"> then a revised strategy will be reported to the Fire Authority for approval.</w:t>
      </w:r>
      <w:r w:rsidRPr="00E05E60">
        <w:rPr>
          <w:sz w:val="24"/>
          <w:szCs w:val="24"/>
        </w:rPr>
        <w:t xml:space="preserve"> </w:t>
      </w:r>
    </w:p>
    <w:p w14:paraId="50468735" w14:textId="77777777" w:rsidR="00E43F68" w:rsidRPr="00E05E60" w:rsidRDefault="00E43F68" w:rsidP="00E43F68">
      <w:pPr>
        <w:pStyle w:val="Default"/>
      </w:pPr>
    </w:p>
    <w:p w14:paraId="3CBDED06" w14:textId="77777777" w:rsidR="00E43F68" w:rsidRPr="00E05E60" w:rsidRDefault="00E43F68" w:rsidP="00E43F68">
      <w:pPr>
        <w:pStyle w:val="Default"/>
      </w:pPr>
    </w:p>
    <w:p w14:paraId="5D3AC0D1" w14:textId="77777777" w:rsidR="00E43F68" w:rsidRPr="00E05E60" w:rsidRDefault="00E43F68" w:rsidP="00E43F68">
      <w:pPr>
        <w:rPr>
          <w:b/>
          <w:sz w:val="28"/>
        </w:rPr>
      </w:pPr>
    </w:p>
    <w:p w14:paraId="3203F043" w14:textId="77777777" w:rsidR="00E43F68" w:rsidRPr="00E05E60" w:rsidRDefault="00E43F68" w:rsidP="00E43F68">
      <w:pPr>
        <w:ind w:left="2880" w:right="-1050" w:firstLine="720"/>
        <w:jc w:val="right"/>
        <w:rPr>
          <w:b/>
          <w:bCs/>
          <w:sz w:val="24"/>
          <w:szCs w:val="24"/>
        </w:rPr>
        <w:sectPr w:rsidR="00E43F68" w:rsidRPr="00E05E60" w:rsidSect="00E3312E">
          <w:headerReference w:type="default" r:id="rId13"/>
          <w:pgSz w:w="11906" w:h="16838"/>
          <w:pgMar w:top="1134" w:right="1418" w:bottom="907" w:left="1418" w:header="720" w:footer="720" w:gutter="0"/>
          <w:cols w:space="720"/>
          <w:docGrid w:linePitch="272"/>
        </w:sectPr>
      </w:pPr>
      <w:r w:rsidRPr="00E05E60">
        <w:rPr>
          <w:b/>
          <w:sz w:val="28"/>
        </w:rPr>
        <w:t xml:space="preserve">                  </w:t>
      </w:r>
    </w:p>
    <w:p w14:paraId="5C25081D" w14:textId="77777777" w:rsidR="00E43F68" w:rsidRPr="00E05E60" w:rsidRDefault="00E43F68" w:rsidP="00E43F68">
      <w:pPr>
        <w:pStyle w:val="Style1"/>
        <w:jc w:val="right"/>
        <w:rPr>
          <w:rFonts w:ascii="Arial" w:hAnsi="Arial" w:cs="Arial"/>
          <w:b/>
          <w:sz w:val="24"/>
          <w:szCs w:val="24"/>
        </w:rPr>
      </w:pPr>
      <w:r w:rsidRPr="00E05E60">
        <w:rPr>
          <w:rFonts w:ascii="Arial" w:hAnsi="Arial" w:cs="Arial"/>
          <w:b/>
          <w:sz w:val="24"/>
          <w:szCs w:val="24"/>
        </w:rPr>
        <w:lastRenderedPageBreak/>
        <w:t xml:space="preserve">APPENDIX </w:t>
      </w:r>
      <w:r w:rsidR="002F4096" w:rsidRPr="00E05E60">
        <w:rPr>
          <w:rFonts w:ascii="Arial" w:hAnsi="Arial" w:cs="Arial"/>
          <w:b/>
          <w:sz w:val="24"/>
          <w:szCs w:val="24"/>
        </w:rPr>
        <w:t>2</w:t>
      </w:r>
    </w:p>
    <w:p w14:paraId="13B52F35" w14:textId="77777777" w:rsidR="00E43F68" w:rsidRPr="00A518C1" w:rsidRDefault="00E43F68" w:rsidP="00E43F68">
      <w:pPr>
        <w:pStyle w:val="Style1"/>
        <w:jc w:val="left"/>
        <w:rPr>
          <w:rFonts w:ascii="Arial" w:hAnsi="Arial" w:cs="Arial"/>
          <w:b/>
          <w:sz w:val="24"/>
          <w:szCs w:val="24"/>
        </w:rPr>
      </w:pPr>
      <w:r w:rsidRPr="00A518C1">
        <w:rPr>
          <w:rFonts w:ascii="Arial" w:hAnsi="Arial" w:cs="Arial"/>
          <w:b/>
          <w:sz w:val="24"/>
          <w:szCs w:val="24"/>
        </w:rPr>
        <w:t xml:space="preserve">PROPOSED TEN YEAR CAPITAL PLAN </w:t>
      </w:r>
      <w:r w:rsidR="004B6C98" w:rsidRPr="00A518C1">
        <w:rPr>
          <w:rFonts w:ascii="Arial" w:hAnsi="Arial" w:cs="Arial"/>
          <w:b/>
          <w:sz w:val="24"/>
          <w:szCs w:val="24"/>
        </w:rPr>
        <w:t>2024/25</w:t>
      </w:r>
      <w:r w:rsidRPr="00A518C1">
        <w:rPr>
          <w:rFonts w:ascii="Arial" w:hAnsi="Arial" w:cs="Arial"/>
          <w:b/>
          <w:sz w:val="24"/>
          <w:szCs w:val="24"/>
        </w:rPr>
        <w:t xml:space="preserve"> TO 20</w:t>
      </w:r>
      <w:r w:rsidR="005421AD" w:rsidRPr="00A518C1">
        <w:rPr>
          <w:rFonts w:ascii="Arial" w:hAnsi="Arial" w:cs="Arial"/>
          <w:b/>
          <w:sz w:val="24"/>
          <w:szCs w:val="24"/>
        </w:rPr>
        <w:t>3</w:t>
      </w:r>
      <w:r w:rsidR="004C5CFD" w:rsidRPr="00A518C1">
        <w:rPr>
          <w:rFonts w:ascii="Arial" w:hAnsi="Arial" w:cs="Arial"/>
          <w:b/>
          <w:sz w:val="24"/>
          <w:szCs w:val="24"/>
        </w:rPr>
        <w:t>2</w:t>
      </w:r>
      <w:r w:rsidR="005421AD" w:rsidRPr="00A518C1">
        <w:rPr>
          <w:rFonts w:ascii="Arial" w:hAnsi="Arial" w:cs="Arial"/>
          <w:b/>
          <w:sz w:val="24"/>
          <w:szCs w:val="24"/>
        </w:rPr>
        <w:t>/3</w:t>
      </w:r>
      <w:r w:rsidR="004C5CFD" w:rsidRPr="00A518C1">
        <w:rPr>
          <w:rFonts w:ascii="Arial" w:hAnsi="Arial" w:cs="Arial"/>
          <w:b/>
          <w:sz w:val="24"/>
          <w:szCs w:val="24"/>
        </w:rPr>
        <w:t>3</w:t>
      </w:r>
    </w:p>
    <w:p w14:paraId="28E0C299" w14:textId="77777777" w:rsidR="00E43F68" w:rsidRPr="00A518C1" w:rsidRDefault="00E43F68" w:rsidP="00E43F68">
      <w:pPr>
        <w:rPr>
          <w:b/>
          <w:sz w:val="20"/>
          <w:szCs w:val="20"/>
        </w:rPr>
      </w:pPr>
    </w:p>
    <w:tbl>
      <w:tblPr>
        <w:tblW w:w="13659" w:type="dxa"/>
        <w:tblInd w:w="108" w:type="dxa"/>
        <w:tblLook w:val="04A0" w:firstRow="1" w:lastRow="0" w:firstColumn="1" w:lastColumn="0" w:noHBand="0" w:noVBand="1"/>
      </w:tblPr>
      <w:tblGrid>
        <w:gridCol w:w="3669"/>
        <w:gridCol w:w="999"/>
        <w:gridCol w:w="999"/>
        <w:gridCol w:w="999"/>
        <w:gridCol w:w="989"/>
        <w:gridCol w:w="1009"/>
        <w:gridCol w:w="999"/>
        <w:gridCol w:w="999"/>
        <w:gridCol w:w="999"/>
        <w:gridCol w:w="999"/>
        <w:gridCol w:w="999"/>
      </w:tblGrid>
      <w:tr w:rsidR="00F8146A" w:rsidRPr="00A518C1" w14:paraId="7FC6E07F" w14:textId="77777777" w:rsidTr="00FB0656">
        <w:trPr>
          <w:trHeight w:val="735"/>
        </w:trPr>
        <w:tc>
          <w:tcPr>
            <w:tcW w:w="36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961FDA" w14:textId="77777777" w:rsidR="00F8146A" w:rsidRPr="00A518C1" w:rsidRDefault="00F8146A" w:rsidP="00760A08">
            <w:pPr>
              <w:jc w:val="center"/>
              <w:rPr>
                <w:b/>
                <w:bCs/>
                <w:sz w:val="18"/>
                <w:szCs w:val="18"/>
                <w:lang w:eastAsia="en-GB"/>
              </w:rPr>
            </w:pPr>
            <w:r w:rsidRPr="00A518C1">
              <w:rPr>
                <w:b/>
                <w:bCs/>
                <w:sz w:val="18"/>
                <w:szCs w:val="18"/>
                <w:lang w:eastAsia="en-GB"/>
              </w:rPr>
              <w:t>10 YEAR CAPITAL PROGRAMME</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0750D7D9" w14:textId="77777777" w:rsidR="00F8146A" w:rsidRPr="00A518C1" w:rsidRDefault="00F8146A" w:rsidP="00760A08">
            <w:pPr>
              <w:jc w:val="center"/>
              <w:rPr>
                <w:b/>
                <w:bCs/>
                <w:sz w:val="18"/>
                <w:szCs w:val="18"/>
                <w:lang w:eastAsia="en-GB"/>
              </w:rPr>
            </w:pPr>
            <w:r w:rsidRPr="00A518C1">
              <w:rPr>
                <w:b/>
                <w:bCs/>
                <w:sz w:val="18"/>
                <w:szCs w:val="18"/>
                <w:lang w:eastAsia="en-GB"/>
              </w:rPr>
              <w:t>Budget 2024-25 £'000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437557A7" w14:textId="77777777" w:rsidR="00F8146A" w:rsidRPr="00A518C1" w:rsidRDefault="00F8146A" w:rsidP="00760A08">
            <w:pPr>
              <w:jc w:val="center"/>
              <w:rPr>
                <w:b/>
                <w:bCs/>
                <w:sz w:val="18"/>
                <w:szCs w:val="18"/>
                <w:lang w:eastAsia="en-GB"/>
              </w:rPr>
            </w:pPr>
            <w:r w:rsidRPr="00A518C1">
              <w:rPr>
                <w:b/>
                <w:bCs/>
                <w:sz w:val="18"/>
                <w:szCs w:val="18"/>
                <w:lang w:eastAsia="en-GB"/>
              </w:rPr>
              <w:t>Budget 2025-26 £'000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07B087E0" w14:textId="77777777" w:rsidR="00F8146A" w:rsidRPr="00A518C1" w:rsidRDefault="00F8146A" w:rsidP="00760A08">
            <w:pPr>
              <w:jc w:val="center"/>
              <w:rPr>
                <w:b/>
                <w:bCs/>
                <w:sz w:val="18"/>
                <w:szCs w:val="18"/>
                <w:lang w:eastAsia="en-GB"/>
              </w:rPr>
            </w:pPr>
            <w:r w:rsidRPr="00A518C1">
              <w:rPr>
                <w:b/>
                <w:bCs/>
                <w:sz w:val="18"/>
                <w:szCs w:val="18"/>
                <w:lang w:eastAsia="en-GB"/>
              </w:rPr>
              <w:t>Budget 2026-27 £'000</w:t>
            </w:r>
          </w:p>
        </w:tc>
        <w:tc>
          <w:tcPr>
            <w:tcW w:w="989" w:type="dxa"/>
            <w:tcBorders>
              <w:top w:val="single" w:sz="4" w:space="0" w:color="auto"/>
              <w:left w:val="nil"/>
              <w:bottom w:val="single" w:sz="4" w:space="0" w:color="auto"/>
              <w:right w:val="single" w:sz="4" w:space="0" w:color="auto"/>
            </w:tcBorders>
            <w:shd w:val="clear" w:color="000000" w:fill="D9D9D9"/>
            <w:vAlign w:val="bottom"/>
            <w:hideMark/>
          </w:tcPr>
          <w:p w14:paraId="1A594690" w14:textId="77777777" w:rsidR="00F8146A" w:rsidRPr="00A518C1" w:rsidRDefault="00F8146A" w:rsidP="00760A08">
            <w:pPr>
              <w:jc w:val="center"/>
              <w:rPr>
                <w:b/>
                <w:bCs/>
                <w:sz w:val="18"/>
                <w:szCs w:val="18"/>
                <w:lang w:eastAsia="en-GB"/>
              </w:rPr>
            </w:pPr>
            <w:r w:rsidRPr="00A518C1">
              <w:rPr>
                <w:b/>
                <w:bCs/>
                <w:sz w:val="18"/>
                <w:szCs w:val="18"/>
                <w:lang w:eastAsia="en-GB"/>
              </w:rPr>
              <w:t>Budget 2027-28 £'000</w:t>
            </w:r>
          </w:p>
        </w:tc>
        <w:tc>
          <w:tcPr>
            <w:tcW w:w="1009" w:type="dxa"/>
            <w:tcBorders>
              <w:top w:val="single" w:sz="4" w:space="0" w:color="auto"/>
              <w:left w:val="nil"/>
              <w:bottom w:val="single" w:sz="4" w:space="0" w:color="auto"/>
              <w:right w:val="single" w:sz="4" w:space="0" w:color="auto"/>
            </w:tcBorders>
            <w:shd w:val="clear" w:color="000000" w:fill="D9D9D9"/>
            <w:vAlign w:val="bottom"/>
            <w:hideMark/>
          </w:tcPr>
          <w:p w14:paraId="6DF4BFE7" w14:textId="77777777" w:rsidR="00F8146A" w:rsidRPr="00A518C1" w:rsidRDefault="00F8146A" w:rsidP="00760A08">
            <w:pPr>
              <w:jc w:val="center"/>
              <w:rPr>
                <w:b/>
                <w:bCs/>
                <w:sz w:val="18"/>
                <w:szCs w:val="18"/>
                <w:lang w:eastAsia="en-GB"/>
              </w:rPr>
            </w:pPr>
            <w:r w:rsidRPr="00A518C1">
              <w:rPr>
                <w:b/>
                <w:bCs/>
                <w:sz w:val="18"/>
                <w:szCs w:val="18"/>
                <w:lang w:eastAsia="en-GB"/>
              </w:rPr>
              <w:t>Budget 2028-29 £'000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6172E698" w14:textId="77777777" w:rsidR="00F8146A" w:rsidRPr="00A518C1" w:rsidRDefault="00F8146A" w:rsidP="00760A08">
            <w:pPr>
              <w:jc w:val="center"/>
              <w:rPr>
                <w:b/>
                <w:bCs/>
                <w:sz w:val="18"/>
                <w:szCs w:val="18"/>
                <w:lang w:eastAsia="en-GB"/>
              </w:rPr>
            </w:pPr>
            <w:r w:rsidRPr="00A518C1">
              <w:rPr>
                <w:b/>
                <w:bCs/>
                <w:sz w:val="18"/>
                <w:szCs w:val="18"/>
                <w:lang w:eastAsia="en-GB"/>
              </w:rPr>
              <w:t>Budget 2029-30 £'000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100541CB" w14:textId="77777777" w:rsidR="00F8146A" w:rsidRPr="00A518C1" w:rsidRDefault="00F8146A" w:rsidP="00760A08">
            <w:pPr>
              <w:jc w:val="center"/>
              <w:rPr>
                <w:b/>
                <w:bCs/>
                <w:sz w:val="18"/>
                <w:szCs w:val="18"/>
                <w:lang w:eastAsia="en-GB"/>
              </w:rPr>
            </w:pPr>
            <w:r w:rsidRPr="00A518C1">
              <w:rPr>
                <w:b/>
                <w:bCs/>
                <w:sz w:val="18"/>
                <w:szCs w:val="18"/>
                <w:lang w:eastAsia="en-GB"/>
              </w:rPr>
              <w:t>Budget 2030-31 £'000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34B9C3CA" w14:textId="77777777" w:rsidR="00F8146A" w:rsidRPr="00A518C1" w:rsidRDefault="00F8146A" w:rsidP="00760A08">
            <w:pPr>
              <w:jc w:val="center"/>
              <w:rPr>
                <w:b/>
                <w:bCs/>
                <w:sz w:val="18"/>
                <w:szCs w:val="18"/>
                <w:lang w:eastAsia="en-GB"/>
              </w:rPr>
            </w:pPr>
            <w:r w:rsidRPr="00A518C1">
              <w:rPr>
                <w:b/>
                <w:bCs/>
                <w:sz w:val="18"/>
                <w:szCs w:val="18"/>
                <w:lang w:eastAsia="en-GB"/>
              </w:rPr>
              <w:t>Budget 2031-32 £'000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5598FB51" w14:textId="77777777" w:rsidR="00F8146A" w:rsidRPr="00A518C1" w:rsidRDefault="00F8146A" w:rsidP="00760A08">
            <w:pPr>
              <w:jc w:val="center"/>
              <w:rPr>
                <w:b/>
                <w:bCs/>
                <w:sz w:val="18"/>
                <w:szCs w:val="18"/>
                <w:lang w:eastAsia="en-GB"/>
              </w:rPr>
            </w:pPr>
            <w:r w:rsidRPr="00A518C1">
              <w:rPr>
                <w:b/>
                <w:bCs/>
                <w:sz w:val="18"/>
                <w:szCs w:val="18"/>
                <w:lang w:eastAsia="en-GB"/>
              </w:rPr>
              <w:t>Budget 2032-33 £'000</w:t>
            </w:r>
          </w:p>
        </w:tc>
        <w:tc>
          <w:tcPr>
            <w:tcW w:w="999" w:type="dxa"/>
            <w:tcBorders>
              <w:top w:val="single" w:sz="4" w:space="0" w:color="auto"/>
              <w:left w:val="nil"/>
              <w:bottom w:val="single" w:sz="4" w:space="0" w:color="auto"/>
              <w:right w:val="single" w:sz="4" w:space="0" w:color="auto"/>
            </w:tcBorders>
            <w:shd w:val="clear" w:color="000000" w:fill="D9D9D9"/>
          </w:tcPr>
          <w:p w14:paraId="68EE3195" w14:textId="77777777" w:rsidR="00F8146A" w:rsidRPr="00A518C1" w:rsidRDefault="00F8146A" w:rsidP="00760A08">
            <w:pPr>
              <w:jc w:val="center"/>
              <w:rPr>
                <w:b/>
                <w:bCs/>
                <w:sz w:val="18"/>
                <w:szCs w:val="18"/>
                <w:lang w:eastAsia="en-GB"/>
              </w:rPr>
            </w:pPr>
          </w:p>
          <w:p w14:paraId="14F11532" w14:textId="77777777" w:rsidR="00F8146A" w:rsidRPr="00A518C1" w:rsidRDefault="00F8146A" w:rsidP="00760A08">
            <w:pPr>
              <w:jc w:val="center"/>
              <w:rPr>
                <w:b/>
                <w:bCs/>
                <w:sz w:val="18"/>
                <w:szCs w:val="18"/>
                <w:lang w:eastAsia="en-GB"/>
              </w:rPr>
            </w:pPr>
            <w:r w:rsidRPr="00A518C1">
              <w:rPr>
                <w:b/>
                <w:bCs/>
                <w:sz w:val="18"/>
                <w:szCs w:val="18"/>
                <w:lang w:eastAsia="en-GB"/>
              </w:rPr>
              <w:t>Budget 2033-34 £'000</w:t>
            </w:r>
          </w:p>
        </w:tc>
      </w:tr>
      <w:tr w:rsidR="00F8146A" w:rsidRPr="00A518C1" w14:paraId="274578DA"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0B9F7754"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TRANSPORT</w:t>
            </w:r>
          </w:p>
        </w:tc>
        <w:tc>
          <w:tcPr>
            <w:tcW w:w="999" w:type="dxa"/>
            <w:tcBorders>
              <w:top w:val="nil"/>
              <w:left w:val="nil"/>
              <w:bottom w:val="single" w:sz="4" w:space="0" w:color="auto"/>
              <w:right w:val="single" w:sz="4" w:space="0" w:color="auto"/>
            </w:tcBorders>
            <w:shd w:val="clear" w:color="000000" w:fill="FFFFFF"/>
            <w:noWrap/>
            <w:vAlign w:val="bottom"/>
            <w:hideMark/>
          </w:tcPr>
          <w:p w14:paraId="7FB1897C"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58F44E2F"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2F684FE5"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89" w:type="dxa"/>
            <w:tcBorders>
              <w:top w:val="nil"/>
              <w:left w:val="nil"/>
              <w:bottom w:val="single" w:sz="4" w:space="0" w:color="auto"/>
              <w:right w:val="single" w:sz="4" w:space="0" w:color="auto"/>
            </w:tcBorders>
            <w:shd w:val="clear" w:color="000000" w:fill="FFFFFF"/>
            <w:noWrap/>
            <w:vAlign w:val="bottom"/>
            <w:hideMark/>
          </w:tcPr>
          <w:p w14:paraId="4FCDD078"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25C361FD"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5392EAF2"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464C1D0E"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nil"/>
            </w:tcBorders>
            <w:shd w:val="clear" w:color="auto" w:fill="auto"/>
            <w:noWrap/>
            <w:vAlign w:val="bottom"/>
            <w:hideMark/>
          </w:tcPr>
          <w:p w14:paraId="71038570"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2F231459" w14:textId="77777777" w:rsidR="00F8146A" w:rsidRPr="00A518C1" w:rsidRDefault="00F8146A" w:rsidP="00FB0656">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tcPr>
          <w:p w14:paraId="6FD05B24" w14:textId="77777777" w:rsidR="00F8146A" w:rsidRPr="00A518C1" w:rsidRDefault="00F8146A" w:rsidP="00FB0656">
            <w:pPr>
              <w:jc w:val="right"/>
              <w:rPr>
                <w:color w:val="000000"/>
                <w:sz w:val="18"/>
                <w:szCs w:val="18"/>
                <w:lang w:eastAsia="en-GB"/>
              </w:rPr>
            </w:pPr>
          </w:p>
        </w:tc>
      </w:tr>
      <w:tr w:rsidR="00FB0656" w:rsidRPr="00A518C1" w14:paraId="1C9F8714" w14:textId="77777777" w:rsidTr="000408B1">
        <w:trPr>
          <w:trHeight w:val="30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2F3A17F1" w14:textId="77777777" w:rsidR="00FB0656" w:rsidRPr="00A518C1" w:rsidRDefault="00FB0656" w:rsidP="00FB0656">
            <w:pPr>
              <w:rPr>
                <w:sz w:val="18"/>
                <w:szCs w:val="18"/>
                <w:lang w:eastAsia="en-GB"/>
              </w:rPr>
            </w:pPr>
            <w:r w:rsidRPr="00A518C1">
              <w:rPr>
                <w:sz w:val="18"/>
                <w:szCs w:val="18"/>
                <w:lang w:eastAsia="en-GB"/>
              </w:rPr>
              <w:t>Pumping Appliances</w:t>
            </w:r>
          </w:p>
        </w:tc>
        <w:tc>
          <w:tcPr>
            <w:tcW w:w="999" w:type="dxa"/>
            <w:tcBorders>
              <w:top w:val="nil"/>
              <w:left w:val="nil"/>
              <w:bottom w:val="single" w:sz="4" w:space="0" w:color="auto"/>
              <w:right w:val="single" w:sz="4" w:space="0" w:color="auto"/>
            </w:tcBorders>
            <w:shd w:val="clear" w:color="auto" w:fill="auto"/>
            <w:noWrap/>
            <w:vAlign w:val="bottom"/>
            <w:hideMark/>
          </w:tcPr>
          <w:p w14:paraId="62B53CBC" w14:textId="77777777" w:rsidR="00FB0656" w:rsidRPr="00A518C1" w:rsidRDefault="00FB0656" w:rsidP="00FB0656">
            <w:pPr>
              <w:jc w:val="right"/>
              <w:rPr>
                <w:color w:val="000000"/>
                <w:sz w:val="18"/>
                <w:szCs w:val="18"/>
                <w:lang w:eastAsia="en-GB"/>
              </w:rPr>
            </w:pPr>
            <w:r w:rsidRPr="00A518C1">
              <w:rPr>
                <w:color w:val="000000"/>
                <w:sz w:val="18"/>
                <w:szCs w:val="18"/>
              </w:rPr>
              <w:t>2,416</w:t>
            </w:r>
          </w:p>
        </w:tc>
        <w:tc>
          <w:tcPr>
            <w:tcW w:w="999" w:type="dxa"/>
            <w:tcBorders>
              <w:top w:val="nil"/>
              <w:left w:val="nil"/>
              <w:bottom w:val="single" w:sz="4" w:space="0" w:color="auto"/>
              <w:right w:val="single" w:sz="4" w:space="0" w:color="auto"/>
            </w:tcBorders>
            <w:shd w:val="clear" w:color="auto" w:fill="auto"/>
            <w:noWrap/>
            <w:vAlign w:val="bottom"/>
          </w:tcPr>
          <w:p w14:paraId="5DE7DD60"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14:paraId="232486FD"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tcPr>
          <w:p w14:paraId="4B5B6CF4"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0D6FACB4"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04123A0" w14:textId="77777777" w:rsidR="00FB0656" w:rsidRPr="00A518C1" w:rsidRDefault="00FB0656" w:rsidP="00FB0656">
            <w:pPr>
              <w:jc w:val="right"/>
              <w:rPr>
                <w:color w:val="000000"/>
                <w:sz w:val="18"/>
                <w:szCs w:val="18"/>
                <w:lang w:eastAsia="en-GB"/>
              </w:rPr>
            </w:pPr>
            <w:r w:rsidRPr="00A518C1">
              <w:rPr>
                <w:color w:val="000000"/>
                <w:sz w:val="18"/>
                <w:szCs w:val="18"/>
              </w:rPr>
              <w:t>390</w:t>
            </w:r>
          </w:p>
        </w:tc>
        <w:tc>
          <w:tcPr>
            <w:tcW w:w="999" w:type="dxa"/>
            <w:tcBorders>
              <w:top w:val="nil"/>
              <w:left w:val="nil"/>
              <w:bottom w:val="single" w:sz="4" w:space="0" w:color="auto"/>
              <w:right w:val="single" w:sz="4" w:space="0" w:color="auto"/>
            </w:tcBorders>
            <w:shd w:val="clear" w:color="auto" w:fill="auto"/>
            <w:noWrap/>
            <w:vAlign w:val="bottom"/>
            <w:hideMark/>
          </w:tcPr>
          <w:p w14:paraId="2E006760" w14:textId="77777777" w:rsidR="00FB0656" w:rsidRPr="00A518C1" w:rsidRDefault="00FB0656" w:rsidP="00FB0656">
            <w:pPr>
              <w:jc w:val="right"/>
              <w:rPr>
                <w:color w:val="000000"/>
                <w:sz w:val="18"/>
                <w:szCs w:val="18"/>
                <w:lang w:eastAsia="en-GB"/>
              </w:rPr>
            </w:pPr>
            <w:r w:rsidRPr="00A518C1">
              <w:rPr>
                <w:color w:val="000000"/>
                <w:sz w:val="18"/>
                <w:szCs w:val="18"/>
              </w:rPr>
              <w:t>1,565</w:t>
            </w:r>
          </w:p>
        </w:tc>
        <w:tc>
          <w:tcPr>
            <w:tcW w:w="999" w:type="dxa"/>
            <w:tcBorders>
              <w:top w:val="nil"/>
              <w:left w:val="nil"/>
              <w:bottom w:val="single" w:sz="4" w:space="0" w:color="auto"/>
              <w:right w:val="single" w:sz="4" w:space="0" w:color="auto"/>
            </w:tcBorders>
            <w:shd w:val="clear" w:color="auto" w:fill="auto"/>
            <w:noWrap/>
            <w:vAlign w:val="bottom"/>
            <w:hideMark/>
          </w:tcPr>
          <w:p w14:paraId="608A94D5" w14:textId="77777777" w:rsidR="00FB0656" w:rsidRPr="00A518C1" w:rsidRDefault="00FB0656" w:rsidP="00FB0656">
            <w:pPr>
              <w:jc w:val="right"/>
              <w:rPr>
                <w:color w:val="000000"/>
                <w:sz w:val="18"/>
                <w:szCs w:val="18"/>
                <w:lang w:eastAsia="en-GB"/>
              </w:rPr>
            </w:pPr>
            <w:r w:rsidRPr="00A518C1">
              <w:rPr>
                <w:color w:val="000000"/>
                <w:sz w:val="18"/>
                <w:szCs w:val="18"/>
              </w:rPr>
              <w:t>1,599</w:t>
            </w:r>
          </w:p>
        </w:tc>
        <w:tc>
          <w:tcPr>
            <w:tcW w:w="999" w:type="dxa"/>
            <w:tcBorders>
              <w:top w:val="nil"/>
              <w:left w:val="nil"/>
              <w:bottom w:val="single" w:sz="4" w:space="0" w:color="auto"/>
              <w:right w:val="single" w:sz="4" w:space="0" w:color="auto"/>
            </w:tcBorders>
            <w:shd w:val="clear" w:color="auto" w:fill="auto"/>
            <w:noWrap/>
            <w:vAlign w:val="bottom"/>
            <w:hideMark/>
          </w:tcPr>
          <w:p w14:paraId="3F7C89BE" w14:textId="77777777" w:rsidR="00FB0656" w:rsidRPr="00A518C1" w:rsidRDefault="00FB0656" w:rsidP="00FB0656">
            <w:pPr>
              <w:jc w:val="right"/>
              <w:rPr>
                <w:color w:val="000000"/>
                <w:sz w:val="18"/>
                <w:szCs w:val="18"/>
                <w:lang w:eastAsia="en-GB"/>
              </w:rPr>
            </w:pPr>
            <w:r w:rsidRPr="00A518C1">
              <w:rPr>
                <w:color w:val="000000"/>
                <w:sz w:val="18"/>
                <w:szCs w:val="18"/>
              </w:rPr>
              <w:t>1,227</w:t>
            </w:r>
          </w:p>
        </w:tc>
        <w:tc>
          <w:tcPr>
            <w:tcW w:w="999" w:type="dxa"/>
            <w:tcBorders>
              <w:top w:val="nil"/>
              <w:left w:val="nil"/>
              <w:bottom w:val="single" w:sz="4" w:space="0" w:color="auto"/>
              <w:right w:val="single" w:sz="4" w:space="0" w:color="auto"/>
            </w:tcBorders>
            <w:vAlign w:val="bottom"/>
          </w:tcPr>
          <w:p w14:paraId="27BD1A1D" w14:textId="77777777" w:rsidR="00FB0656" w:rsidRPr="00A518C1" w:rsidRDefault="00FB0656" w:rsidP="00FB0656">
            <w:pPr>
              <w:jc w:val="right"/>
              <w:rPr>
                <w:color w:val="000000"/>
                <w:sz w:val="18"/>
                <w:szCs w:val="18"/>
                <w:lang w:eastAsia="en-GB"/>
              </w:rPr>
            </w:pPr>
            <w:r w:rsidRPr="00A518C1">
              <w:rPr>
                <w:color w:val="000000"/>
                <w:sz w:val="18"/>
                <w:szCs w:val="18"/>
              </w:rPr>
              <w:t>1,667</w:t>
            </w:r>
          </w:p>
        </w:tc>
      </w:tr>
      <w:tr w:rsidR="00FB0656" w:rsidRPr="00A518C1" w14:paraId="4B12FE41"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2F0DDB1D" w14:textId="77777777" w:rsidR="00FB0656" w:rsidRPr="00A518C1" w:rsidRDefault="00FB0656" w:rsidP="00FB0656">
            <w:pPr>
              <w:rPr>
                <w:sz w:val="18"/>
                <w:szCs w:val="18"/>
                <w:lang w:eastAsia="en-GB"/>
              </w:rPr>
            </w:pPr>
            <w:r w:rsidRPr="00A518C1">
              <w:rPr>
                <w:sz w:val="18"/>
                <w:szCs w:val="18"/>
                <w:lang w:eastAsia="en-GB"/>
              </w:rPr>
              <w:t xml:space="preserve">Special Appliances </w:t>
            </w:r>
          </w:p>
        </w:tc>
        <w:tc>
          <w:tcPr>
            <w:tcW w:w="999" w:type="dxa"/>
            <w:tcBorders>
              <w:top w:val="nil"/>
              <w:left w:val="nil"/>
              <w:bottom w:val="single" w:sz="4" w:space="0" w:color="auto"/>
              <w:right w:val="single" w:sz="4" w:space="0" w:color="auto"/>
            </w:tcBorders>
            <w:shd w:val="clear" w:color="auto" w:fill="auto"/>
            <w:noWrap/>
            <w:vAlign w:val="bottom"/>
            <w:hideMark/>
          </w:tcPr>
          <w:p w14:paraId="419BC100" w14:textId="77777777" w:rsidR="00FB0656" w:rsidRPr="00A518C1" w:rsidRDefault="00973D55" w:rsidP="00FB0656">
            <w:pPr>
              <w:jc w:val="right"/>
              <w:rPr>
                <w:color w:val="000000"/>
                <w:sz w:val="18"/>
                <w:szCs w:val="18"/>
                <w:lang w:eastAsia="en-GB"/>
              </w:rPr>
            </w:pPr>
            <w:r w:rsidRPr="00A518C1">
              <w:rPr>
                <w:color w:val="000000"/>
                <w:sz w:val="18"/>
                <w:szCs w:val="18"/>
              </w:rPr>
              <w:t>3</w:t>
            </w:r>
            <w:r w:rsidR="00FB0656" w:rsidRPr="00A518C1">
              <w:rPr>
                <w:color w:val="000000"/>
                <w:sz w:val="18"/>
                <w:szCs w:val="18"/>
              </w:rPr>
              <w:t>93</w:t>
            </w:r>
          </w:p>
        </w:tc>
        <w:tc>
          <w:tcPr>
            <w:tcW w:w="999" w:type="dxa"/>
            <w:tcBorders>
              <w:top w:val="nil"/>
              <w:left w:val="nil"/>
              <w:bottom w:val="single" w:sz="4" w:space="0" w:color="auto"/>
              <w:right w:val="single" w:sz="4" w:space="0" w:color="auto"/>
            </w:tcBorders>
            <w:shd w:val="clear" w:color="auto" w:fill="auto"/>
            <w:noWrap/>
            <w:vAlign w:val="bottom"/>
            <w:hideMark/>
          </w:tcPr>
          <w:p w14:paraId="0F47F232" w14:textId="77777777" w:rsidR="00FB0656" w:rsidRPr="00A518C1" w:rsidRDefault="00FB0656" w:rsidP="00FB0656">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auto" w:fill="auto"/>
            <w:noWrap/>
            <w:vAlign w:val="bottom"/>
            <w:hideMark/>
          </w:tcPr>
          <w:p w14:paraId="56232FCB"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1EED7177" w14:textId="77777777" w:rsidR="00FB0656" w:rsidRPr="00A518C1" w:rsidRDefault="00FB0656" w:rsidP="00FB0656">
            <w:pPr>
              <w:jc w:val="right"/>
              <w:rPr>
                <w:color w:val="000000"/>
                <w:sz w:val="18"/>
                <w:szCs w:val="18"/>
                <w:lang w:eastAsia="en-GB"/>
              </w:rPr>
            </w:pPr>
            <w:r w:rsidRPr="00A518C1">
              <w:rPr>
                <w:color w:val="000000"/>
                <w:sz w:val="18"/>
                <w:szCs w:val="18"/>
              </w:rPr>
              <w:t>855</w:t>
            </w:r>
          </w:p>
        </w:tc>
        <w:tc>
          <w:tcPr>
            <w:tcW w:w="1009" w:type="dxa"/>
            <w:tcBorders>
              <w:top w:val="nil"/>
              <w:left w:val="nil"/>
              <w:bottom w:val="single" w:sz="4" w:space="0" w:color="auto"/>
              <w:right w:val="single" w:sz="4" w:space="0" w:color="auto"/>
            </w:tcBorders>
            <w:shd w:val="clear" w:color="auto" w:fill="auto"/>
            <w:noWrap/>
            <w:vAlign w:val="bottom"/>
            <w:hideMark/>
          </w:tcPr>
          <w:p w14:paraId="1626993B" w14:textId="77777777" w:rsidR="00FB0656" w:rsidRPr="00A518C1" w:rsidRDefault="00FB0656" w:rsidP="00FB0656">
            <w:pPr>
              <w:jc w:val="right"/>
              <w:rPr>
                <w:color w:val="000000"/>
                <w:sz w:val="18"/>
                <w:szCs w:val="18"/>
                <w:lang w:eastAsia="en-GB"/>
              </w:rPr>
            </w:pPr>
            <w:r w:rsidRPr="00A518C1">
              <w:rPr>
                <w:color w:val="000000"/>
                <w:sz w:val="18"/>
                <w:szCs w:val="18"/>
              </w:rPr>
              <w:t>506</w:t>
            </w:r>
          </w:p>
        </w:tc>
        <w:tc>
          <w:tcPr>
            <w:tcW w:w="999" w:type="dxa"/>
            <w:tcBorders>
              <w:top w:val="nil"/>
              <w:left w:val="nil"/>
              <w:bottom w:val="single" w:sz="4" w:space="0" w:color="auto"/>
              <w:right w:val="single" w:sz="4" w:space="0" w:color="auto"/>
            </w:tcBorders>
            <w:shd w:val="clear" w:color="auto" w:fill="auto"/>
            <w:noWrap/>
            <w:vAlign w:val="bottom"/>
            <w:hideMark/>
          </w:tcPr>
          <w:p w14:paraId="61D12C58"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09F29D9"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651549AA"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7CB7E4CF"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35D1C22D"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04E11596"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2B0EF83" w14:textId="77777777" w:rsidR="00FB0656" w:rsidRPr="00A518C1" w:rsidRDefault="00FB0656" w:rsidP="00FB0656">
            <w:pPr>
              <w:rPr>
                <w:sz w:val="18"/>
                <w:szCs w:val="18"/>
                <w:lang w:eastAsia="en-GB"/>
              </w:rPr>
            </w:pPr>
            <w:r w:rsidRPr="00A518C1">
              <w:rPr>
                <w:sz w:val="18"/>
                <w:szCs w:val="18"/>
                <w:lang w:eastAsia="en-GB"/>
              </w:rPr>
              <w:t>Light Vehicle Replacement</w:t>
            </w:r>
          </w:p>
        </w:tc>
        <w:tc>
          <w:tcPr>
            <w:tcW w:w="999" w:type="dxa"/>
            <w:tcBorders>
              <w:top w:val="nil"/>
              <w:left w:val="nil"/>
              <w:bottom w:val="single" w:sz="4" w:space="0" w:color="auto"/>
              <w:right w:val="single" w:sz="4" w:space="0" w:color="auto"/>
            </w:tcBorders>
            <w:shd w:val="clear" w:color="auto" w:fill="auto"/>
            <w:noWrap/>
            <w:vAlign w:val="bottom"/>
            <w:hideMark/>
          </w:tcPr>
          <w:p w14:paraId="48E13DA5"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406C09B"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217AFBC"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31BD8655" w14:textId="77777777" w:rsidR="00FB0656" w:rsidRPr="00A518C1" w:rsidRDefault="00FB0656" w:rsidP="00FB0656">
            <w:pPr>
              <w:jc w:val="right"/>
              <w:rPr>
                <w:color w:val="000000"/>
                <w:sz w:val="18"/>
                <w:szCs w:val="18"/>
                <w:lang w:eastAsia="en-GB"/>
              </w:rPr>
            </w:pPr>
            <w:r w:rsidRPr="00A518C1">
              <w:rPr>
                <w:color w:val="000000"/>
                <w:sz w:val="18"/>
                <w:szCs w:val="18"/>
              </w:rPr>
              <w:t>118</w:t>
            </w:r>
          </w:p>
        </w:tc>
        <w:tc>
          <w:tcPr>
            <w:tcW w:w="1009" w:type="dxa"/>
            <w:tcBorders>
              <w:top w:val="nil"/>
              <w:left w:val="nil"/>
              <w:bottom w:val="single" w:sz="4" w:space="0" w:color="auto"/>
              <w:right w:val="single" w:sz="4" w:space="0" w:color="auto"/>
            </w:tcBorders>
            <w:shd w:val="clear" w:color="auto" w:fill="auto"/>
            <w:noWrap/>
            <w:vAlign w:val="bottom"/>
            <w:hideMark/>
          </w:tcPr>
          <w:p w14:paraId="4ED725D9" w14:textId="77777777" w:rsidR="00FB0656" w:rsidRPr="00A518C1" w:rsidRDefault="00FB0656" w:rsidP="00FB0656">
            <w:pPr>
              <w:jc w:val="right"/>
              <w:rPr>
                <w:color w:val="000000"/>
                <w:sz w:val="18"/>
                <w:szCs w:val="18"/>
                <w:lang w:eastAsia="en-GB"/>
              </w:rPr>
            </w:pPr>
            <w:r w:rsidRPr="00A518C1">
              <w:rPr>
                <w:color w:val="000000"/>
                <w:sz w:val="18"/>
                <w:szCs w:val="18"/>
              </w:rPr>
              <w:t>242</w:t>
            </w:r>
          </w:p>
        </w:tc>
        <w:tc>
          <w:tcPr>
            <w:tcW w:w="999" w:type="dxa"/>
            <w:tcBorders>
              <w:top w:val="nil"/>
              <w:left w:val="nil"/>
              <w:bottom w:val="single" w:sz="4" w:space="0" w:color="auto"/>
              <w:right w:val="single" w:sz="4" w:space="0" w:color="auto"/>
            </w:tcBorders>
            <w:shd w:val="clear" w:color="auto" w:fill="auto"/>
            <w:noWrap/>
            <w:vAlign w:val="bottom"/>
            <w:hideMark/>
          </w:tcPr>
          <w:p w14:paraId="2ED3CDCD" w14:textId="77777777" w:rsidR="00FB0656" w:rsidRPr="00A518C1" w:rsidRDefault="00FB0656" w:rsidP="00FB0656">
            <w:pPr>
              <w:jc w:val="right"/>
              <w:rPr>
                <w:color w:val="000000"/>
                <w:sz w:val="18"/>
                <w:szCs w:val="18"/>
                <w:lang w:eastAsia="en-GB"/>
              </w:rPr>
            </w:pPr>
            <w:r w:rsidRPr="00A518C1">
              <w:rPr>
                <w:color w:val="000000"/>
                <w:sz w:val="18"/>
                <w:szCs w:val="18"/>
              </w:rPr>
              <w:t>728</w:t>
            </w:r>
          </w:p>
        </w:tc>
        <w:tc>
          <w:tcPr>
            <w:tcW w:w="999" w:type="dxa"/>
            <w:tcBorders>
              <w:top w:val="nil"/>
              <w:left w:val="nil"/>
              <w:bottom w:val="single" w:sz="4" w:space="0" w:color="auto"/>
              <w:right w:val="nil"/>
            </w:tcBorders>
            <w:shd w:val="clear" w:color="auto" w:fill="auto"/>
            <w:noWrap/>
            <w:vAlign w:val="bottom"/>
            <w:hideMark/>
          </w:tcPr>
          <w:p w14:paraId="0E8AEE65" w14:textId="77777777" w:rsidR="00FB0656" w:rsidRPr="00A518C1" w:rsidRDefault="00FB0656" w:rsidP="00FB0656">
            <w:pPr>
              <w:jc w:val="right"/>
              <w:rPr>
                <w:color w:val="000000"/>
                <w:sz w:val="18"/>
                <w:szCs w:val="18"/>
                <w:lang w:eastAsia="en-GB"/>
              </w:rPr>
            </w:pPr>
            <w:r w:rsidRPr="00A518C1">
              <w:rPr>
                <w:color w:val="000000"/>
                <w:sz w:val="18"/>
                <w:szCs w:val="18"/>
              </w:rPr>
              <w:t>294</w:t>
            </w:r>
          </w:p>
        </w:tc>
        <w:tc>
          <w:tcPr>
            <w:tcW w:w="999" w:type="dxa"/>
            <w:tcBorders>
              <w:top w:val="nil"/>
              <w:left w:val="single" w:sz="4" w:space="0" w:color="auto"/>
              <w:bottom w:val="single" w:sz="4" w:space="0" w:color="auto"/>
              <w:right w:val="nil"/>
            </w:tcBorders>
            <w:shd w:val="clear" w:color="auto" w:fill="auto"/>
            <w:noWrap/>
            <w:vAlign w:val="bottom"/>
            <w:hideMark/>
          </w:tcPr>
          <w:p w14:paraId="02E83FA8" w14:textId="77777777" w:rsidR="00FB0656" w:rsidRPr="00A518C1" w:rsidRDefault="00FB0656" w:rsidP="00FB0656">
            <w:pPr>
              <w:jc w:val="right"/>
              <w:rPr>
                <w:color w:val="000000"/>
                <w:sz w:val="18"/>
                <w:szCs w:val="18"/>
                <w:lang w:eastAsia="en-GB"/>
              </w:rPr>
            </w:pPr>
            <w:r w:rsidRPr="00A518C1">
              <w:rPr>
                <w:color w:val="000000"/>
                <w:sz w:val="18"/>
                <w:szCs w:val="18"/>
              </w:rPr>
              <w:t>539</w:t>
            </w:r>
          </w:p>
        </w:tc>
        <w:tc>
          <w:tcPr>
            <w:tcW w:w="999" w:type="dxa"/>
            <w:tcBorders>
              <w:top w:val="nil"/>
              <w:left w:val="single" w:sz="4" w:space="0" w:color="auto"/>
              <w:bottom w:val="nil"/>
              <w:right w:val="single" w:sz="4" w:space="0" w:color="auto"/>
            </w:tcBorders>
            <w:shd w:val="clear" w:color="auto" w:fill="auto"/>
            <w:noWrap/>
            <w:vAlign w:val="bottom"/>
            <w:hideMark/>
          </w:tcPr>
          <w:p w14:paraId="22DED4E4" w14:textId="77777777" w:rsidR="00FB0656" w:rsidRPr="00A518C1" w:rsidRDefault="00FB0656" w:rsidP="00FB0656">
            <w:pPr>
              <w:jc w:val="right"/>
              <w:rPr>
                <w:color w:val="000000"/>
                <w:sz w:val="18"/>
                <w:szCs w:val="18"/>
                <w:lang w:eastAsia="en-GB"/>
              </w:rPr>
            </w:pPr>
            <w:r w:rsidRPr="00A518C1">
              <w:rPr>
                <w:color w:val="000000"/>
                <w:sz w:val="18"/>
                <w:szCs w:val="18"/>
              </w:rPr>
              <w:t>144</w:t>
            </w:r>
          </w:p>
        </w:tc>
        <w:tc>
          <w:tcPr>
            <w:tcW w:w="999" w:type="dxa"/>
            <w:tcBorders>
              <w:top w:val="nil"/>
              <w:left w:val="single" w:sz="4" w:space="0" w:color="auto"/>
              <w:bottom w:val="nil"/>
              <w:right w:val="single" w:sz="4" w:space="0" w:color="auto"/>
            </w:tcBorders>
            <w:vAlign w:val="bottom"/>
          </w:tcPr>
          <w:p w14:paraId="599A05E5"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33032CC8"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4A05C47A" w14:textId="77777777" w:rsidR="00FB0656" w:rsidRPr="00A518C1" w:rsidRDefault="00FB0656" w:rsidP="00FB0656">
            <w:pPr>
              <w:rPr>
                <w:sz w:val="18"/>
                <w:szCs w:val="18"/>
                <w:lang w:eastAsia="en-GB"/>
              </w:rPr>
            </w:pPr>
            <w:r w:rsidRPr="00A518C1">
              <w:rPr>
                <w:sz w:val="18"/>
                <w:szCs w:val="18"/>
                <w:lang w:eastAsia="en-GB"/>
              </w:rPr>
              <w:t xml:space="preserve">Rural Unit </w:t>
            </w:r>
          </w:p>
        </w:tc>
        <w:tc>
          <w:tcPr>
            <w:tcW w:w="999" w:type="dxa"/>
            <w:tcBorders>
              <w:top w:val="nil"/>
              <w:left w:val="nil"/>
              <w:bottom w:val="nil"/>
              <w:right w:val="nil"/>
            </w:tcBorders>
            <w:shd w:val="clear" w:color="000000" w:fill="FFFFFF"/>
            <w:noWrap/>
            <w:vAlign w:val="bottom"/>
            <w:hideMark/>
          </w:tcPr>
          <w:p w14:paraId="5A4F63DF" w14:textId="77777777" w:rsidR="00FB0656" w:rsidRPr="00A518C1" w:rsidRDefault="00FB0656" w:rsidP="00FB0656">
            <w:pPr>
              <w:jc w:val="right"/>
              <w:rPr>
                <w:color w:val="000000"/>
                <w:sz w:val="20"/>
                <w:szCs w:val="20"/>
                <w:lang w:eastAsia="en-GB"/>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32B73CE7"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AA82A0F"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60624781"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55E19B3"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760CA8D6"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EB61E83"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0BBD82B3"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BD137"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single" w:sz="4" w:space="0" w:color="auto"/>
              <w:right w:val="single" w:sz="4" w:space="0" w:color="auto"/>
            </w:tcBorders>
            <w:vAlign w:val="bottom"/>
          </w:tcPr>
          <w:p w14:paraId="77A5E9B1"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75552EDF"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BD9B1BA" w14:textId="77777777" w:rsidR="00FB0656" w:rsidRPr="00A518C1" w:rsidRDefault="00FB0656" w:rsidP="00FB0656">
            <w:pPr>
              <w:rPr>
                <w:sz w:val="18"/>
                <w:szCs w:val="18"/>
                <w:lang w:eastAsia="en-GB"/>
              </w:rPr>
            </w:pPr>
            <w:r w:rsidRPr="00A518C1">
              <w:rPr>
                <w:sz w:val="18"/>
                <w:szCs w:val="18"/>
                <w:lang w:eastAsia="en-GB"/>
              </w:rPr>
              <w:t xml:space="preserve"> Aerial Ladder Appliances </w:t>
            </w:r>
          </w:p>
        </w:tc>
        <w:tc>
          <w:tcPr>
            <w:tcW w:w="999" w:type="dxa"/>
            <w:tcBorders>
              <w:top w:val="single" w:sz="4" w:space="0" w:color="auto"/>
              <w:left w:val="nil"/>
              <w:bottom w:val="single" w:sz="4" w:space="0" w:color="auto"/>
              <w:right w:val="single" w:sz="4" w:space="0" w:color="auto"/>
            </w:tcBorders>
            <w:shd w:val="clear" w:color="000000" w:fill="FFFFFF"/>
            <w:noWrap/>
            <w:vAlign w:val="bottom"/>
            <w:hideMark/>
          </w:tcPr>
          <w:p w14:paraId="0983E179" w14:textId="77777777" w:rsidR="00FB0656" w:rsidRPr="00A518C1" w:rsidRDefault="00150CFE" w:rsidP="00FB0656">
            <w:pPr>
              <w:jc w:val="right"/>
              <w:rPr>
                <w:color w:val="000000"/>
                <w:sz w:val="18"/>
                <w:szCs w:val="18"/>
                <w:lang w:eastAsia="en-GB"/>
              </w:rPr>
            </w:pPr>
            <w:r w:rsidRPr="00A518C1">
              <w:rPr>
                <w:color w:val="000000"/>
                <w:sz w:val="18"/>
                <w:szCs w:val="18"/>
              </w:rPr>
              <w:t>308</w:t>
            </w:r>
            <w:r w:rsidR="00FB0656" w:rsidRPr="00A518C1">
              <w:rPr>
                <w:color w:val="000000"/>
                <w:sz w:val="18"/>
                <w:szCs w:val="18"/>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236D9B93" w14:textId="77777777" w:rsidR="00FB0656" w:rsidRPr="00A518C1" w:rsidRDefault="00530498" w:rsidP="00530498">
            <w:pPr>
              <w:jc w:val="right"/>
              <w:rPr>
                <w:color w:val="000000"/>
                <w:sz w:val="18"/>
                <w:szCs w:val="18"/>
                <w:lang w:eastAsia="en-GB"/>
              </w:rPr>
            </w:pPr>
            <w:r>
              <w:rPr>
                <w:color w:val="000000"/>
                <w:sz w:val="18"/>
                <w:szCs w:val="18"/>
              </w:rPr>
              <w:t>533</w:t>
            </w:r>
            <w:r w:rsidR="00FB0656" w:rsidRPr="00A518C1">
              <w:rPr>
                <w:color w:val="000000"/>
                <w:sz w:val="18"/>
                <w:szCs w:val="18"/>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3EF62E38"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000000" w:fill="FFFFFF"/>
            <w:noWrap/>
            <w:vAlign w:val="bottom"/>
            <w:hideMark/>
          </w:tcPr>
          <w:p w14:paraId="0557EFB1"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19930882"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38BA2756"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883EC5A"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580F17EE"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5615DA21"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1F5E0792"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8146A" w:rsidRPr="00A518C1" w14:paraId="44B9AF8F" w14:textId="77777777" w:rsidTr="00FB0656">
        <w:trPr>
          <w:trHeight w:val="263"/>
        </w:trPr>
        <w:tc>
          <w:tcPr>
            <w:tcW w:w="3669" w:type="dxa"/>
            <w:tcBorders>
              <w:top w:val="nil"/>
              <w:left w:val="single" w:sz="4" w:space="0" w:color="auto"/>
              <w:bottom w:val="single" w:sz="4" w:space="0" w:color="auto"/>
              <w:right w:val="single" w:sz="4" w:space="0" w:color="auto"/>
            </w:tcBorders>
            <w:shd w:val="clear" w:color="000000" w:fill="BFBFBF"/>
            <w:noWrap/>
            <w:vAlign w:val="bottom"/>
            <w:hideMark/>
          </w:tcPr>
          <w:p w14:paraId="5FF4221D" w14:textId="77777777" w:rsidR="00F8146A" w:rsidRPr="00A518C1" w:rsidRDefault="00F8146A" w:rsidP="00760A08">
            <w:pPr>
              <w:rPr>
                <w:sz w:val="18"/>
                <w:szCs w:val="18"/>
                <w:lang w:eastAsia="en-GB"/>
              </w:rPr>
            </w:pPr>
            <w:r w:rsidRPr="00A518C1">
              <w:rPr>
                <w:sz w:val="18"/>
                <w:szCs w:val="18"/>
                <w:lang w:eastAsia="en-GB"/>
              </w:rPr>
              <w:t> </w:t>
            </w:r>
          </w:p>
        </w:tc>
        <w:tc>
          <w:tcPr>
            <w:tcW w:w="999" w:type="dxa"/>
            <w:tcBorders>
              <w:top w:val="nil"/>
              <w:left w:val="nil"/>
              <w:bottom w:val="single" w:sz="8" w:space="0" w:color="auto"/>
              <w:right w:val="single" w:sz="4" w:space="0" w:color="auto"/>
            </w:tcBorders>
            <w:shd w:val="clear" w:color="000000" w:fill="C9C9C9"/>
            <w:noWrap/>
            <w:vAlign w:val="bottom"/>
            <w:hideMark/>
          </w:tcPr>
          <w:p w14:paraId="33CD8B2D"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3,</w:t>
            </w:r>
            <w:r w:rsidR="00973D55" w:rsidRPr="00A518C1">
              <w:rPr>
                <w:b/>
                <w:bCs/>
                <w:color w:val="000000"/>
                <w:sz w:val="18"/>
                <w:szCs w:val="18"/>
                <w:lang w:eastAsia="en-GB"/>
              </w:rPr>
              <w:t>1</w:t>
            </w:r>
            <w:r w:rsidRPr="00A518C1">
              <w:rPr>
                <w:b/>
                <w:bCs/>
                <w:color w:val="000000"/>
                <w:sz w:val="18"/>
                <w:szCs w:val="18"/>
                <w:lang w:eastAsia="en-GB"/>
              </w:rPr>
              <w:t>17</w:t>
            </w:r>
          </w:p>
        </w:tc>
        <w:tc>
          <w:tcPr>
            <w:tcW w:w="999" w:type="dxa"/>
            <w:tcBorders>
              <w:top w:val="nil"/>
              <w:left w:val="nil"/>
              <w:bottom w:val="single" w:sz="8" w:space="0" w:color="auto"/>
              <w:right w:val="single" w:sz="4" w:space="0" w:color="auto"/>
            </w:tcBorders>
            <w:shd w:val="clear" w:color="000000" w:fill="C9C9C9"/>
            <w:noWrap/>
            <w:vAlign w:val="bottom"/>
            <w:hideMark/>
          </w:tcPr>
          <w:p w14:paraId="6F61129D"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533</w:t>
            </w:r>
          </w:p>
        </w:tc>
        <w:tc>
          <w:tcPr>
            <w:tcW w:w="999" w:type="dxa"/>
            <w:tcBorders>
              <w:top w:val="nil"/>
              <w:left w:val="nil"/>
              <w:bottom w:val="single" w:sz="8" w:space="0" w:color="auto"/>
              <w:right w:val="single" w:sz="4" w:space="0" w:color="auto"/>
            </w:tcBorders>
            <w:shd w:val="clear" w:color="000000" w:fill="C9C9C9"/>
            <w:noWrap/>
            <w:vAlign w:val="bottom"/>
            <w:hideMark/>
          </w:tcPr>
          <w:p w14:paraId="7A1405FF"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0</w:t>
            </w:r>
          </w:p>
        </w:tc>
        <w:tc>
          <w:tcPr>
            <w:tcW w:w="989" w:type="dxa"/>
            <w:tcBorders>
              <w:top w:val="nil"/>
              <w:left w:val="nil"/>
              <w:bottom w:val="single" w:sz="8" w:space="0" w:color="auto"/>
              <w:right w:val="single" w:sz="4" w:space="0" w:color="auto"/>
            </w:tcBorders>
            <w:shd w:val="clear" w:color="000000" w:fill="C9C9C9"/>
            <w:noWrap/>
            <w:vAlign w:val="bottom"/>
            <w:hideMark/>
          </w:tcPr>
          <w:p w14:paraId="6D36F64E"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973</w:t>
            </w:r>
          </w:p>
        </w:tc>
        <w:tc>
          <w:tcPr>
            <w:tcW w:w="1009" w:type="dxa"/>
            <w:tcBorders>
              <w:top w:val="nil"/>
              <w:left w:val="nil"/>
              <w:bottom w:val="single" w:sz="8" w:space="0" w:color="auto"/>
              <w:right w:val="single" w:sz="4" w:space="0" w:color="auto"/>
            </w:tcBorders>
            <w:shd w:val="clear" w:color="000000" w:fill="C9C9C9"/>
            <w:noWrap/>
            <w:vAlign w:val="bottom"/>
            <w:hideMark/>
          </w:tcPr>
          <w:p w14:paraId="7093F31D"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748</w:t>
            </w:r>
          </w:p>
        </w:tc>
        <w:tc>
          <w:tcPr>
            <w:tcW w:w="999" w:type="dxa"/>
            <w:tcBorders>
              <w:top w:val="nil"/>
              <w:left w:val="nil"/>
              <w:bottom w:val="single" w:sz="8" w:space="0" w:color="auto"/>
              <w:right w:val="single" w:sz="4" w:space="0" w:color="auto"/>
            </w:tcBorders>
            <w:shd w:val="clear" w:color="000000" w:fill="C9C9C9"/>
            <w:noWrap/>
            <w:vAlign w:val="bottom"/>
            <w:hideMark/>
          </w:tcPr>
          <w:p w14:paraId="76E28536"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1,118</w:t>
            </w:r>
          </w:p>
        </w:tc>
        <w:tc>
          <w:tcPr>
            <w:tcW w:w="999" w:type="dxa"/>
            <w:tcBorders>
              <w:top w:val="nil"/>
              <w:left w:val="nil"/>
              <w:bottom w:val="single" w:sz="8" w:space="0" w:color="auto"/>
              <w:right w:val="single" w:sz="4" w:space="0" w:color="auto"/>
            </w:tcBorders>
            <w:shd w:val="clear" w:color="000000" w:fill="C9C9C9"/>
            <w:noWrap/>
            <w:vAlign w:val="bottom"/>
            <w:hideMark/>
          </w:tcPr>
          <w:p w14:paraId="6B1D5530"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1,859</w:t>
            </w:r>
          </w:p>
        </w:tc>
        <w:tc>
          <w:tcPr>
            <w:tcW w:w="999" w:type="dxa"/>
            <w:tcBorders>
              <w:top w:val="nil"/>
              <w:left w:val="nil"/>
              <w:bottom w:val="single" w:sz="8" w:space="0" w:color="auto"/>
              <w:right w:val="single" w:sz="4" w:space="0" w:color="auto"/>
            </w:tcBorders>
            <w:shd w:val="clear" w:color="000000" w:fill="C9C9C9"/>
            <w:noWrap/>
            <w:vAlign w:val="bottom"/>
            <w:hideMark/>
          </w:tcPr>
          <w:p w14:paraId="5F59F3EB"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2,138</w:t>
            </w:r>
          </w:p>
        </w:tc>
        <w:tc>
          <w:tcPr>
            <w:tcW w:w="999" w:type="dxa"/>
            <w:tcBorders>
              <w:top w:val="nil"/>
              <w:left w:val="nil"/>
              <w:bottom w:val="single" w:sz="8" w:space="0" w:color="auto"/>
              <w:right w:val="single" w:sz="4" w:space="0" w:color="auto"/>
            </w:tcBorders>
            <w:shd w:val="clear" w:color="000000" w:fill="C9C9C9"/>
            <w:noWrap/>
            <w:vAlign w:val="bottom"/>
            <w:hideMark/>
          </w:tcPr>
          <w:p w14:paraId="18EF645A" w14:textId="77777777" w:rsidR="00F8146A" w:rsidRPr="00A518C1" w:rsidRDefault="00FB0656" w:rsidP="00FB0656">
            <w:pPr>
              <w:jc w:val="right"/>
              <w:rPr>
                <w:b/>
                <w:bCs/>
                <w:color w:val="000000"/>
                <w:sz w:val="18"/>
                <w:szCs w:val="18"/>
                <w:lang w:eastAsia="en-GB"/>
              </w:rPr>
            </w:pPr>
            <w:r w:rsidRPr="00A518C1">
              <w:rPr>
                <w:b/>
                <w:bCs/>
                <w:color w:val="000000"/>
                <w:sz w:val="18"/>
                <w:szCs w:val="18"/>
                <w:lang w:eastAsia="en-GB"/>
              </w:rPr>
              <w:t>1,371</w:t>
            </w:r>
          </w:p>
        </w:tc>
        <w:tc>
          <w:tcPr>
            <w:tcW w:w="999" w:type="dxa"/>
            <w:tcBorders>
              <w:top w:val="nil"/>
              <w:left w:val="nil"/>
              <w:bottom w:val="single" w:sz="8" w:space="0" w:color="auto"/>
              <w:right w:val="single" w:sz="4" w:space="0" w:color="auto"/>
            </w:tcBorders>
            <w:shd w:val="clear" w:color="000000" w:fill="C9C9C9"/>
          </w:tcPr>
          <w:p w14:paraId="32E98C57" w14:textId="77777777" w:rsidR="00F8146A" w:rsidRPr="00A518C1" w:rsidRDefault="00FB0656" w:rsidP="00150CFE">
            <w:pPr>
              <w:jc w:val="right"/>
              <w:rPr>
                <w:b/>
                <w:bCs/>
                <w:color w:val="000000"/>
                <w:sz w:val="18"/>
                <w:szCs w:val="18"/>
                <w:lang w:eastAsia="en-GB"/>
              </w:rPr>
            </w:pPr>
            <w:r w:rsidRPr="00A518C1">
              <w:rPr>
                <w:b/>
                <w:bCs/>
                <w:color w:val="000000"/>
                <w:sz w:val="18"/>
                <w:szCs w:val="18"/>
                <w:lang w:eastAsia="en-GB"/>
              </w:rPr>
              <w:t>1,667</w:t>
            </w:r>
          </w:p>
        </w:tc>
      </w:tr>
      <w:tr w:rsidR="00F8146A" w:rsidRPr="00A518C1" w14:paraId="20154333"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2290E581" w14:textId="77777777" w:rsidR="00F8146A" w:rsidRPr="00A518C1" w:rsidRDefault="00F8146A" w:rsidP="00760A08">
            <w:pPr>
              <w:rPr>
                <w:b/>
                <w:bCs/>
                <w:sz w:val="18"/>
                <w:szCs w:val="18"/>
                <w:lang w:eastAsia="en-GB"/>
              </w:rPr>
            </w:pPr>
            <w:r w:rsidRPr="00A518C1">
              <w:rPr>
                <w:b/>
                <w:bCs/>
                <w:sz w:val="18"/>
                <w:szCs w:val="18"/>
                <w:lang w:eastAsia="en-GB"/>
              </w:rPr>
              <w:t>EQUIPMENT</w:t>
            </w:r>
          </w:p>
        </w:tc>
        <w:tc>
          <w:tcPr>
            <w:tcW w:w="999" w:type="dxa"/>
            <w:tcBorders>
              <w:top w:val="nil"/>
              <w:left w:val="nil"/>
              <w:bottom w:val="single" w:sz="4" w:space="0" w:color="auto"/>
              <w:right w:val="single" w:sz="4" w:space="0" w:color="auto"/>
            </w:tcBorders>
            <w:shd w:val="clear" w:color="000000" w:fill="FFFFFF"/>
            <w:noWrap/>
            <w:vAlign w:val="bottom"/>
            <w:hideMark/>
          </w:tcPr>
          <w:p w14:paraId="2BC15690"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33229DD7"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520E1E8A"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89" w:type="dxa"/>
            <w:tcBorders>
              <w:top w:val="nil"/>
              <w:left w:val="nil"/>
              <w:bottom w:val="single" w:sz="4" w:space="0" w:color="auto"/>
              <w:right w:val="single" w:sz="4" w:space="0" w:color="auto"/>
            </w:tcBorders>
            <w:shd w:val="clear" w:color="000000" w:fill="FFFFFF"/>
            <w:noWrap/>
            <w:vAlign w:val="bottom"/>
            <w:hideMark/>
          </w:tcPr>
          <w:p w14:paraId="02B68162"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2E8E39A3"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2145DC10"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101824FC"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nil"/>
            </w:tcBorders>
            <w:shd w:val="clear" w:color="000000" w:fill="FFFFFF"/>
            <w:noWrap/>
            <w:vAlign w:val="bottom"/>
            <w:hideMark/>
          </w:tcPr>
          <w:p w14:paraId="094FA2DA"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shd w:val="clear" w:color="000000" w:fill="FFFFFF"/>
            <w:noWrap/>
            <w:vAlign w:val="bottom"/>
            <w:hideMark/>
          </w:tcPr>
          <w:p w14:paraId="4F274DBA"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shd w:val="clear" w:color="000000" w:fill="FFFFFF"/>
          </w:tcPr>
          <w:p w14:paraId="31DDABD1" w14:textId="77777777" w:rsidR="00F8146A" w:rsidRPr="00A518C1" w:rsidRDefault="00F8146A" w:rsidP="00760A08">
            <w:pPr>
              <w:rPr>
                <w:color w:val="000000"/>
                <w:sz w:val="18"/>
                <w:szCs w:val="18"/>
                <w:lang w:eastAsia="en-GB"/>
              </w:rPr>
            </w:pPr>
          </w:p>
        </w:tc>
      </w:tr>
      <w:tr w:rsidR="00150CFE" w:rsidRPr="00A518C1" w14:paraId="3C886B33"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6ABFBFEF" w14:textId="77777777" w:rsidR="00150CFE" w:rsidRPr="00A518C1" w:rsidRDefault="00150CFE" w:rsidP="00150CFE">
            <w:pPr>
              <w:rPr>
                <w:sz w:val="18"/>
                <w:szCs w:val="18"/>
                <w:lang w:eastAsia="en-GB"/>
              </w:rPr>
            </w:pPr>
            <w:r w:rsidRPr="00A518C1">
              <w:rPr>
                <w:sz w:val="18"/>
                <w:szCs w:val="18"/>
                <w:lang w:eastAsia="en-GB"/>
              </w:rPr>
              <w:t>Lightweight Fire Coat</w:t>
            </w:r>
          </w:p>
        </w:tc>
        <w:tc>
          <w:tcPr>
            <w:tcW w:w="999" w:type="dxa"/>
            <w:tcBorders>
              <w:top w:val="nil"/>
              <w:left w:val="nil"/>
              <w:bottom w:val="single" w:sz="4" w:space="0" w:color="auto"/>
              <w:right w:val="single" w:sz="4" w:space="0" w:color="auto"/>
            </w:tcBorders>
            <w:shd w:val="clear" w:color="auto" w:fill="auto"/>
            <w:noWrap/>
            <w:vAlign w:val="bottom"/>
            <w:hideMark/>
          </w:tcPr>
          <w:p w14:paraId="59332DCE"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B712CF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FD63C7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38D9B6E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134AC5CA" w14:textId="77777777" w:rsidR="00150CFE" w:rsidRPr="00A518C1" w:rsidRDefault="00150CFE" w:rsidP="00150CFE">
            <w:pPr>
              <w:jc w:val="right"/>
              <w:rPr>
                <w:color w:val="000000"/>
                <w:sz w:val="18"/>
                <w:szCs w:val="18"/>
                <w:lang w:eastAsia="en-GB"/>
              </w:rPr>
            </w:pPr>
            <w:r w:rsidRPr="00A518C1">
              <w:rPr>
                <w:color w:val="000000"/>
                <w:sz w:val="18"/>
                <w:szCs w:val="18"/>
              </w:rPr>
              <w:t>253</w:t>
            </w:r>
          </w:p>
        </w:tc>
        <w:tc>
          <w:tcPr>
            <w:tcW w:w="999" w:type="dxa"/>
            <w:tcBorders>
              <w:top w:val="nil"/>
              <w:left w:val="nil"/>
              <w:bottom w:val="single" w:sz="4" w:space="0" w:color="auto"/>
              <w:right w:val="single" w:sz="4" w:space="0" w:color="auto"/>
            </w:tcBorders>
            <w:shd w:val="clear" w:color="auto" w:fill="auto"/>
            <w:noWrap/>
            <w:vAlign w:val="bottom"/>
            <w:hideMark/>
          </w:tcPr>
          <w:p w14:paraId="36929240"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001801C"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449C8A5D"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4474E39B" w14:textId="77777777" w:rsidR="00150CFE" w:rsidRPr="00A518C1" w:rsidRDefault="00150CFE" w:rsidP="00150CFE">
            <w:pPr>
              <w:jc w:val="right"/>
              <w:rPr>
                <w:rFonts w:ascii="Calibri" w:hAnsi="Calibri" w:cs="Calibri"/>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534C98A2" w14:textId="77777777" w:rsidR="00150CFE" w:rsidRPr="00A518C1" w:rsidRDefault="00150CFE" w:rsidP="00150CFE">
            <w:pPr>
              <w:jc w:val="right"/>
              <w:rPr>
                <w:rFonts w:ascii="Calibri" w:hAnsi="Calibri" w:cs="Calibri"/>
                <w:color w:val="000000"/>
                <w:sz w:val="18"/>
                <w:szCs w:val="18"/>
                <w:lang w:eastAsia="en-GB"/>
              </w:rPr>
            </w:pPr>
            <w:r w:rsidRPr="00A518C1">
              <w:rPr>
                <w:color w:val="000000"/>
                <w:sz w:val="20"/>
                <w:szCs w:val="20"/>
              </w:rPr>
              <w:t> </w:t>
            </w:r>
          </w:p>
        </w:tc>
      </w:tr>
      <w:tr w:rsidR="00150CFE" w:rsidRPr="00A518C1" w14:paraId="66975DE5"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58855007" w14:textId="77777777" w:rsidR="00150CFE" w:rsidRPr="00A518C1" w:rsidRDefault="00150CFE" w:rsidP="00150CFE">
            <w:pPr>
              <w:rPr>
                <w:sz w:val="18"/>
                <w:szCs w:val="18"/>
                <w:lang w:eastAsia="en-GB"/>
              </w:rPr>
            </w:pPr>
            <w:r w:rsidRPr="00A518C1">
              <w:rPr>
                <w:sz w:val="18"/>
                <w:szCs w:val="18"/>
                <w:lang w:eastAsia="en-GB"/>
              </w:rPr>
              <w:t xml:space="preserve">Rescue Gloves </w:t>
            </w:r>
          </w:p>
        </w:tc>
        <w:tc>
          <w:tcPr>
            <w:tcW w:w="999" w:type="dxa"/>
            <w:tcBorders>
              <w:top w:val="nil"/>
              <w:left w:val="nil"/>
              <w:bottom w:val="single" w:sz="4" w:space="0" w:color="auto"/>
              <w:right w:val="single" w:sz="4" w:space="0" w:color="auto"/>
            </w:tcBorders>
            <w:shd w:val="clear" w:color="auto" w:fill="auto"/>
            <w:noWrap/>
            <w:vAlign w:val="bottom"/>
            <w:hideMark/>
          </w:tcPr>
          <w:p w14:paraId="0D5C07D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EA5A125"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323BA5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1CB09AC3"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3E2DE7AF" w14:textId="77777777" w:rsidR="00150CFE" w:rsidRPr="00A518C1" w:rsidRDefault="00150CFE" w:rsidP="00150CFE">
            <w:pPr>
              <w:jc w:val="right"/>
              <w:rPr>
                <w:color w:val="000000"/>
                <w:sz w:val="18"/>
                <w:szCs w:val="18"/>
                <w:lang w:eastAsia="en-GB"/>
              </w:rPr>
            </w:pPr>
            <w:r w:rsidRPr="00A518C1">
              <w:rPr>
                <w:color w:val="000000"/>
                <w:sz w:val="18"/>
                <w:szCs w:val="18"/>
              </w:rPr>
              <w:t>33</w:t>
            </w:r>
          </w:p>
        </w:tc>
        <w:tc>
          <w:tcPr>
            <w:tcW w:w="999" w:type="dxa"/>
            <w:tcBorders>
              <w:top w:val="nil"/>
              <w:left w:val="nil"/>
              <w:bottom w:val="single" w:sz="4" w:space="0" w:color="auto"/>
              <w:right w:val="single" w:sz="4" w:space="0" w:color="auto"/>
            </w:tcBorders>
            <w:shd w:val="clear" w:color="auto" w:fill="auto"/>
            <w:noWrap/>
            <w:vAlign w:val="bottom"/>
            <w:hideMark/>
          </w:tcPr>
          <w:p w14:paraId="021DEAF0"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0CA9BCE"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07C80489"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1F62A5F5" w14:textId="77777777" w:rsidR="00150CFE" w:rsidRPr="00A518C1" w:rsidRDefault="00150CFE" w:rsidP="00150CFE">
            <w:pPr>
              <w:jc w:val="right"/>
              <w:rPr>
                <w:color w:val="000000"/>
                <w:sz w:val="18"/>
                <w:szCs w:val="18"/>
                <w:lang w:eastAsia="en-GB"/>
              </w:rPr>
            </w:pPr>
            <w:r w:rsidRPr="00A518C1">
              <w:rPr>
                <w:color w:val="000000"/>
                <w:sz w:val="20"/>
                <w:szCs w:val="20"/>
              </w:rPr>
              <w:t> </w:t>
            </w:r>
          </w:p>
        </w:tc>
        <w:tc>
          <w:tcPr>
            <w:tcW w:w="999" w:type="dxa"/>
            <w:tcBorders>
              <w:top w:val="nil"/>
              <w:left w:val="single" w:sz="4" w:space="0" w:color="auto"/>
              <w:bottom w:val="single" w:sz="4" w:space="0" w:color="auto"/>
              <w:right w:val="single" w:sz="4" w:space="0" w:color="auto"/>
            </w:tcBorders>
            <w:vAlign w:val="bottom"/>
          </w:tcPr>
          <w:p w14:paraId="26856599" w14:textId="77777777" w:rsidR="00150CFE" w:rsidRPr="00A518C1" w:rsidRDefault="00150CFE" w:rsidP="00150CFE">
            <w:pPr>
              <w:jc w:val="right"/>
              <w:rPr>
                <w:color w:val="000000"/>
                <w:sz w:val="18"/>
                <w:szCs w:val="18"/>
                <w:lang w:eastAsia="en-GB"/>
              </w:rPr>
            </w:pPr>
            <w:r w:rsidRPr="00A518C1">
              <w:rPr>
                <w:color w:val="000000"/>
                <w:sz w:val="20"/>
                <w:szCs w:val="20"/>
              </w:rPr>
              <w:t> </w:t>
            </w:r>
          </w:p>
        </w:tc>
      </w:tr>
      <w:tr w:rsidR="00150CFE" w:rsidRPr="00A518C1" w14:paraId="20993582"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57FA06B0" w14:textId="77777777" w:rsidR="00150CFE" w:rsidRPr="00A518C1" w:rsidRDefault="00150CFE" w:rsidP="00150CFE">
            <w:pPr>
              <w:rPr>
                <w:sz w:val="18"/>
                <w:szCs w:val="18"/>
                <w:lang w:eastAsia="en-GB"/>
              </w:rPr>
            </w:pPr>
            <w:r w:rsidRPr="00A518C1">
              <w:rPr>
                <w:sz w:val="18"/>
                <w:szCs w:val="18"/>
                <w:lang w:eastAsia="en-GB"/>
              </w:rPr>
              <w:t xml:space="preserve">Structural PPE </w:t>
            </w:r>
          </w:p>
        </w:tc>
        <w:tc>
          <w:tcPr>
            <w:tcW w:w="999" w:type="dxa"/>
            <w:tcBorders>
              <w:top w:val="nil"/>
              <w:left w:val="nil"/>
              <w:bottom w:val="single" w:sz="4" w:space="0" w:color="auto"/>
              <w:right w:val="single" w:sz="4" w:space="0" w:color="auto"/>
            </w:tcBorders>
            <w:shd w:val="clear" w:color="auto" w:fill="auto"/>
            <w:noWrap/>
            <w:vAlign w:val="bottom"/>
            <w:hideMark/>
          </w:tcPr>
          <w:p w14:paraId="2DDF686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6EB40DED"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C874240"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3C053C2F" w14:textId="77777777" w:rsidR="00150CFE" w:rsidRPr="00A518C1" w:rsidRDefault="00150CFE" w:rsidP="00150CFE">
            <w:pPr>
              <w:jc w:val="right"/>
              <w:rPr>
                <w:color w:val="000000"/>
                <w:sz w:val="18"/>
                <w:szCs w:val="18"/>
                <w:lang w:eastAsia="en-GB"/>
              </w:rPr>
            </w:pPr>
            <w:r w:rsidRPr="00A518C1">
              <w:rPr>
                <w:color w:val="000000"/>
                <w:sz w:val="18"/>
                <w:szCs w:val="18"/>
              </w:rPr>
              <w:t>591</w:t>
            </w:r>
          </w:p>
        </w:tc>
        <w:tc>
          <w:tcPr>
            <w:tcW w:w="1009" w:type="dxa"/>
            <w:tcBorders>
              <w:top w:val="nil"/>
              <w:left w:val="nil"/>
              <w:bottom w:val="single" w:sz="4" w:space="0" w:color="auto"/>
              <w:right w:val="single" w:sz="4" w:space="0" w:color="auto"/>
            </w:tcBorders>
            <w:shd w:val="clear" w:color="auto" w:fill="auto"/>
            <w:noWrap/>
            <w:vAlign w:val="bottom"/>
            <w:hideMark/>
          </w:tcPr>
          <w:p w14:paraId="2FE2B3FD" w14:textId="77777777" w:rsidR="00150CFE" w:rsidRPr="00A518C1" w:rsidRDefault="00150CFE" w:rsidP="00150CFE">
            <w:pPr>
              <w:jc w:val="right"/>
              <w:rPr>
                <w:color w:val="000000"/>
                <w:sz w:val="18"/>
                <w:szCs w:val="18"/>
                <w:lang w:eastAsia="en-GB"/>
              </w:rPr>
            </w:pPr>
            <w:r w:rsidRPr="00A518C1">
              <w:rPr>
                <w:color w:val="000000"/>
                <w:sz w:val="18"/>
                <w:szCs w:val="18"/>
              </w:rPr>
              <w:t>605</w:t>
            </w:r>
          </w:p>
        </w:tc>
        <w:tc>
          <w:tcPr>
            <w:tcW w:w="999" w:type="dxa"/>
            <w:tcBorders>
              <w:top w:val="nil"/>
              <w:left w:val="nil"/>
              <w:bottom w:val="single" w:sz="4" w:space="0" w:color="auto"/>
              <w:right w:val="single" w:sz="4" w:space="0" w:color="auto"/>
            </w:tcBorders>
            <w:shd w:val="clear" w:color="auto" w:fill="auto"/>
            <w:noWrap/>
            <w:vAlign w:val="bottom"/>
            <w:hideMark/>
          </w:tcPr>
          <w:p w14:paraId="271FAD61"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54B2C1F"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2FE8587C"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7F9761DD"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6D924CCD"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641135B9"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0A67865" w14:textId="77777777" w:rsidR="00150CFE" w:rsidRPr="00A518C1" w:rsidRDefault="00150CFE" w:rsidP="00150CFE">
            <w:pPr>
              <w:rPr>
                <w:sz w:val="18"/>
                <w:szCs w:val="18"/>
                <w:lang w:eastAsia="en-GB"/>
              </w:rPr>
            </w:pPr>
            <w:r w:rsidRPr="00A518C1">
              <w:rPr>
                <w:sz w:val="18"/>
                <w:szCs w:val="18"/>
                <w:lang w:eastAsia="en-GB"/>
              </w:rPr>
              <w:t>Fire Helmets</w:t>
            </w:r>
          </w:p>
        </w:tc>
        <w:tc>
          <w:tcPr>
            <w:tcW w:w="999" w:type="dxa"/>
            <w:tcBorders>
              <w:top w:val="nil"/>
              <w:left w:val="nil"/>
              <w:bottom w:val="single" w:sz="4" w:space="0" w:color="auto"/>
              <w:right w:val="single" w:sz="4" w:space="0" w:color="auto"/>
            </w:tcBorders>
            <w:shd w:val="clear" w:color="auto" w:fill="auto"/>
            <w:noWrap/>
            <w:vAlign w:val="bottom"/>
            <w:hideMark/>
          </w:tcPr>
          <w:p w14:paraId="7D658F0F"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C2E2085"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0A261B6"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008B635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E6E49AE" w14:textId="77777777" w:rsidR="00150CFE" w:rsidRPr="00A518C1" w:rsidRDefault="00150CFE" w:rsidP="00150CFE">
            <w:pPr>
              <w:jc w:val="right"/>
              <w:rPr>
                <w:color w:val="000000"/>
                <w:sz w:val="18"/>
                <w:szCs w:val="18"/>
                <w:lang w:eastAsia="en-GB"/>
              </w:rPr>
            </w:pPr>
            <w:r w:rsidRPr="00A518C1">
              <w:rPr>
                <w:color w:val="000000"/>
                <w:sz w:val="18"/>
                <w:szCs w:val="18"/>
              </w:rPr>
              <w:t>198</w:t>
            </w:r>
          </w:p>
        </w:tc>
        <w:tc>
          <w:tcPr>
            <w:tcW w:w="999" w:type="dxa"/>
            <w:tcBorders>
              <w:top w:val="nil"/>
              <w:left w:val="nil"/>
              <w:bottom w:val="nil"/>
              <w:right w:val="nil"/>
            </w:tcBorders>
            <w:shd w:val="clear" w:color="auto" w:fill="auto"/>
            <w:noWrap/>
            <w:vAlign w:val="bottom"/>
            <w:hideMark/>
          </w:tcPr>
          <w:p w14:paraId="680D92F1" w14:textId="77777777" w:rsidR="00150CFE" w:rsidRPr="00A518C1" w:rsidRDefault="00150CFE" w:rsidP="00150CFE">
            <w:pPr>
              <w:jc w:val="right"/>
              <w:rPr>
                <w:color w:val="000000"/>
                <w:sz w:val="18"/>
                <w:szCs w:val="18"/>
                <w:lang w:eastAsia="en-GB"/>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6BCB212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6AC3F42A"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7A7ADA2D" w14:textId="77777777" w:rsidR="00150CFE" w:rsidRPr="00A518C1" w:rsidRDefault="00150CFE" w:rsidP="00150CFE">
            <w:pPr>
              <w:jc w:val="right"/>
              <w:rPr>
                <w:color w:val="000000"/>
                <w:sz w:val="20"/>
                <w:szCs w:val="20"/>
                <w:lang w:eastAsia="en-GB"/>
              </w:rPr>
            </w:pPr>
            <w:r w:rsidRPr="00A518C1">
              <w:rPr>
                <w:color w:val="000000"/>
                <w:sz w:val="20"/>
                <w:szCs w:val="20"/>
              </w:rPr>
              <w:t> </w:t>
            </w:r>
          </w:p>
        </w:tc>
        <w:tc>
          <w:tcPr>
            <w:tcW w:w="999" w:type="dxa"/>
            <w:tcBorders>
              <w:top w:val="nil"/>
              <w:left w:val="single" w:sz="4" w:space="0" w:color="auto"/>
              <w:bottom w:val="single" w:sz="4" w:space="0" w:color="auto"/>
              <w:right w:val="single" w:sz="4" w:space="0" w:color="auto"/>
            </w:tcBorders>
            <w:vAlign w:val="bottom"/>
          </w:tcPr>
          <w:p w14:paraId="5610F844" w14:textId="77777777" w:rsidR="00150CFE" w:rsidRPr="00A518C1" w:rsidRDefault="00150CFE" w:rsidP="00150CFE">
            <w:pPr>
              <w:jc w:val="right"/>
              <w:rPr>
                <w:color w:val="000000"/>
                <w:sz w:val="20"/>
                <w:szCs w:val="20"/>
                <w:lang w:eastAsia="en-GB"/>
              </w:rPr>
            </w:pPr>
            <w:r w:rsidRPr="00A518C1">
              <w:rPr>
                <w:color w:val="000000"/>
                <w:sz w:val="20"/>
                <w:szCs w:val="20"/>
              </w:rPr>
              <w:t> </w:t>
            </w:r>
          </w:p>
        </w:tc>
      </w:tr>
      <w:tr w:rsidR="00150CFE" w:rsidRPr="00A518C1" w14:paraId="2161BCCF"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0346DF11" w14:textId="77777777" w:rsidR="00150CFE" w:rsidRPr="00A518C1" w:rsidRDefault="00150CFE" w:rsidP="00150CFE">
            <w:pPr>
              <w:rPr>
                <w:sz w:val="18"/>
                <w:szCs w:val="18"/>
                <w:lang w:eastAsia="en-GB"/>
              </w:rPr>
            </w:pPr>
            <w:r w:rsidRPr="00A518C1">
              <w:rPr>
                <w:sz w:val="18"/>
                <w:szCs w:val="18"/>
                <w:lang w:eastAsia="en-GB"/>
              </w:rPr>
              <w:t xml:space="preserve">Fire Gloves </w:t>
            </w:r>
          </w:p>
        </w:tc>
        <w:tc>
          <w:tcPr>
            <w:tcW w:w="999" w:type="dxa"/>
            <w:tcBorders>
              <w:top w:val="nil"/>
              <w:left w:val="nil"/>
              <w:bottom w:val="single" w:sz="4" w:space="0" w:color="auto"/>
              <w:right w:val="single" w:sz="4" w:space="0" w:color="auto"/>
            </w:tcBorders>
            <w:shd w:val="clear" w:color="auto" w:fill="auto"/>
            <w:noWrap/>
            <w:vAlign w:val="bottom"/>
            <w:hideMark/>
          </w:tcPr>
          <w:p w14:paraId="50E82F05"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7660B439"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76EEE4A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45C6642F"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66FE3B9C"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241B606" w14:textId="77777777" w:rsidR="00150CFE" w:rsidRPr="00A518C1" w:rsidRDefault="00150CFE" w:rsidP="00150CFE">
            <w:pPr>
              <w:jc w:val="right"/>
              <w:rPr>
                <w:color w:val="000000"/>
                <w:sz w:val="18"/>
                <w:szCs w:val="18"/>
                <w:lang w:eastAsia="en-GB"/>
              </w:rPr>
            </w:pPr>
            <w:r w:rsidRPr="00A518C1">
              <w:rPr>
                <w:color w:val="000000"/>
                <w:sz w:val="18"/>
                <w:szCs w:val="18"/>
              </w:rPr>
              <w:t>175</w:t>
            </w:r>
          </w:p>
        </w:tc>
        <w:tc>
          <w:tcPr>
            <w:tcW w:w="999" w:type="dxa"/>
            <w:tcBorders>
              <w:top w:val="nil"/>
              <w:left w:val="nil"/>
              <w:bottom w:val="single" w:sz="4" w:space="0" w:color="auto"/>
              <w:right w:val="single" w:sz="4" w:space="0" w:color="auto"/>
            </w:tcBorders>
            <w:shd w:val="clear" w:color="auto" w:fill="auto"/>
            <w:noWrap/>
            <w:vAlign w:val="bottom"/>
            <w:hideMark/>
          </w:tcPr>
          <w:p w14:paraId="6DF0E2A9"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4D346F7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6FA53505"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2FEFE645"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0E135042"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D951F93" w14:textId="77777777" w:rsidR="00150CFE" w:rsidRPr="00A518C1" w:rsidRDefault="00150CFE" w:rsidP="00150CFE">
            <w:pPr>
              <w:rPr>
                <w:sz w:val="18"/>
                <w:szCs w:val="18"/>
                <w:lang w:eastAsia="en-GB"/>
              </w:rPr>
            </w:pPr>
            <w:r w:rsidRPr="00A518C1">
              <w:rPr>
                <w:sz w:val="18"/>
                <w:szCs w:val="18"/>
                <w:lang w:eastAsia="en-GB"/>
              </w:rPr>
              <w:t xml:space="preserve">Replacement Duty Rig </w:t>
            </w:r>
          </w:p>
        </w:tc>
        <w:tc>
          <w:tcPr>
            <w:tcW w:w="999" w:type="dxa"/>
            <w:tcBorders>
              <w:top w:val="nil"/>
              <w:left w:val="nil"/>
              <w:bottom w:val="single" w:sz="4" w:space="0" w:color="auto"/>
              <w:right w:val="single" w:sz="4" w:space="0" w:color="auto"/>
            </w:tcBorders>
            <w:shd w:val="clear" w:color="auto" w:fill="auto"/>
            <w:noWrap/>
            <w:vAlign w:val="bottom"/>
            <w:hideMark/>
          </w:tcPr>
          <w:p w14:paraId="1CE92418" w14:textId="77777777" w:rsidR="00150CFE" w:rsidRPr="00A518C1" w:rsidRDefault="00150CFE" w:rsidP="00150CFE">
            <w:pPr>
              <w:jc w:val="right"/>
              <w:rPr>
                <w:color w:val="000000"/>
                <w:sz w:val="18"/>
                <w:szCs w:val="18"/>
                <w:lang w:eastAsia="en-GB"/>
              </w:rPr>
            </w:pPr>
            <w:r w:rsidRPr="00A518C1">
              <w:rPr>
                <w:color w:val="000000"/>
                <w:sz w:val="18"/>
                <w:szCs w:val="18"/>
              </w:rPr>
              <w:t>150</w:t>
            </w:r>
          </w:p>
        </w:tc>
        <w:tc>
          <w:tcPr>
            <w:tcW w:w="999" w:type="dxa"/>
            <w:tcBorders>
              <w:top w:val="nil"/>
              <w:left w:val="nil"/>
              <w:bottom w:val="single" w:sz="4" w:space="0" w:color="auto"/>
              <w:right w:val="single" w:sz="4" w:space="0" w:color="auto"/>
            </w:tcBorders>
            <w:shd w:val="clear" w:color="auto" w:fill="auto"/>
            <w:noWrap/>
            <w:vAlign w:val="bottom"/>
            <w:hideMark/>
          </w:tcPr>
          <w:p w14:paraId="371A707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C58F3C7"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4B8CC06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1BE2893"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2727849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nil"/>
              <w:right w:val="nil"/>
            </w:tcBorders>
            <w:shd w:val="clear" w:color="auto" w:fill="auto"/>
            <w:noWrap/>
            <w:vAlign w:val="bottom"/>
            <w:hideMark/>
          </w:tcPr>
          <w:p w14:paraId="321671FE" w14:textId="77777777" w:rsidR="00150CFE" w:rsidRPr="00A518C1" w:rsidRDefault="00150CFE" w:rsidP="00150CFE">
            <w:pPr>
              <w:jc w:val="right"/>
              <w:rPr>
                <w:color w:val="000000"/>
                <w:sz w:val="18"/>
                <w:szCs w:val="18"/>
                <w:lang w:eastAsia="en-GB"/>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221FEEA6" w14:textId="77777777" w:rsidR="00150CFE" w:rsidRPr="00A518C1" w:rsidRDefault="00150CFE" w:rsidP="00150CFE">
            <w:pPr>
              <w:jc w:val="right"/>
              <w:rPr>
                <w:color w:val="000000"/>
                <w:sz w:val="18"/>
                <w:szCs w:val="18"/>
                <w:lang w:eastAsia="en-GB"/>
              </w:rPr>
            </w:pPr>
            <w:r w:rsidRPr="00A518C1">
              <w:rPr>
                <w:color w:val="000000"/>
                <w:sz w:val="18"/>
                <w:szCs w:val="18"/>
              </w:rPr>
              <w:t>300</w:t>
            </w:r>
          </w:p>
        </w:tc>
        <w:tc>
          <w:tcPr>
            <w:tcW w:w="999" w:type="dxa"/>
            <w:tcBorders>
              <w:top w:val="nil"/>
              <w:left w:val="nil"/>
              <w:bottom w:val="single" w:sz="4" w:space="0" w:color="auto"/>
              <w:right w:val="single" w:sz="4" w:space="0" w:color="auto"/>
            </w:tcBorders>
            <w:shd w:val="clear" w:color="auto" w:fill="auto"/>
            <w:noWrap/>
            <w:vAlign w:val="bottom"/>
            <w:hideMark/>
          </w:tcPr>
          <w:p w14:paraId="3E1313D2"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vAlign w:val="bottom"/>
          </w:tcPr>
          <w:p w14:paraId="7CEC3DFF"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25101247"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5FAA7C1" w14:textId="77777777" w:rsidR="00150CFE" w:rsidRPr="00A518C1" w:rsidRDefault="00150CFE" w:rsidP="00150CFE">
            <w:pPr>
              <w:rPr>
                <w:sz w:val="18"/>
                <w:szCs w:val="18"/>
                <w:lang w:eastAsia="en-GB"/>
              </w:rPr>
            </w:pPr>
            <w:r w:rsidRPr="00A518C1">
              <w:rPr>
                <w:sz w:val="18"/>
                <w:szCs w:val="18"/>
                <w:lang w:eastAsia="en-GB"/>
              </w:rPr>
              <w:t xml:space="preserve">Water Rescue kit </w:t>
            </w:r>
          </w:p>
        </w:tc>
        <w:tc>
          <w:tcPr>
            <w:tcW w:w="999" w:type="dxa"/>
            <w:tcBorders>
              <w:top w:val="nil"/>
              <w:left w:val="nil"/>
              <w:bottom w:val="nil"/>
              <w:right w:val="single" w:sz="4" w:space="0" w:color="auto"/>
            </w:tcBorders>
            <w:shd w:val="clear" w:color="auto" w:fill="auto"/>
            <w:noWrap/>
            <w:vAlign w:val="bottom"/>
            <w:hideMark/>
          </w:tcPr>
          <w:p w14:paraId="4C025E4B"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nil"/>
              <w:right w:val="single" w:sz="4" w:space="0" w:color="auto"/>
            </w:tcBorders>
            <w:shd w:val="clear" w:color="auto" w:fill="auto"/>
            <w:noWrap/>
            <w:vAlign w:val="bottom"/>
            <w:hideMark/>
          </w:tcPr>
          <w:p w14:paraId="11E85285"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nil"/>
              <w:right w:val="single" w:sz="4" w:space="0" w:color="auto"/>
            </w:tcBorders>
            <w:shd w:val="clear" w:color="auto" w:fill="auto"/>
            <w:noWrap/>
            <w:vAlign w:val="bottom"/>
            <w:hideMark/>
          </w:tcPr>
          <w:p w14:paraId="18B261AE"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nil"/>
              <w:left w:val="nil"/>
              <w:bottom w:val="nil"/>
              <w:right w:val="single" w:sz="4" w:space="0" w:color="auto"/>
            </w:tcBorders>
            <w:shd w:val="clear" w:color="auto" w:fill="auto"/>
            <w:noWrap/>
            <w:vAlign w:val="bottom"/>
            <w:hideMark/>
          </w:tcPr>
          <w:p w14:paraId="0E5A0DE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nil"/>
              <w:left w:val="nil"/>
              <w:bottom w:val="nil"/>
              <w:right w:val="single" w:sz="4" w:space="0" w:color="auto"/>
            </w:tcBorders>
            <w:shd w:val="clear" w:color="auto" w:fill="auto"/>
            <w:noWrap/>
            <w:vAlign w:val="bottom"/>
            <w:hideMark/>
          </w:tcPr>
          <w:p w14:paraId="2FD33706"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4F2A331" w14:textId="77777777" w:rsidR="00150CFE" w:rsidRPr="00A518C1" w:rsidRDefault="00150CFE" w:rsidP="00150CFE">
            <w:pPr>
              <w:jc w:val="right"/>
              <w:rPr>
                <w:color w:val="000000"/>
                <w:sz w:val="18"/>
                <w:szCs w:val="18"/>
                <w:lang w:eastAsia="en-GB"/>
              </w:rPr>
            </w:pPr>
            <w:r w:rsidRPr="00A518C1">
              <w:rPr>
                <w:color w:val="000000"/>
                <w:sz w:val="18"/>
                <w:szCs w:val="18"/>
              </w:rPr>
              <w:t>281</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7B6B699C"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62BF8B9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695A2A4A"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4315594F"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1E548EFD"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7499FAD1" w14:textId="77777777" w:rsidR="00150CFE" w:rsidRPr="00A518C1" w:rsidRDefault="00150CFE" w:rsidP="00150CFE">
            <w:pPr>
              <w:rPr>
                <w:sz w:val="18"/>
                <w:szCs w:val="18"/>
                <w:lang w:eastAsia="en-GB"/>
              </w:rPr>
            </w:pPr>
            <w:r w:rsidRPr="00A518C1">
              <w:rPr>
                <w:sz w:val="18"/>
                <w:szCs w:val="18"/>
                <w:lang w:eastAsia="en-GB"/>
              </w:rPr>
              <w:t xml:space="preserve">Operational Surcoats </w:t>
            </w:r>
          </w:p>
        </w:tc>
        <w:tc>
          <w:tcPr>
            <w:tcW w:w="999" w:type="dxa"/>
            <w:tcBorders>
              <w:top w:val="single" w:sz="4" w:space="0" w:color="auto"/>
              <w:left w:val="nil"/>
              <w:bottom w:val="nil"/>
              <w:right w:val="single" w:sz="4" w:space="0" w:color="auto"/>
            </w:tcBorders>
            <w:shd w:val="clear" w:color="auto" w:fill="auto"/>
            <w:noWrap/>
            <w:vAlign w:val="bottom"/>
            <w:hideMark/>
          </w:tcPr>
          <w:p w14:paraId="523819A3" w14:textId="77777777" w:rsidR="00150CFE" w:rsidRPr="00A518C1" w:rsidRDefault="00150CFE" w:rsidP="00150CFE">
            <w:pPr>
              <w:jc w:val="right"/>
              <w:rPr>
                <w:color w:val="000000"/>
                <w:sz w:val="18"/>
                <w:szCs w:val="18"/>
                <w:lang w:eastAsia="en-GB"/>
              </w:rPr>
            </w:pPr>
            <w:r w:rsidRPr="00A518C1">
              <w:rPr>
                <w:color w:val="000000"/>
                <w:sz w:val="18"/>
                <w:szCs w:val="18"/>
              </w:rPr>
              <w:t>100</w:t>
            </w:r>
          </w:p>
        </w:tc>
        <w:tc>
          <w:tcPr>
            <w:tcW w:w="999" w:type="dxa"/>
            <w:tcBorders>
              <w:top w:val="single" w:sz="4" w:space="0" w:color="auto"/>
              <w:left w:val="nil"/>
              <w:bottom w:val="nil"/>
              <w:right w:val="single" w:sz="4" w:space="0" w:color="auto"/>
            </w:tcBorders>
            <w:shd w:val="clear" w:color="auto" w:fill="auto"/>
            <w:noWrap/>
            <w:vAlign w:val="bottom"/>
            <w:hideMark/>
          </w:tcPr>
          <w:p w14:paraId="4D3C69D7"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hideMark/>
          </w:tcPr>
          <w:p w14:paraId="21B53EF7"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nil"/>
              <w:right w:val="single" w:sz="4" w:space="0" w:color="auto"/>
            </w:tcBorders>
            <w:shd w:val="clear" w:color="auto" w:fill="auto"/>
            <w:noWrap/>
            <w:vAlign w:val="bottom"/>
            <w:hideMark/>
          </w:tcPr>
          <w:p w14:paraId="413D45C0"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single" w:sz="4" w:space="0" w:color="auto"/>
              <w:left w:val="nil"/>
              <w:bottom w:val="nil"/>
              <w:right w:val="single" w:sz="4" w:space="0" w:color="auto"/>
            </w:tcBorders>
            <w:shd w:val="clear" w:color="auto" w:fill="auto"/>
            <w:noWrap/>
            <w:vAlign w:val="bottom"/>
            <w:hideMark/>
          </w:tcPr>
          <w:p w14:paraId="66A99D2E"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3FFE407"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5ADB8CC0" w14:textId="77777777" w:rsidR="00150CFE" w:rsidRPr="00A518C1" w:rsidRDefault="00150CFE" w:rsidP="00150CFE">
            <w:pPr>
              <w:jc w:val="right"/>
              <w:rPr>
                <w:color w:val="000000"/>
                <w:sz w:val="18"/>
                <w:szCs w:val="18"/>
                <w:lang w:eastAsia="en-GB"/>
              </w:rPr>
            </w:pPr>
            <w:r w:rsidRPr="00A518C1">
              <w:rPr>
                <w:color w:val="000000"/>
                <w:sz w:val="20"/>
                <w:szCs w:val="20"/>
              </w:rPr>
              <w:t> </w:t>
            </w:r>
          </w:p>
        </w:tc>
        <w:tc>
          <w:tcPr>
            <w:tcW w:w="999" w:type="dxa"/>
            <w:tcBorders>
              <w:top w:val="single" w:sz="4" w:space="0" w:color="auto"/>
              <w:left w:val="nil"/>
              <w:bottom w:val="single" w:sz="4" w:space="0" w:color="auto"/>
              <w:right w:val="nil"/>
            </w:tcBorders>
            <w:shd w:val="clear" w:color="auto" w:fill="auto"/>
            <w:noWrap/>
            <w:vAlign w:val="bottom"/>
            <w:hideMark/>
          </w:tcPr>
          <w:p w14:paraId="33B38209" w14:textId="77777777" w:rsidR="00150CFE" w:rsidRPr="00A518C1" w:rsidRDefault="00150CFE" w:rsidP="00150CFE">
            <w:pPr>
              <w:jc w:val="right"/>
              <w:rPr>
                <w:color w:val="000000"/>
                <w:sz w:val="18"/>
                <w:szCs w:val="18"/>
                <w:lang w:eastAsia="en-GB"/>
              </w:rPr>
            </w:pP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08905669" w14:textId="77777777" w:rsidR="00150CFE" w:rsidRPr="00A518C1" w:rsidRDefault="00150CFE" w:rsidP="00150CFE">
            <w:pPr>
              <w:jc w:val="right"/>
              <w:rPr>
                <w:color w:val="000000"/>
                <w:sz w:val="18"/>
                <w:szCs w:val="18"/>
                <w:lang w:eastAsia="en-GB"/>
              </w:rPr>
            </w:pPr>
            <w:r w:rsidRPr="00A518C1">
              <w:rPr>
                <w:color w:val="000000"/>
                <w:sz w:val="18"/>
                <w:szCs w:val="18"/>
              </w:rPr>
              <w:t>120</w:t>
            </w:r>
          </w:p>
        </w:tc>
        <w:tc>
          <w:tcPr>
            <w:tcW w:w="999" w:type="dxa"/>
            <w:tcBorders>
              <w:top w:val="nil"/>
              <w:left w:val="single" w:sz="4" w:space="0" w:color="auto"/>
              <w:bottom w:val="single" w:sz="4" w:space="0" w:color="auto"/>
              <w:right w:val="single" w:sz="4" w:space="0" w:color="auto"/>
            </w:tcBorders>
            <w:vAlign w:val="bottom"/>
          </w:tcPr>
          <w:p w14:paraId="244FA408"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5CF0556E"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2CFE4FB6" w14:textId="77777777" w:rsidR="00150CFE" w:rsidRPr="00A518C1" w:rsidRDefault="00150CFE" w:rsidP="00150CFE">
            <w:pPr>
              <w:rPr>
                <w:sz w:val="18"/>
                <w:szCs w:val="18"/>
                <w:lang w:eastAsia="en-GB"/>
              </w:rPr>
            </w:pPr>
            <w:r w:rsidRPr="00A518C1">
              <w:rPr>
                <w:sz w:val="18"/>
                <w:szCs w:val="18"/>
                <w:lang w:eastAsia="en-GB"/>
              </w:rPr>
              <w:t xml:space="preserve">Coveralls </w:t>
            </w:r>
          </w:p>
        </w:tc>
        <w:tc>
          <w:tcPr>
            <w:tcW w:w="999" w:type="dxa"/>
            <w:tcBorders>
              <w:top w:val="single" w:sz="4" w:space="0" w:color="auto"/>
              <w:left w:val="nil"/>
              <w:bottom w:val="nil"/>
              <w:right w:val="single" w:sz="4" w:space="0" w:color="auto"/>
            </w:tcBorders>
            <w:shd w:val="clear" w:color="auto" w:fill="auto"/>
            <w:noWrap/>
            <w:vAlign w:val="bottom"/>
          </w:tcPr>
          <w:p w14:paraId="3344BDC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6F305746"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2C91012E"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nil"/>
              <w:right w:val="single" w:sz="4" w:space="0" w:color="auto"/>
            </w:tcBorders>
            <w:shd w:val="clear" w:color="auto" w:fill="auto"/>
            <w:noWrap/>
            <w:vAlign w:val="bottom"/>
          </w:tcPr>
          <w:p w14:paraId="51E71927"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single" w:sz="4" w:space="0" w:color="auto"/>
              <w:left w:val="nil"/>
              <w:bottom w:val="nil"/>
              <w:right w:val="single" w:sz="4" w:space="0" w:color="auto"/>
            </w:tcBorders>
            <w:shd w:val="clear" w:color="auto" w:fill="auto"/>
            <w:noWrap/>
            <w:vAlign w:val="bottom"/>
          </w:tcPr>
          <w:p w14:paraId="29BCC609"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14:paraId="4A060B1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14:paraId="64E3E6DD" w14:textId="77777777" w:rsidR="00150CFE" w:rsidRPr="00A518C1" w:rsidRDefault="00150CFE" w:rsidP="00150CFE">
            <w:pPr>
              <w:jc w:val="right"/>
              <w:rPr>
                <w:color w:val="000000"/>
                <w:sz w:val="18"/>
                <w:szCs w:val="18"/>
                <w:lang w:eastAsia="en-GB"/>
              </w:rPr>
            </w:pPr>
            <w:r w:rsidRPr="00A518C1">
              <w:rPr>
                <w:color w:val="000000"/>
                <w:sz w:val="18"/>
                <w:szCs w:val="18"/>
              </w:rPr>
              <w:t>40</w:t>
            </w:r>
          </w:p>
        </w:tc>
        <w:tc>
          <w:tcPr>
            <w:tcW w:w="999" w:type="dxa"/>
            <w:tcBorders>
              <w:top w:val="single" w:sz="4" w:space="0" w:color="auto"/>
              <w:left w:val="nil"/>
              <w:bottom w:val="single" w:sz="4" w:space="0" w:color="auto"/>
              <w:right w:val="nil"/>
            </w:tcBorders>
            <w:shd w:val="clear" w:color="auto" w:fill="auto"/>
            <w:noWrap/>
            <w:vAlign w:val="bottom"/>
          </w:tcPr>
          <w:p w14:paraId="161C9C02"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tcPr>
          <w:p w14:paraId="6299A588"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3B704413"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3C623E65" w14:textId="77777777" w:rsidTr="000408B1">
        <w:trPr>
          <w:trHeight w:val="255"/>
        </w:trPr>
        <w:tc>
          <w:tcPr>
            <w:tcW w:w="3669" w:type="dxa"/>
            <w:tcBorders>
              <w:top w:val="nil"/>
              <w:left w:val="single" w:sz="4" w:space="0" w:color="auto"/>
              <w:bottom w:val="single" w:sz="4" w:space="0" w:color="auto"/>
              <w:right w:val="single" w:sz="4" w:space="0" w:color="auto"/>
            </w:tcBorders>
            <w:shd w:val="clear" w:color="000000" w:fill="FFFFFF"/>
            <w:vAlign w:val="bottom"/>
            <w:hideMark/>
          </w:tcPr>
          <w:p w14:paraId="0B0A5693" w14:textId="77777777" w:rsidR="00150CFE" w:rsidRPr="00A518C1" w:rsidRDefault="00150CFE" w:rsidP="00150CFE">
            <w:pPr>
              <w:rPr>
                <w:color w:val="000000"/>
                <w:sz w:val="20"/>
                <w:szCs w:val="20"/>
                <w:lang w:eastAsia="en-GB"/>
              </w:rPr>
            </w:pPr>
            <w:r w:rsidRPr="00A518C1">
              <w:rPr>
                <w:sz w:val="18"/>
                <w:szCs w:val="18"/>
                <w:lang w:eastAsia="en-GB"/>
              </w:rPr>
              <w:t>Fire Hood - Contaminants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26A7F150" w14:textId="77777777" w:rsidR="00150CFE" w:rsidRPr="00A518C1" w:rsidRDefault="00150CFE" w:rsidP="00150CFE">
            <w:pPr>
              <w:jc w:val="right"/>
              <w:rPr>
                <w:color w:val="000000"/>
                <w:sz w:val="18"/>
                <w:szCs w:val="18"/>
                <w:lang w:eastAsia="en-GB"/>
              </w:rPr>
            </w:pPr>
            <w:r w:rsidRPr="00A518C1">
              <w:rPr>
                <w:color w:val="000000"/>
                <w:sz w:val="18"/>
                <w:szCs w:val="18"/>
              </w:rPr>
              <w:t>140</w:t>
            </w:r>
          </w:p>
        </w:tc>
        <w:tc>
          <w:tcPr>
            <w:tcW w:w="999" w:type="dxa"/>
            <w:tcBorders>
              <w:top w:val="single" w:sz="4" w:space="0" w:color="auto"/>
              <w:left w:val="nil"/>
              <w:bottom w:val="nil"/>
              <w:right w:val="single" w:sz="4" w:space="0" w:color="auto"/>
            </w:tcBorders>
            <w:shd w:val="clear" w:color="auto" w:fill="auto"/>
            <w:noWrap/>
            <w:vAlign w:val="bottom"/>
            <w:hideMark/>
          </w:tcPr>
          <w:p w14:paraId="13E14E7A"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hideMark/>
          </w:tcPr>
          <w:p w14:paraId="458C4B9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nil"/>
              <w:right w:val="single" w:sz="4" w:space="0" w:color="auto"/>
            </w:tcBorders>
            <w:shd w:val="clear" w:color="auto" w:fill="auto"/>
            <w:noWrap/>
            <w:vAlign w:val="bottom"/>
            <w:hideMark/>
          </w:tcPr>
          <w:p w14:paraId="323C3B84"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1009" w:type="dxa"/>
            <w:tcBorders>
              <w:top w:val="single" w:sz="4" w:space="0" w:color="auto"/>
              <w:left w:val="nil"/>
              <w:bottom w:val="nil"/>
              <w:right w:val="single" w:sz="4" w:space="0" w:color="auto"/>
            </w:tcBorders>
            <w:shd w:val="clear" w:color="auto" w:fill="auto"/>
            <w:noWrap/>
            <w:vAlign w:val="bottom"/>
            <w:hideMark/>
          </w:tcPr>
          <w:p w14:paraId="4BC40D1F" w14:textId="77777777" w:rsidR="00150CFE" w:rsidRPr="00A518C1" w:rsidRDefault="00150CFE" w:rsidP="00150CFE">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B3833C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7626569D"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37D5CDA1" w14:textId="77777777" w:rsidR="00150CFE" w:rsidRPr="00A518C1" w:rsidRDefault="00150CFE" w:rsidP="00150CFE">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203E786D" w14:textId="77777777" w:rsidR="00150CFE" w:rsidRPr="00A518C1" w:rsidRDefault="00150CFE" w:rsidP="00150CFE">
            <w:pPr>
              <w:jc w:val="right"/>
              <w:rPr>
                <w:color w:val="000000"/>
                <w:sz w:val="18"/>
                <w:szCs w:val="18"/>
                <w:lang w:eastAsia="en-GB"/>
              </w:rPr>
            </w:pPr>
            <w:r w:rsidRPr="00A518C1">
              <w:rPr>
                <w:color w:val="000000"/>
                <w:sz w:val="18"/>
                <w:szCs w:val="18"/>
              </w:rPr>
              <w:t>168</w:t>
            </w:r>
          </w:p>
        </w:tc>
        <w:tc>
          <w:tcPr>
            <w:tcW w:w="999" w:type="dxa"/>
            <w:tcBorders>
              <w:top w:val="nil"/>
              <w:left w:val="single" w:sz="4" w:space="0" w:color="auto"/>
              <w:bottom w:val="single" w:sz="4" w:space="0" w:color="auto"/>
              <w:right w:val="single" w:sz="4" w:space="0" w:color="auto"/>
            </w:tcBorders>
            <w:vAlign w:val="bottom"/>
          </w:tcPr>
          <w:p w14:paraId="179EA665" w14:textId="77777777" w:rsidR="00150CFE" w:rsidRPr="00A518C1" w:rsidRDefault="00150CFE" w:rsidP="00150CFE">
            <w:pPr>
              <w:jc w:val="right"/>
              <w:rPr>
                <w:color w:val="000000"/>
                <w:sz w:val="18"/>
                <w:szCs w:val="18"/>
                <w:lang w:eastAsia="en-GB"/>
              </w:rPr>
            </w:pPr>
            <w:r w:rsidRPr="00A518C1">
              <w:rPr>
                <w:color w:val="000000"/>
                <w:sz w:val="18"/>
                <w:szCs w:val="18"/>
              </w:rPr>
              <w:t> </w:t>
            </w:r>
          </w:p>
        </w:tc>
      </w:tr>
      <w:tr w:rsidR="00150CFE" w:rsidRPr="00A518C1" w14:paraId="74A0AA42" w14:textId="77777777" w:rsidTr="000408B1">
        <w:trPr>
          <w:trHeight w:val="263"/>
        </w:trPr>
        <w:tc>
          <w:tcPr>
            <w:tcW w:w="3669" w:type="dxa"/>
            <w:tcBorders>
              <w:top w:val="nil"/>
              <w:left w:val="single" w:sz="4" w:space="0" w:color="auto"/>
              <w:bottom w:val="single" w:sz="4" w:space="0" w:color="auto"/>
              <w:right w:val="single" w:sz="4" w:space="0" w:color="auto"/>
            </w:tcBorders>
            <w:shd w:val="clear" w:color="000000" w:fill="BFBFBF"/>
            <w:noWrap/>
            <w:vAlign w:val="bottom"/>
            <w:hideMark/>
          </w:tcPr>
          <w:p w14:paraId="20006A08" w14:textId="77777777" w:rsidR="00150CFE" w:rsidRPr="00A518C1" w:rsidRDefault="00150CFE" w:rsidP="00150CFE">
            <w:pPr>
              <w:rPr>
                <w:sz w:val="18"/>
                <w:szCs w:val="18"/>
                <w:lang w:eastAsia="en-GB"/>
              </w:rPr>
            </w:pPr>
            <w:r w:rsidRPr="00A518C1">
              <w:rPr>
                <w:sz w:val="18"/>
                <w:szCs w:val="18"/>
                <w:lang w:eastAsia="en-GB"/>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4AF0775E" w14:textId="77777777" w:rsidR="00150CFE" w:rsidRPr="00A518C1" w:rsidRDefault="00150CFE" w:rsidP="00150CFE">
            <w:pPr>
              <w:jc w:val="right"/>
              <w:rPr>
                <w:b/>
                <w:bCs/>
                <w:color w:val="000000"/>
                <w:sz w:val="18"/>
                <w:szCs w:val="18"/>
                <w:lang w:eastAsia="en-GB"/>
              </w:rPr>
            </w:pPr>
            <w:r w:rsidRPr="00A518C1">
              <w:rPr>
                <w:b/>
                <w:bCs/>
                <w:color w:val="000000"/>
                <w:sz w:val="18"/>
                <w:szCs w:val="18"/>
              </w:rPr>
              <w:t>390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06202F69" w14:textId="77777777" w:rsidR="00150CFE" w:rsidRPr="00A518C1" w:rsidRDefault="00150CFE" w:rsidP="00150CFE">
            <w:pPr>
              <w:jc w:val="right"/>
              <w:rPr>
                <w:b/>
                <w:bCs/>
                <w:color w:val="000000"/>
                <w:sz w:val="18"/>
                <w:szCs w:val="18"/>
                <w:lang w:eastAsia="en-GB"/>
              </w:rPr>
            </w:pPr>
            <w:r w:rsidRPr="00A518C1">
              <w:rPr>
                <w:b/>
                <w:bCs/>
                <w:color w:val="000000"/>
                <w:sz w:val="18"/>
                <w:szCs w:val="18"/>
              </w:rPr>
              <w:t> </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1BC795F4" w14:textId="77777777" w:rsidR="00150CFE" w:rsidRPr="00A518C1" w:rsidRDefault="00150CFE" w:rsidP="00150CFE">
            <w:pPr>
              <w:jc w:val="right"/>
              <w:rPr>
                <w:b/>
                <w:bCs/>
                <w:color w:val="000000"/>
                <w:sz w:val="18"/>
                <w:szCs w:val="18"/>
                <w:lang w:eastAsia="en-GB"/>
              </w:rPr>
            </w:pPr>
            <w:r w:rsidRPr="00A518C1">
              <w:rPr>
                <w:b/>
                <w:bCs/>
                <w:color w:val="000000"/>
                <w:sz w:val="18"/>
                <w:szCs w:val="18"/>
              </w:rPr>
              <w:t> </w:t>
            </w:r>
          </w:p>
        </w:tc>
        <w:tc>
          <w:tcPr>
            <w:tcW w:w="989" w:type="dxa"/>
            <w:tcBorders>
              <w:top w:val="single" w:sz="4" w:space="0" w:color="auto"/>
              <w:left w:val="nil"/>
              <w:bottom w:val="single" w:sz="8" w:space="0" w:color="auto"/>
              <w:right w:val="single" w:sz="4" w:space="0" w:color="auto"/>
            </w:tcBorders>
            <w:shd w:val="clear" w:color="000000" w:fill="BFBFBF"/>
            <w:noWrap/>
            <w:vAlign w:val="bottom"/>
            <w:hideMark/>
          </w:tcPr>
          <w:p w14:paraId="52D07E11" w14:textId="77777777" w:rsidR="00150CFE" w:rsidRPr="00A518C1" w:rsidRDefault="00150CFE" w:rsidP="00150CFE">
            <w:pPr>
              <w:jc w:val="right"/>
              <w:rPr>
                <w:b/>
                <w:bCs/>
                <w:color w:val="000000"/>
                <w:sz w:val="18"/>
                <w:szCs w:val="18"/>
                <w:lang w:eastAsia="en-GB"/>
              </w:rPr>
            </w:pPr>
            <w:r w:rsidRPr="00A518C1">
              <w:rPr>
                <w:b/>
                <w:bCs/>
                <w:color w:val="000000"/>
                <w:sz w:val="18"/>
                <w:szCs w:val="18"/>
              </w:rPr>
              <w:t>591</w:t>
            </w:r>
          </w:p>
        </w:tc>
        <w:tc>
          <w:tcPr>
            <w:tcW w:w="1009" w:type="dxa"/>
            <w:tcBorders>
              <w:top w:val="single" w:sz="4" w:space="0" w:color="auto"/>
              <w:left w:val="nil"/>
              <w:bottom w:val="single" w:sz="8" w:space="0" w:color="auto"/>
              <w:right w:val="single" w:sz="4" w:space="0" w:color="auto"/>
            </w:tcBorders>
            <w:shd w:val="clear" w:color="000000" w:fill="BFBFBF"/>
            <w:noWrap/>
            <w:vAlign w:val="bottom"/>
            <w:hideMark/>
          </w:tcPr>
          <w:p w14:paraId="23813682" w14:textId="77777777" w:rsidR="00150CFE" w:rsidRPr="00A518C1" w:rsidRDefault="00150CFE" w:rsidP="00150CFE">
            <w:pPr>
              <w:jc w:val="right"/>
              <w:rPr>
                <w:b/>
                <w:bCs/>
                <w:color w:val="000000"/>
                <w:sz w:val="18"/>
                <w:szCs w:val="18"/>
                <w:lang w:eastAsia="en-GB"/>
              </w:rPr>
            </w:pPr>
            <w:r w:rsidRPr="00A518C1">
              <w:rPr>
                <w:b/>
                <w:bCs/>
                <w:color w:val="000000"/>
                <w:sz w:val="18"/>
                <w:szCs w:val="18"/>
              </w:rPr>
              <w:t>1,089</w:t>
            </w:r>
          </w:p>
        </w:tc>
        <w:tc>
          <w:tcPr>
            <w:tcW w:w="999" w:type="dxa"/>
            <w:tcBorders>
              <w:top w:val="nil"/>
              <w:left w:val="nil"/>
              <w:bottom w:val="single" w:sz="8" w:space="0" w:color="auto"/>
              <w:right w:val="single" w:sz="4" w:space="0" w:color="auto"/>
            </w:tcBorders>
            <w:shd w:val="clear" w:color="000000" w:fill="BFBFBF"/>
            <w:noWrap/>
            <w:vAlign w:val="bottom"/>
            <w:hideMark/>
          </w:tcPr>
          <w:p w14:paraId="2F14D505" w14:textId="77777777" w:rsidR="00150CFE" w:rsidRPr="00A518C1" w:rsidRDefault="00150CFE" w:rsidP="00150CFE">
            <w:pPr>
              <w:jc w:val="right"/>
              <w:rPr>
                <w:b/>
                <w:bCs/>
                <w:color w:val="000000"/>
                <w:sz w:val="18"/>
                <w:szCs w:val="18"/>
                <w:lang w:eastAsia="en-GB"/>
              </w:rPr>
            </w:pPr>
            <w:r w:rsidRPr="00A518C1">
              <w:rPr>
                <w:b/>
                <w:bCs/>
                <w:color w:val="000000"/>
                <w:sz w:val="18"/>
                <w:szCs w:val="18"/>
              </w:rPr>
              <w:t>456</w:t>
            </w:r>
          </w:p>
        </w:tc>
        <w:tc>
          <w:tcPr>
            <w:tcW w:w="999" w:type="dxa"/>
            <w:tcBorders>
              <w:top w:val="nil"/>
              <w:left w:val="nil"/>
              <w:bottom w:val="single" w:sz="8" w:space="0" w:color="auto"/>
              <w:right w:val="single" w:sz="4" w:space="0" w:color="auto"/>
            </w:tcBorders>
            <w:shd w:val="clear" w:color="000000" w:fill="BFBFBF"/>
            <w:noWrap/>
            <w:vAlign w:val="bottom"/>
            <w:hideMark/>
          </w:tcPr>
          <w:p w14:paraId="4D3CF8B5" w14:textId="77777777" w:rsidR="00150CFE" w:rsidRPr="00A518C1" w:rsidRDefault="00150CFE" w:rsidP="00150CFE">
            <w:pPr>
              <w:jc w:val="right"/>
              <w:rPr>
                <w:b/>
                <w:bCs/>
                <w:color w:val="000000"/>
                <w:sz w:val="18"/>
                <w:szCs w:val="18"/>
                <w:lang w:eastAsia="en-GB"/>
              </w:rPr>
            </w:pPr>
            <w:r w:rsidRPr="00A518C1">
              <w:rPr>
                <w:b/>
                <w:bCs/>
                <w:color w:val="000000"/>
                <w:sz w:val="18"/>
                <w:szCs w:val="18"/>
              </w:rPr>
              <w:t>40</w:t>
            </w:r>
          </w:p>
        </w:tc>
        <w:tc>
          <w:tcPr>
            <w:tcW w:w="999" w:type="dxa"/>
            <w:tcBorders>
              <w:top w:val="nil"/>
              <w:left w:val="nil"/>
              <w:bottom w:val="single" w:sz="8" w:space="0" w:color="auto"/>
              <w:right w:val="single" w:sz="4" w:space="0" w:color="auto"/>
            </w:tcBorders>
            <w:shd w:val="clear" w:color="000000" w:fill="BFBFBF"/>
            <w:noWrap/>
            <w:vAlign w:val="bottom"/>
            <w:hideMark/>
          </w:tcPr>
          <w:p w14:paraId="371E1411" w14:textId="77777777" w:rsidR="00150CFE" w:rsidRPr="00A518C1" w:rsidRDefault="00150CFE" w:rsidP="00150CFE">
            <w:pPr>
              <w:jc w:val="right"/>
              <w:rPr>
                <w:b/>
                <w:bCs/>
                <w:color w:val="000000"/>
                <w:sz w:val="18"/>
                <w:szCs w:val="18"/>
                <w:lang w:eastAsia="en-GB"/>
              </w:rPr>
            </w:pPr>
            <w:r w:rsidRPr="00A518C1">
              <w:rPr>
                <w:b/>
                <w:bCs/>
                <w:color w:val="000000"/>
                <w:sz w:val="18"/>
                <w:szCs w:val="18"/>
              </w:rPr>
              <w:t>300</w:t>
            </w:r>
          </w:p>
        </w:tc>
        <w:tc>
          <w:tcPr>
            <w:tcW w:w="999" w:type="dxa"/>
            <w:tcBorders>
              <w:top w:val="nil"/>
              <w:left w:val="nil"/>
              <w:bottom w:val="single" w:sz="8" w:space="0" w:color="auto"/>
              <w:right w:val="single" w:sz="4" w:space="0" w:color="auto"/>
            </w:tcBorders>
            <w:shd w:val="clear" w:color="000000" w:fill="BFBFBF"/>
            <w:noWrap/>
            <w:vAlign w:val="bottom"/>
            <w:hideMark/>
          </w:tcPr>
          <w:p w14:paraId="17F4A1A0" w14:textId="77777777" w:rsidR="00150CFE" w:rsidRPr="00A518C1" w:rsidRDefault="00150CFE" w:rsidP="00150CFE">
            <w:pPr>
              <w:jc w:val="right"/>
              <w:rPr>
                <w:b/>
                <w:bCs/>
                <w:color w:val="000000"/>
                <w:sz w:val="18"/>
                <w:szCs w:val="18"/>
                <w:lang w:eastAsia="en-GB"/>
              </w:rPr>
            </w:pPr>
            <w:r w:rsidRPr="00A518C1">
              <w:rPr>
                <w:b/>
                <w:bCs/>
                <w:color w:val="000000"/>
                <w:sz w:val="18"/>
                <w:szCs w:val="18"/>
              </w:rPr>
              <w:t>288</w:t>
            </w:r>
          </w:p>
        </w:tc>
        <w:tc>
          <w:tcPr>
            <w:tcW w:w="999" w:type="dxa"/>
            <w:tcBorders>
              <w:top w:val="nil"/>
              <w:left w:val="nil"/>
              <w:bottom w:val="single" w:sz="8" w:space="0" w:color="auto"/>
              <w:right w:val="single" w:sz="4" w:space="0" w:color="auto"/>
            </w:tcBorders>
            <w:shd w:val="clear" w:color="000000" w:fill="BFBFBF"/>
            <w:vAlign w:val="bottom"/>
          </w:tcPr>
          <w:p w14:paraId="1EE93B9D" w14:textId="77777777" w:rsidR="00150CFE" w:rsidRPr="00A518C1" w:rsidRDefault="00150CFE" w:rsidP="00F32821">
            <w:pPr>
              <w:rPr>
                <w:b/>
                <w:bCs/>
                <w:color w:val="000000"/>
                <w:sz w:val="18"/>
                <w:szCs w:val="18"/>
                <w:lang w:eastAsia="en-GB"/>
              </w:rPr>
            </w:pPr>
            <w:r w:rsidRPr="00A518C1">
              <w:rPr>
                <w:b/>
                <w:bCs/>
                <w:color w:val="000000"/>
                <w:sz w:val="18"/>
                <w:szCs w:val="18"/>
              </w:rPr>
              <w:t> </w:t>
            </w:r>
          </w:p>
        </w:tc>
      </w:tr>
      <w:tr w:rsidR="00FB0656" w:rsidRPr="00A518C1" w14:paraId="413F3D96" w14:textId="77777777" w:rsidTr="000408B1">
        <w:trPr>
          <w:trHeight w:val="28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52B096F8" w14:textId="77777777" w:rsidR="00FB0656" w:rsidRPr="00A518C1" w:rsidRDefault="00FB0656" w:rsidP="00FB0656">
            <w:pPr>
              <w:rPr>
                <w:sz w:val="18"/>
                <w:szCs w:val="18"/>
                <w:lang w:eastAsia="en-GB"/>
              </w:rPr>
            </w:pPr>
            <w:r w:rsidRPr="00A518C1">
              <w:rPr>
                <w:sz w:val="18"/>
                <w:szCs w:val="18"/>
                <w:lang w:eastAsia="en-GB"/>
              </w:rPr>
              <w:t xml:space="preserve">BA Sets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B9C7EA2"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DB30530"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tcPr>
          <w:p w14:paraId="77DAD155"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single" w:sz="4" w:space="0" w:color="auto"/>
              <w:right w:val="single" w:sz="4" w:space="0" w:color="auto"/>
            </w:tcBorders>
            <w:shd w:val="clear" w:color="auto" w:fill="auto"/>
            <w:noWrap/>
            <w:vAlign w:val="bottom"/>
          </w:tcPr>
          <w:p w14:paraId="209DB459"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5D1C8795" w14:textId="77777777" w:rsidR="00FB0656" w:rsidRPr="00A518C1" w:rsidRDefault="00FB0656" w:rsidP="00FB0656">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2A8A4362" w14:textId="77777777" w:rsidR="00FB0656" w:rsidRPr="00A518C1" w:rsidRDefault="00FB0656" w:rsidP="00FB0656">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tcPr>
          <w:p w14:paraId="1547E1CB"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nil"/>
            </w:tcBorders>
            <w:shd w:val="clear" w:color="auto" w:fill="auto"/>
            <w:noWrap/>
            <w:vAlign w:val="bottom"/>
          </w:tcPr>
          <w:p w14:paraId="01ADDE66"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A4A2"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single" w:sz="4" w:space="0" w:color="auto"/>
              <w:right w:val="single" w:sz="4" w:space="0" w:color="auto"/>
            </w:tcBorders>
            <w:vAlign w:val="bottom"/>
          </w:tcPr>
          <w:p w14:paraId="6C6D8975" w14:textId="77777777" w:rsidR="00FB0656" w:rsidRPr="00A518C1" w:rsidRDefault="00FB0656" w:rsidP="00FB0656">
            <w:pPr>
              <w:jc w:val="right"/>
              <w:rPr>
                <w:color w:val="000000"/>
                <w:sz w:val="18"/>
                <w:szCs w:val="18"/>
                <w:lang w:eastAsia="en-GB"/>
              </w:rPr>
            </w:pPr>
            <w:r w:rsidRPr="00A518C1">
              <w:rPr>
                <w:color w:val="000000"/>
                <w:sz w:val="18"/>
                <w:szCs w:val="18"/>
              </w:rPr>
              <w:t>1,225</w:t>
            </w:r>
          </w:p>
        </w:tc>
      </w:tr>
      <w:tr w:rsidR="00FB0656" w:rsidRPr="00A518C1" w14:paraId="676A8C35"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22A8A5F" w14:textId="77777777" w:rsidR="00FB0656" w:rsidRPr="00A518C1" w:rsidRDefault="00D515FB" w:rsidP="00FB0656">
            <w:pPr>
              <w:rPr>
                <w:sz w:val="18"/>
                <w:szCs w:val="18"/>
                <w:lang w:eastAsia="en-GB"/>
              </w:rPr>
            </w:pPr>
            <w:r w:rsidRPr="00A518C1">
              <w:rPr>
                <w:sz w:val="18"/>
                <w:szCs w:val="18"/>
                <w:lang w:eastAsia="en-GB"/>
              </w:rPr>
              <w:t>Radios</w:t>
            </w:r>
          </w:p>
        </w:tc>
        <w:tc>
          <w:tcPr>
            <w:tcW w:w="999" w:type="dxa"/>
            <w:tcBorders>
              <w:top w:val="nil"/>
              <w:left w:val="nil"/>
              <w:bottom w:val="single" w:sz="4" w:space="0" w:color="auto"/>
              <w:right w:val="single" w:sz="4" w:space="0" w:color="auto"/>
            </w:tcBorders>
            <w:shd w:val="clear" w:color="auto" w:fill="auto"/>
            <w:noWrap/>
            <w:vAlign w:val="bottom"/>
            <w:hideMark/>
          </w:tcPr>
          <w:p w14:paraId="250B210D"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6FFAE97"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9D9998C" w14:textId="77777777" w:rsidR="00FB0656" w:rsidRPr="00A518C1" w:rsidRDefault="00FB0656" w:rsidP="00FB0656">
            <w:pPr>
              <w:jc w:val="right"/>
              <w:rPr>
                <w:color w:val="000000"/>
                <w:sz w:val="18"/>
                <w:szCs w:val="18"/>
                <w:lang w:eastAsia="en-GB"/>
              </w:rPr>
            </w:pPr>
            <w:r w:rsidRPr="00A518C1">
              <w:rPr>
                <w:color w:val="000000"/>
                <w:sz w:val="18"/>
                <w:szCs w:val="18"/>
                <w:lang w:eastAsia="en-GB"/>
              </w:rPr>
              <w:t>315</w:t>
            </w:r>
          </w:p>
        </w:tc>
        <w:tc>
          <w:tcPr>
            <w:tcW w:w="989" w:type="dxa"/>
            <w:tcBorders>
              <w:top w:val="nil"/>
              <w:left w:val="nil"/>
              <w:bottom w:val="single" w:sz="4" w:space="0" w:color="auto"/>
              <w:right w:val="single" w:sz="4" w:space="0" w:color="auto"/>
            </w:tcBorders>
            <w:shd w:val="clear" w:color="auto" w:fill="auto"/>
            <w:noWrap/>
            <w:vAlign w:val="bottom"/>
            <w:hideMark/>
          </w:tcPr>
          <w:p w14:paraId="7BE4364B"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7D03E26A" w14:textId="77777777" w:rsidR="00FB0656" w:rsidRPr="00A518C1" w:rsidRDefault="00FB0656" w:rsidP="00FB0656">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1911F06D" w14:textId="77777777" w:rsidR="00FB0656" w:rsidRPr="00A518C1" w:rsidRDefault="00FB0656" w:rsidP="00FB0656">
            <w:pPr>
              <w:jc w:val="right"/>
              <w:rPr>
                <w:rFonts w:ascii="Calibri" w:hAnsi="Calibri" w:cs="Calibri"/>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60413912"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41375F93"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045A63CC"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1AB330F9"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5C0DAD0A"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7D91BF97" w14:textId="77777777" w:rsidR="00FB0656" w:rsidRPr="00A518C1" w:rsidRDefault="00FB0656" w:rsidP="00FB0656">
            <w:pPr>
              <w:rPr>
                <w:sz w:val="18"/>
                <w:szCs w:val="18"/>
                <w:lang w:eastAsia="en-GB"/>
              </w:rPr>
            </w:pPr>
            <w:r w:rsidRPr="00A518C1">
              <w:rPr>
                <w:sz w:val="18"/>
                <w:szCs w:val="18"/>
                <w:lang w:eastAsia="en-GB"/>
              </w:rPr>
              <w:t xml:space="preserve"> RTC Equipment ( Holmatro)</w:t>
            </w:r>
          </w:p>
        </w:tc>
        <w:tc>
          <w:tcPr>
            <w:tcW w:w="999" w:type="dxa"/>
            <w:tcBorders>
              <w:top w:val="nil"/>
              <w:left w:val="nil"/>
              <w:bottom w:val="nil"/>
              <w:right w:val="nil"/>
            </w:tcBorders>
            <w:shd w:val="clear" w:color="auto" w:fill="auto"/>
            <w:noWrap/>
            <w:vAlign w:val="bottom"/>
            <w:hideMark/>
          </w:tcPr>
          <w:p w14:paraId="5B700B1A"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tcPr>
          <w:p w14:paraId="7466B909"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14:paraId="23D5913F" w14:textId="77777777" w:rsidR="00FB0656" w:rsidRPr="00A518C1" w:rsidRDefault="00FB0656" w:rsidP="00FB0656">
            <w:pPr>
              <w:jc w:val="right"/>
              <w:rPr>
                <w:color w:val="000000"/>
                <w:sz w:val="18"/>
                <w:szCs w:val="18"/>
                <w:lang w:eastAsia="en-GB"/>
              </w:rPr>
            </w:pPr>
          </w:p>
        </w:tc>
        <w:tc>
          <w:tcPr>
            <w:tcW w:w="989" w:type="dxa"/>
            <w:tcBorders>
              <w:top w:val="nil"/>
              <w:left w:val="nil"/>
              <w:bottom w:val="single" w:sz="4" w:space="0" w:color="auto"/>
              <w:right w:val="single" w:sz="4" w:space="0" w:color="auto"/>
            </w:tcBorders>
            <w:shd w:val="clear" w:color="auto" w:fill="auto"/>
            <w:noWrap/>
            <w:vAlign w:val="bottom"/>
          </w:tcPr>
          <w:p w14:paraId="5331E4D8" w14:textId="77777777" w:rsidR="00FB0656" w:rsidRPr="00A518C1" w:rsidRDefault="00FB0656" w:rsidP="00FB0656">
            <w:pPr>
              <w:jc w:val="right"/>
              <w:rPr>
                <w:color w:val="000000"/>
                <w:sz w:val="18"/>
                <w:szCs w:val="18"/>
                <w:lang w:eastAsia="en-GB"/>
              </w:rPr>
            </w:pPr>
            <w:r w:rsidRPr="00A518C1">
              <w:rPr>
                <w:color w:val="000000"/>
                <w:sz w:val="18"/>
                <w:szCs w:val="18"/>
              </w:rPr>
              <w:t>457 </w:t>
            </w:r>
          </w:p>
        </w:tc>
        <w:tc>
          <w:tcPr>
            <w:tcW w:w="1009" w:type="dxa"/>
            <w:tcBorders>
              <w:top w:val="nil"/>
              <w:left w:val="nil"/>
              <w:bottom w:val="single" w:sz="4" w:space="0" w:color="auto"/>
              <w:right w:val="single" w:sz="4" w:space="0" w:color="auto"/>
            </w:tcBorders>
            <w:shd w:val="clear" w:color="auto" w:fill="auto"/>
            <w:noWrap/>
            <w:vAlign w:val="bottom"/>
            <w:hideMark/>
          </w:tcPr>
          <w:p w14:paraId="3C250CD5" w14:textId="77777777" w:rsidR="00FB0656" w:rsidRPr="00A518C1" w:rsidRDefault="00FB0656" w:rsidP="00FB0656">
            <w:pPr>
              <w:jc w:val="right"/>
              <w:rPr>
                <w:color w:val="000000"/>
                <w:sz w:val="18"/>
                <w:szCs w:val="18"/>
              </w:rPr>
            </w:pPr>
            <w:r w:rsidRPr="00A518C1">
              <w:rPr>
                <w:color w:val="000000"/>
                <w:sz w:val="18"/>
                <w:szCs w:val="18"/>
              </w:rPr>
              <w:t>468 </w:t>
            </w:r>
          </w:p>
        </w:tc>
        <w:tc>
          <w:tcPr>
            <w:tcW w:w="999" w:type="dxa"/>
            <w:tcBorders>
              <w:top w:val="nil"/>
              <w:left w:val="nil"/>
              <w:bottom w:val="single" w:sz="4" w:space="0" w:color="auto"/>
              <w:right w:val="single" w:sz="4" w:space="0" w:color="auto"/>
            </w:tcBorders>
            <w:shd w:val="clear" w:color="auto" w:fill="auto"/>
            <w:noWrap/>
            <w:vAlign w:val="bottom"/>
            <w:hideMark/>
          </w:tcPr>
          <w:p w14:paraId="746A2377" w14:textId="77777777" w:rsidR="00FB0656" w:rsidRPr="00A518C1" w:rsidRDefault="00FB0656" w:rsidP="00FB0656">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26DF6F23"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64B76290"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6A4D07C6"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2830327D"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3297FF2C"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3B44B5A" w14:textId="77777777" w:rsidR="00FB0656" w:rsidRPr="00A518C1" w:rsidRDefault="00FB0656" w:rsidP="00FB0656">
            <w:pPr>
              <w:rPr>
                <w:sz w:val="18"/>
                <w:szCs w:val="18"/>
                <w:lang w:eastAsia="en-GB"/>
              </w:rPr>
            </w:pPr>
            <w:r w:rsidRPr="00A518C1">
              <w:rPr>
                <w:sz w:val="18"/>
                <w:szCs w:val="18"/>
                <w:lang w:eastAsia="en-GB"/>
              </w:rPr>
              <w:t>Gas Monitoring</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6BB72B2" w14:textId="77777777" w:rsidR="00FB0656" w:rsidRPr="00A518C1" w:rsidRDefault="00FB0656" w:rsidP="00FB0656">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auto" w:fill="auto"/>
            <w:noWrap/>
            <w:vAlign w:val="bottom"/>
          </w:tcPr>
          <w:p w14:paraId="602BD694"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tcPr>
          <w:p w14:paraId="0CD3C349" w14:textId="77777777" w:rsidR="00FB0656" w:rsidRPr="00A518C1" w:rsidRDefault="00FB0656" w:rsidP="00FB0656">
            <w:pPr>
              <w:jc w:val="right"/>
              <w:rPr>
                <w:color w:val="000000"/>
                <w:sz w:val="18"/>
                <w:szCs w:val="18"/>
                <w:lang w:eastAsia="en-GB"/>
              </w:rPr>
            </w:pPr>
            <w:r w:rsidRPr="00A518C1">
              <w:rPr>
                <w:color w:val="000000"/>
                <w:sz w:val="18"/>
                <w:szCs w:val="18"/>
              </w:rPr>
              <w:t>35 </w:t>
            </w:r>
          </w:p>
        </w:tc>
        <w:tc>
          <w:tcPr>
            <w:tcW w:w="989" w:type="dxa"/>
            <w:tcBorders>
              <w:top w:val="nil"/>
              <w:left w:val="nil"/>
              <w:bottom w:val="single" w:sz="4" w:space="0" w:color="auto"/>
              <w:right w:val="single" w:sz="4" w:space="0" w:color="auto"/>
            </w:tcBorders>
            <w:shd w:val="clear" w:color="auto" w:fill="auto"/>
            <w:noWrap/>
            <w:vAlign w:val="bottom"/>
          </w:tcPr>
          <w:p w14:paraId="32F780FE" w14:textId="77777777" w:rsidR="00FB0656" w:rsidRPr="00A518C1" w:rsidRDefault="00FB0656" w:rsidP="00FB0656">
            <w:pPr>
              <w:jc w:val="right"/>
              <w:rPr>
                <w:color w:val="000000"/>
                <w:sz w:val="18"/>
                <w:szCs w:val="18"/>
                <w:lang w:eastAsia="en-GB"/>
              </w:rPr>
            </w:pPr>
          </w:p>
        </w:tc>
        <w:tc>
          <w:tcPr>
            <w:tcW w:w="1009" w:type="dxa"/>
            <w:tcBorders>
              <w:top w:val="nil"/>
              <w:left w:val="nil"/>
              <w:bottom w:val="single" w:sz="4" w:space="0" w:color="auto"/>
              <w:right w:val="single" w:sz="4" w:space="0" w:color="auto"/>
            </w:tcBorders>
            <w:shd w:val="clear" w:color="auto" w:fill="auto"/>
            <w:noWrap/>
            <w:vAlign w:val="bottom"/>
            <w:hideMark/>
          </w:tcPr>
          <w:p w14:paraId="5C1C4FF6" w14:textId="77777777" w:rsidR="00FB0656" w:rsidRPr="00A518C1" w:rsidRDefault="00FB0656" w:rsidP="00FB0656">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auto" w:fill="auto"/>
            <w:noWrap/>
            <w:vAlign w:val="bottom"/>
            <w:hideMark/>
          </w:tcPr>
          <w:p w14:paraId="45347957" w14:textId="77777777" w:rsidR="00FB0656" w:rsidRPr="00A518C1" w:rsidRDefault="00FB0656" w:rsidP="00FB0656">
            <w:pPr>
              <w:jc w:val="right"/>
              <w:rPr>
                <w:rFonts w:ascii="Calibri" w:hAnsi="Calibri" w:cs="Calibri"/>
                <w:color w:val="000000"/>
                <w:sz w:val="18"/>
                <w:szCs w:val="18"/>
                <w:lang w:eastAsia="en-GB"/>
              </w:rPr>
            </w:pPr>
            <w:r w:rsidRPr="00A518C1">
              <w:rPr>
                <w:rFonts w:ascii="Calibri" w:hAnsi="Calibri" w:cs="Calibri"/>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91FEACE"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nil"/>
            </w:tcBorders>
            <w:shd w:val="clear" w:color="auto" w:fill="auto"/>
            <w:noWrap/>
            <w:vAlign w:val="bottom"/>
            <w:hideMark/>
          </w:tcPr>
          <w:p w14:paraId="287F9F67"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4312FF98" w14:textId="77777777" w:rsidR="00FB0656" w:rsidRPr="00A518C1" w:rsidRDefault="00FB0656" w:rsidP="00FB0656">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4AE44781" w14:textId="77777777" w:rsidR="00FB0656" w:rsidRPr="00A518C1" w:rsidRDefault="00FB0656" w:rsidP="00FB0656">
            <w:pPr>
              <w:jc w:val="right"/>
              <w:rPr>
                <w:color w:val="000000"/>
                <w:sz w:val="18"/>
                <w:szCs w:val="18"/>
                <w:lang w:eastAsia="en-GB"/>
              </w:rPr>
            </w:pPr>
            <w:r w:rsidRPr="00A518C1">
              <w:rPr>
                <w:color w:val="000000"/>
                <w:sz w:val="18"/>
                <w:szCs w:val="18"/>
              </w:rPr>
              <w:t> </w:t>
            </w:r>
          </w:p>
        </w:tc>
      </w:tr>
      <w:tr w:rsidR="00FB0656" w:rsidRPr="00A518C1" w14:paraId="7196AE46" w14:textId="77777777" w:rsidTr="000408B1">
        <w:trPr>
          <w:trHeight w:val="263"/>
        </w:trPr>
        <w:tc>
          <w:tcPr>
            <w:tcW w:w="3669" w:type="dxa"/>
            <w:tcBorders>
              <w:top w:val="nil"/>
              <w:left w:val="single" w:sz="4" w:space="0" w:color="auto"/>
              <w:bottom w:val="single" w:sz="4" w:space="0" w:color="auto"/>
              <w:right w:val="single" w:sz="4" w:space="0" w:color="auto"/>
            </w:tcBorders>
            <w:shd w:val="clear" w:color="000000" w:fill="BFBFBF"/>
            <w:noWrap/>
            <w:vAlign w:val="bottom"/>
            <w:hideMark/>
          </w:tcPr>
          <w:p w14:paraId="0C2516A0" w14:textId="77777777" w:rsidR="00FB0656" w:rsidRPr="00A518C1" w:rsidRDefault="00FB0656" w:rsidP="00FB0656">
            <w:pPr>
              <w:rPr>
                <w:sz w:val="18"/>
                <w:szCs w:val="18"/>
                <w:lang w:eastAsia="en-GB"/>
              </w:rPr>
            </w:pPr>
            <w:r w:rsidRPr="00A518C1">
              <w:rPr>
                <w:sz w:val="18"/>
                <w:szCs w:val="18"/>
                <w:lang w:eastAsia="en-GB"/>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05E1B139"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3E589AEB"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683C0096" w14:textId="77777777" w:rsidR="00FB0656" w:rsidRPr="00A518C1" w:rsidRDefault="00FB0656" w:rsidP="00FB0656">
            <w:pPr>
              <w:jc w:val="right"/>
              <w:rPr>
                <w:b/>
                <w:bCs/>
                <w:color w:val="000000"/>
                <w:sz w:val="18"/>
                <w:szCs w:val="18"/>
                <w:lang w:eastAsia="en-GB"/>
              </w:rPr>
            </w:pPr>
            <w:r w:rsidRPr="00A518C1">
              <w:rPr>
                <w:b/>
                <w:bCs/>
                <w:color w:val="000000"/>
                <w:sz w:val="18"/>
                <w:szCs w:val="18"/>
              </w:rPr>
              <w:t>350</w:t>
            </w:r>
          </w:p>
        </w:tc>
        <w:tc>
          <w:tcPr>
            <w:tcW w:w="989" w:type="dxa"/>
            <w:tcBorders>
              <w:top w:val="nil"/>
              <w:left w:val="nil"/>
              <w:bottom w:val="single" w:sz="8" w:space="0" w:color="auto"/>
              <w:right w:val="single" w:sz="4" w:space="0" w:color="auto"/>
            </w:tcBorders>
            <w:shd w:val="clear" w:color="000000" w:fill="BFBFBF"/>
            <w:noWrap/>
            <w:vAlign w:val="bottom"/>
            <w:hideMark/>
          </w:tcPr>
          <w:p w14:paraId="60EF64D0" w14:textId="77777777" w:rsidR="00FB0656" w:rsidRPr="00A518C1" w:rsidRDefault="00FB0656" w:rsidP="00FB0656">
            <w:pPr>
              <w:jc w:val="right"/>
              <w:rPr>
                <w:b/>
                <w:bCs/>
                <w:color w:val="000000"/>
                <w:sz w:val="18"/>
                <w:szCs w:val="18"/>
                <w:lang w:eastAsia="en-GB"/>
              </w:rPr>
            </w:pPr>
            <w:r w:rsidRPr="00A518C1">
              <w:rPr>
                <w:b/>
                <w:bCs/>
                <w:color w:val="000000"/>
                <w:sz w:val="18"/>
                <w:szCs w:val="18"/>
              </w:rPr>
              <w:t>457</w:t>
            </w:r>
          </w:p>
        </w:tc>
        <w:tc>
          <w:tcPr>
            <w:tcW w:w="1009" w:type="dxa"/>
            <w:tcBorders>
              <w:top w:val="nil"/>
              <w:left w:val="nil"/>
              <w:bottom w:val="single" w:sz="8" w:space="0" w:color="auto"/>
              <w:right w:val="single" w:sz="4" w:space="0" w:color="auto"/>
            </w:tcBorders>
            <w:shd w:val="clear" w:color="000000" w:fill="BFBFBF"/>
            <w:noWrap/>
            <w:vAlign w:val="bottom"/>
            <w:hideMark/>
          </w:tcPr>
          <w:p w14:paraId="5AFB7619" w14:textId="77777777" w:rsidR="00FB0656" w:rsidRPr="00A518C1" w:rsidRDefault="00FB0656" w:rsidP="00FB0656">
            <w:pPr>
              <w:jc w:val="right"/>
              <w:rPr>
                <w:b/>
                <w:bCs/>
                <w:color w:val="000000"/>
                <w:sz w:val="18"/>
                <w:szCs w:val="18"/>
                <w:lang w:eastAsia="en-GB"/>
              </w:rPr>
            </w:pPr>
            <w:r w:rsidRPr="00A518C1">
              <w:rPr>
                <w:b/>
                <w:bCs/>
                <w:color w:val="000000"/>
                <w:sz w:val="18"/>
                <w:szCs w:val="18"/>
              </w:rPr>
              <w:t>468</w:t>
            </w:r>
          </w:p>
        </w:tc>
        <w:tc>
          <w:tcPr>
            <w:tcW w:w="999" w:type="dxa"/>
            <w:tcBorders>
              <w:top w:val="nil"/>
              <w:left w:val="nil"/>
              <w:bottom w:val="single" w:sz="8" w:space="0" w:color="auto"/>
              <w:right w:val="single" w:sz="4" w:space="0" w:color="auto"/>
            </w:tcBorders>
            <w:shd w:val="clear" w:color="000000" w:fill="BFBFBF"/>
            <w:noWrap/>
            <w:vAlign w:val="bottom"/>
            <w:hideMark/>
          </w:tcPr>
          <w:p w14:paraId="7BEE848E"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086035DF"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6DFF7045"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noWrap/>
            <w:vAlign w:val="bottom"/>
            <w:hideMark/>
          </w:tcPr>
          <w:p w14:paraId="7B82F31C" w14:textId="77777777" w:rsidR="00FB0656" w:rsidRPr="00A518C1" w:rsidRDefault="00FB0656" w:rsidP="00FB0656">
            <w:pPr>
              <w:jc w:val="right"/>
              <w:rPr>
                <w:b/>
                <w:bCs/>
                <w:color w:val="000000"/>
                <w:sz w:val="18"/>
                <w:szCs w:val="18"/>
                <w:lang w:eastAsia="en-GB"/>
              </w:rPr>
            </w:pPr>
            <w:r w:rsidRPr="00A518C1">
              <w:rPr>
                <w:b/>
                <w:bCs/>
                <w:color w:val="000000"/>
                <w:sz w:val="18"/>
                <w:szCs w:val="18"/>
              </w:rPr>
              <w:t> </w:t>
            </w:r>
          </w:p>
        </w:tc>
        <w:tc>
          <w:tcPr>
            <w:tcW w:w="999" w:type="dxa"/>
            <w:tcBorders>
              <w:top w:val="nil"/>
              <w:left w:val="nil"/>
              <w:bottom w:val="single" w:sz="8" w:space="0" w:color="auto"/>
              <w:right w:val="single" w:sz="4" w:space="0" w:color="auto"/>
            </w:tcBorders>
            <w:shd w:val="clear" w:color="000000" w:fill="BFBFBF"/>
            <w:vAlign w:val="bottom"/>
          </w:tcPr>
          <w:p w14:paraId="69B576AD" w14:textId="77777777" w:rsidR="00FB0656" w:rsidRPr="00A518C1" w:rsidRDefault="00FB0656" w:rsidP="00F32821">
            <w:pPr>
              <w:jc w:val="right"/>
              <w:rPr>
                <w:b/>
                <w:bCs/>
                <w:color w:val="000000"/>
                <w:sz w:val="18"/>
                <w:szCs w:val="18"/>
                <w:lang w:eastAsia="en-GB"/>
              </w:rPr>
            </w:pPr>
            <w:r w:rsidRPr="00A518C1">
              <w:rPr>
                <w:b/>
                <w:bCs/>
                <w:color w:val="000000"/>
                <w:sz w:val="18"/>
                <w:szCs w:val="18"/>
              </w:rPr>
              <w:t>1,225</w:t>
            </w:r>
          </w:p>
        </w:tc>
      </w:tr>
      <w:tr w:rsidR="00F8146A" w:rsidRPr="00A518C1" w14:paraId="3B408FF0" w14:textId="77777777" w:rsidTr="00FB0656">
        <w:trPr>
          <w:trHeight w:val="28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CA8B50E" w14:textId="77777777" w:rsidR="00F8146A" w:rsidRPr="00A518C1" w:rsidRDefault="00F8146A" w:rsidP="00760A08">
            <w:pPr>
              <w:rPr>
                <w:b/>
                <w:bCs/>
                <w:sz w:val="18"/>
                <w:szCs w:val="18"/>
                <w:lang w:eastAsia="en-GB"/>
              </w:rPr>
            </w:pPr>
            <w:r w:rsidRPr="00A518C1">
              <w:rPr>
                <w:b/>
                <w:bCs/>
                <w:sz w:val="18"/>
                <w:szCs w:val="18"/>
                <w:lang w:eastAsia="en-GB"/>
              </w:rPr>
              <w:t>ESTATES</w:t>
            </w:r>
          </w:p>
        </w:tc>
        <w:tc>
          <w:tcPr>
            <w:tcW w:w="999" w:type="dxa"/>
            <w:tcBorders>
              <w:top w:val="single" w:sz="4" w:space="0" w:color="auto"/>
              <w:left w:val="nil"/>
              <w:bottom w:val="nil"/>
              <w:right w:val="single" w:sz="4" w:space="0" w:color="auto"/>
            </w:tcBorders>
            <w:shd w:val="clear" w:color="000000" w:fill="FFFFFF"/>
            <w:noWrap/>
            <w:vAlign w:val="bottom"/>
            <w:hideMark/>
          </w:tcPr>
          <w:p w14:paraId="2F36BD38"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nil"/>
              <w:bottom w:val="nil"/>
              <w:right w:val="single" w:sz="4" w:space="0" w:color="auto"/>
            </w:tcBorders>
            <w:shd w:val="clear" w:color="000000" w:fill="FFFFFF"/>
            <w:noWrap/>
            <w:vAlign w:val="bottom"/>
            <w:hideMark/>
          </w:tcPr>
          <w:p w14:paraId="6205CCBB"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nil"/>
              <w:bottom w:val="nil"/>
              <w:right w:val="single" w:sz="4" w:space="0" w:color="auto"/>
            </w:tcBorders>
            <w:shd w:val="clear" w:color="000000" w:fill="FFFFFF"/>
            <w:noWrap/>
            <w:vAlign w:val="bottom"/>
            <w:hideMark/>
          </w:tcPr>
          <w:p w14:paraId="138C1567"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89" w:type="dxa"/>
            <w:tcBorders>
              <w:top w:val="single" w:sz="4" w:space="0" w:color="auto"/>
              <w:left w:val="nil"/>
              <w:bottom w:val="nil"/>
              <w:right w:val="single" w:sz="4" w:space="0" w:color="auto"/>
            </w:tcBorders>
            <w:shd w:val="clear" w:color="000000" w:fill="FFFFFF"/>
            <w:noWrap/>
            <w:vAlign w:val="bottom"/>
            <w:hideMark/>
          </w:tcPr>
          <w:p w14:paraId="001DC060"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1009" w:type="dxa"/>
            <w:tcBorders>
              <w:top w:val="single" w:sz="4" w:space="0" w:color="auto"/>
              <w:left w:val="nil"/>
              <w:bottom w:val="nil"/>
              <w:right w:val="single" w:sz="4" w:space="0" w:color="auto"/>
            </w:tcBorders>
            <w:shd w:val="clear" w:color="000000" w:fill="FFFFFF"/>
            <w:noWrap/>
            <w:vAlign w:val="bottom"/>
            <w:hideMark/>
          </w:tcPr>
          <w:p w14:paraId="1069DFF2"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nil"/>
              <w:bottom w:val="nil"/>
              <w:right w:val="single" w:sz="4" w:space="0" w:color="auto"/>
            </w:tcBorders>
            <w:shd w:val="clear" w:color="000000" w:fill="FFFFFF"/>
            <w:noWrap/>
            <w:vAlign w:val="bottom"/>
            <w:hideMark/>
          </w:tcPr>
          <w:p w14:paraId="48C0FBD1"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nil"/>
              <w:bottom w:val="nil"/>
              <w:right w:val="single" w:sz="4" w:space="0" w:color="auto"/>
            </w:tcBorders>
            <w:shd w:val="clear" w:color="000000" w:fill="FFFFFF"/>
            <w:noWrap/>
            <w:vAlign w:val="bottom"/>
            <w:hideMark/>
          </w:tcPr>
          <w:p w14:paraId="2E894BE9"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nil"/>
              <w:bottom w:val="nil"/>
              <w:right w:val="nil"/>
            </w:tcBorders>
            <w:shd w:val="clear" w:color="000000" w:fill="FFFFFF"/>
            <w:noWrap/>
            <w:vAlign w:val="bottom"/>
            <w:hideMark/>
          </w:tcPr>
          <w:p w14:paraId="64320488"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single" w:sz="4" w:space="0" w:color="auto"/>
              <w:bottom w:val="nil"/>
              <w:right w:val="single" w:sz="4" w:space="0" w:color="auto"/>
            </w:tcBorders>
            <w:shd w:val="clear" w:color="000000" w:fill="FFFFFF"/>
            <w:noWrap/>
            <w:vAlign w:val="bottom"/>
            <w:hideMark/>
          </w:tcPr>
          <w:p w14:paraId="6DE4BBE8"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single" w:sz="4" w:space="0" w:color="auto"/>
              <w:left w:val="single" w:sz="4" w:space="0" w:color="auto"/>
              <w:bottom w:val="nil"/>
              <w:right w:val="single" w:sz="4" w:space="0" w:color="auto"/>
            </w:tcBorders>
            <w:shd w:val="clear" w:color="000000" w:fill="FFFFFF"/>
          </w:tcPr>
          <w:p w14:paraId="7B099FB3" w14:textId="77777777" w:rsidR="00F8146A" w:rsidRPr="00A518C1" w:rsidRDefault="00F8146A" w:rsidP="00760A08">
            <w:pPr>
              <w:rPr>
                <w:b/>
                <w:bCs/>
                <w:color w:val="000000"/>
                <w:sz w:val="18"/>
                <w:szCs w:val="18"/>
                <w:lang w:eastAsia="en-GB"/>
              </w:rPr>
            </w:pPr>
          </w:p>
        </w:tc>
      </w:tr>
      <w:tr w:rsidR="00F8146A" w:rsidRPr="00A518C1" w14:paraId="04014781"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6DEB20B" w14:textId="77777777" w:rsidR="00F8146A" w:rsidRPr="00A518C1" w:rsidRDefault="00F8146A" w:rsidP="00760A08">
            <w:pPr>
              <w:rPr>
                <w:sz w:val="18"/>
                <w:szCs w:val="18"/>
                <w:lang w:eastAsia="en-GB"/>
              </w:rPr>
            </w:pPr>
            <w:r w:rsidRPr="00A518C1">
              <w:rPr>
                <w:sz w:val="18"/>
                <w:szCs w:val="18"/>
                <w:lang w:eastAsia="en-GB"/>
              </w:rPr>
              <w:t xml:space="preserve">Access and Inclusion </w:t>
            </w:r>
          </w:p>
        </w:tc>
        <w:tc>
          <w:tcPr>
            <w:tcW w:w="999" w:type="dxa"/>
            <w:tcBorders>
              <w:top w:val="single" w:sz="4" w:space="0" w:color="auto"/>
              <w:left w:val="nil"/>
              <w:bottom w:val="nil"/>
              <w:right w:val="single" w:sz="4" w:space="0" w:color="auto"/>
            </w:tcBorders>
            <w:shd w:val="clear" w:color="auto" w:fill="auto"/>
            <w:noWrap/>
            <w:vAlign w:val="bottom"/>
            <w:hideMark/>
          </w:tcPr>
          <w:p w14:paraId="18613141" w14:textId="77777777" w:rsidR="00F8146A" w:rsidRPr="00A518C1" w:rsidRDefault="00F8146A" w:rsidP="00760A08">
            <w:pPr>
              <w:jc w:val="right"/>
              <w:rPr>
                <w:color w:val="000000"/>
                <w:sz w:val="18"/>
                <w:szCs w:val="18"/>
                <w:lang w:eastAsia="en-GB"/>
              </w:rPr>
            </w:pPr>
            <w:r w:rsidRPr="00A518C1">
              <w:rPr>
                <w:color w:val="000000"/>
                <w:sz w:val="18"/>
                <w:szCs w:val="18"/>
                <w:lang w:eastAsia="en-GB"/>
              </w:rPr>
              <w:t>750</w:t>
            </w:r>
          </w:p>
        </w:tc>
        <w:tc>
          <w:tcPr>
            <w:tcW w:w="999" w:type="dxa"/>
            <w:tcBorders>
              <w:top w:val="single" w:sz="4" w:space="0" w:color="auto"/>
              <w:left w:val="nil"/>
              <w:bottom w:val="nil"/>
              <w:right w:val="single" w:sz="4" w:space="0" w:color="auto"/>
            </w:tcBorders>
            <w:shd w:val="clear" w:color="auto" w:fill="auto"/>
            <w:noWrap/>
            <w:vAlign w:val="bottom"/>
            <w:hideMark/>
          </w:tcPr>
          <w:p w14:paraId="63AB5B9C"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nil"/>
              <w:right w:val="single" w:sz="4" w:space="0" w:color="auto"/>
            </w:tcBorders>
            <w:shd w:val="clear" w:color="auto" w:fill="auto"/>
            <w:noWrap/>
            <w:vAlign w:val="bottom"/>
            <w:hideMark/>
          </w:tcPr>
          <w:p w14:paraId="3FE65713"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89" w:type="dxa"/>
            <w:tcBorders>
              <w:top w:val="single" w:sz="4" w:space="0" w:color="auto"/>
              <w:left w:val="nil"/>
              <w:bottom w:val="nil"/>
              <w:right w:val="single" w:sz="4" w:space="0" w:color="auto"/>
            </w:tcBorders>
            <w:shd w:val="clear" w:color="auto" w:fill="auto"/>
            <w:noWrap/>
            <w:vAlign w:val="bottom"/>
            <w:hideMark/>
          </w:tcPr>
          <w:p w14:paraId="02A740DC"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1009" w:type="dxa"/>
            <w:tcBorders>
              <w:top w:val="single" w:sz="4" w:space="0" w:color="auto"/>
              <w:left w:val="nil"/>
              <w:bottom w:val="nil"/>
              <w:right w:val="single" w:sz="4" w:space="0" w:color="auto"/>
            </w:tcBorders>
            <w:shd w:val="clear" w:color="auto" w:fill="auto"/>
            <w:noWrap/>
            <w:vAlign w:val="bottom"/>
            <w:hideMark/>
          </w:tcPr>
          <w:p w14:paraId="656FD9F0"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nil"/>
              <w:right w:val="single" w:sz="4" w:space="0" w:color="auto"/>
            </w:tcBorders>
            <w:shd w:val="clear" w:color="auto" w:fill="auto"/>
            <w:noWrap/>
            <w:vAlign w:val="bottom"/>
            <w:hideMark/>
          </w:tcPr>
          <w:p w14:paraId="0F08B7DD"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nil"/>
              <w:right w:val="single" w:sz="4" w:space="0" w:color="auto"/>
            </w:tcBorders>
            <w:shd w:val="clear" w:color="auto" w:fill="auto"/>
            <w:noWrap/>
            <w:vAlign w:val="bottom"/>
            <w:hideMark/>
          </w:tcPr>
          <w:p w14:paraId="5C826470"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nil"/>
              <w:right w:val="nil"/>
            </w:tcBorders>
            <w:shd w:val="clear" w:color="auto" w:fill="auto"/>
            <w:noWrap/>
            <w:vAlign w:val="bottom"/>
            <w:hideMark/>
          </w:tcPr>
          <w:p w14:paraId="1153FDA6"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14:paraId="5E367E6D"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single" w:sz="4" w:space="0" w:color="auto"/>
              <w:bottom w:val="nil"/>
              <w:right w:val="single" w:sz="4" w:space="0" w:color="auto"/>
            </w:tcBorders>
          </w:tcPr>
          <w:p w14:paraId="6B9D137B" w14:textId="77777777" w:rsidR="00F8146A" w:rsidRPr="00A518C1" w:rsidRDefault="00F8146A" w:rsidP="00760A08">
            <w:pPr>
              <w:rPr>
                <w:color w:val="000000"/>
                <w:sz w:val="18"/>
                <w:szCs w:val="18"/>
                <w:lang w:eastAsia="en-GB"/>
              </w:rPr>
            </w:pPr>
          </w:p>
        </w:tc>
      </w:tr>
      <w:tr w:rsidR="00F8146A" w:rsidRPr="001C752C" w14:paraId="48312A1F"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4020D00B" w14:textId="77777777" w:rsidR="00F8146A" w:rsidRPr="00A518C1" w:rsidRDefault="00F8146A" w:rsidP="00760A08">
            <w:pPr>
              <w:rPr>
                <w:sz w:val="18"/>
                <w:szCs w:val="18"/>
                <w:lang w:eastAsia="en-GB"/>
              </w:rPr>
            </w:pPr>
            <w:r w:rsidRPr="00A518C1">
              <w:rPr>
                <w:sz w:val="18"/>
                <w:szCs w:val="18"/>
                <w:lang w:eastAsia="en-GB"/>
              </w:rPr>
              <w:t>Training facilities (Tower)</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5DA07F8" w14:textId="77777777" w:rsidR="00F8146A" w:rsidRPr="00A518C1" w:rsidRDefault="00F8146A" w:rsidP="00F8146A">
            <w:pPr>
              <w:jc w:val="right"/>
              <w:rPr>
                <w:color w:val="000000"/>
                <w:sz w:val="18"/>
                <w:szCs w:val="18"/>
                <w:lang w:eastAsia="en-GB"/>
              </w:rPr>
            </w:pPr>
            <w:r w:rsidRPr="00A518C1">
              <w:rPr>
                <w:color w:val="000000"/>
                <w:sz w:val="18"/>
                <w:szCs w:val="18"/>
                <w:lang w:eastAsia="en-GB"/>
              </w:rPr>
              <w:t> 500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87083FE"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F848B60"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4AE3D57D"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218200BE"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136334D2"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FEE0DD1"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nil"/>
            </w:tcBorders>
            <w:shd w:val="clear" w:color="auto" w:fill="auto"/>
            <w:noWrap/>
            <w:vAlign w:val="bottom"/>
            <w:hideMark/>
          </w:tcPr>
          <w:p w14:paraId="4A94E73D"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7E09B"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single" w:sz="4" w:space="0" w:color="auto"/>
              <w:left w:val="single" w:sz="4" w:space="0" w:color="auto"/>
              <w:bottom w:val="single" w:sz="4" w:space="0" w:color="auto"/>
              <w:right w:val="single" w:sz="4" w:space="0" w:color="auto"/>
            </w:tcBorders>
          </w:tcPr>
          <w:p w14:paraId="0AF08529" w14:textId="77777777" w:rsidR="00F8146A" w:rsidRPr="00A518C1" w:rsidRDefault="00F8146A" w:rsidP="00F32821">
            <w:pPr>
              <w:jc w:val="right"/>
              <w:rPr>
                <w:color w:val="000000"/>
                <w:sz w:val="18"/>
                <w:szCs w:val="18"/>
                <w:lang w:eastAsia="en-GB"/>
              </w:rPr>
            </w:pPr>
          </w:p>
        </w:tc>
      </w:tr>
      <w:tr w:rsidR="00F8146A" w:rsidRPr="00A518C1" w14:paraId="5AD511FF" w14:textId="77777777" w:rsidTr="00FB0656">
        <w:trPr>
          <w:trHeight w:val="840"/>
        </w:trPr>
        <w:tc>
          <w:tcPr>
            <w:tcW w:w="366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129B1E4" w14:textId="77777777" w:rsidR="00F8146A" w:rsidRPr="00A518C1" w:rsidRDefault="00F8146A" w:rsidP="00760A08">
            <w:pPr>
              <w:jc w:val="center"/>
              <w:rPr>
                <w:b/>
                <w:bCs/>
                <w:sz w:val="18"/>
                <w:szCs w:val="18"/>
                <w:lang w:eastAsia="en-GB"/>
              </w:rPr>
            </w:pPr>
            <w:r w:rsidRPr="00A518C1">
              <w:rPr>
                <w:b/>
                <w:bCs/>
                <w:sz w:val="18"/>
                <w:szCs w:val="18"/>
                <w:lang w:eastAsia="en-GB"/>
              </w:rPr>
              <w:lastRenderedPageBreak/>
              <w:t xml:space="preserve"> 10 YEAR CAPITAL PROGRAMME</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579A4E5F" w14:textId="77777777" w:rsidR="00F8146A" w:rsidRPr="00A518C1" w:rsidRDefault="00F8146A" w:rsidP="00760A08">
            <w:pPr>
              <w:jc w:val="center"/>
              <w:rPr>
                <w:b/>
                <w:bCs/>
                <w:sz w:val="18"/>
                <w:szCs w:val="18"/>
                <w:lang w:eastAsia="en-GB"/>
              </w:rPr>
            </w:pPr>
            <w:r w:rsidRPr="00A518C1">
              <w:rPr>
                <w:b/>
                <w:bCs/>
                <w:sz w:val="18"/>
                <w:szCs w:val="18"/>
                <w:lang w:eastAsia="en-GB"/>
              </w:rPr>
              <w:t>Budget 2024-25 £'000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55BD647B" w14:textId="77777777" w:rsidR="00F8146A" w:rsidRPr="00A518C1" w:rsidRDefault="00F8146A" w:rsidP="00760A08">
            <w:pPr>
              <w:jc w:val="center"/>
              <w:rPr>
                <w:b/>
                <w:bCs/>
                <w:sz w:val="18"/>
                <w:szCs w:val="18"/>
                <w:lang w:eastAsia="en-GB"/>
              </w:rPr>
            </w:pPr>
            <w:r w:rsidRPr="00A518C1">
              <w:rPr>
                <w:b/>
                <w:bCs/>
                <w:sz w:val="18"/>
                <w:szCs w:val="18"/>
                <w:lang w:eastAsia="en-GB"/>
              </w:rPr>
              <w:t>Budget 2025-26 £'000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5DC4B7F2" w14:textId="77777777" w:rsidR="00F8146A" w:rsidRPr="00A518C1" w:rsidRDefault="00F8146A" w:rsidP="00760A08">
            <w:pPr>
              <w:jc w:val="center"/>
              <w:rPr>
                <w:b/>
                <w:bCs/>
                <w:sz w:val="18"/>
                <w:szCs w:val="18"/>
                <w:lang w:eastAsia="en-GB"/>
              </w:rPr>
            </w:pPr>
            <w:r w:rsidRPr="00A518C1">
              <w:rPr>
                <w:b/>
                <w:bCs/>
                <w:sz w:val="18"/>
                <w:szCs w:val="18"/>
                <w:lang w:eastAsia="en-GB"/>
              </w:rPr>
              <w:t>Budget 2026-27 £'000</w:t>
            </w:r>
          </w:p>
        </w:tc>
        <w:tc>
          <w:tcPr>
            <w:tcW w:w="989" w:type="dxa"/>
            <w:tcBorders>
              <w:top w:val="single" w:sz="4" w:space="0" w:color="auto"/>
              <w:left w:val="nil"/>
              <w:bottom w:val="single" w:sz="4" w:space="0" w:color="auto"/>
              <w:right w:val="single" w:sz="4" w:space="0" w:color="auto"/>
            </w:tcBorders>
            <w:shd w:val="clear" w:color="000000" w:fill="D9D9D9"/>
            <w:vAlign w:val="bottom"/>
            <w:hideMark/>
          </w:tcPr>
          <w:p w14:paraId="5ED1A304" w14:textId="77777777" w:rsidR="00F8146A" w:rsidRPr="00A518C1" w:rsidRDefault="00F8146A" w:rsidP="00760A08">
            <w:pPr>
              <w:jc w:val="center"/>
              <w:rPr>
                <w:b/>
                <w:bCs/>
                <w:sz w:val="18"/>
                <w:szCs w:val="18"/>
                <w:lang w:eastAsia="en-GB"/>
              </w:rPr>
            </w:pPr>
            <w:r w:rsidRPr="00A518C1">
              <w:rPr>
                <w:b/>
                <w:bCs/>
                <w:sz w:val="18"/>
                <w:szCs w:val="18"/>
                <w:lang w:eastAsia="en-GB"/>
              </w:rPr>
              <w:t>Budget 2027-28 £'000</w:t>
            </w:r>
          </w:p>
        </w:tc>
        <w:tc>
          <w:tcPr>
            <w:tcW w:w="1009" w:type="dxa"/>
            <w:tcBorders>
              <w:top w:val="single" w:sz="4" w:space="0" w:color="auto"/>
              <w:left w:val="nil"/>
              <w:bottom w:val="single" w:sz="4" w:space="0" w:color="auto"/>
              <w:right w:val="single" w:sz="4" w:space="0" w:color="auto"/>
            </w:tcBorders>
            <w:shd w:val="clear" w:color="000000" w:fill="D9D9D9"/>
            <w:vAlign w:val="bottom"/>
            <w:hideMark/>
          </w:tcPr>
          <w:p w14:paraId="2B67C412" w14:textId="77777777" w:rsidR="00F8146A" w:rsidRPr="00A518C1" w:rsidRDefault="00F8146A" w:rsidP="00760A08">
            <w:pPr>
              <w:jc w:val="center"/>
              <w:rPr>
                <w:b/>
                <w:bCs/>
                <w:sz w:val="18"/>
                <w:szCs w:val="18"/>
                <w:lang w:eastAsia="en-GB"/>
              </w:rPr>
            </w:pPr>
            <w:r w:rsidRPr="00A518C1">
              <w:rPr>
                <w:b/>
                <w:bCs/>
                <w:sz w:val="18"/>
                <w:szCs w:val="18"/>
                <w:lang w:eastAsia="en-GB"/>
              </w:rPr>
              <w:t>Budget 2028-29 £'000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46D9A46E" w14:textId="77777777" w:rsidR="00F8146A" w:rsidRPr="00A518C1" w:rsidRDefault="00F8146A" w:rsidP="00760A08">
            <w:pPr>
              <w:jc w:val="center"/>
              <w:rPr>
                <w:b/>
                <w:bCs/>
                <w:sz w:val="18"/>
                <w:szCs w:val="18"/>
                <w:lang w:eastAsia="en-GB"/>
              </w:rPr>
            </w:pPr>
            <w:r w:rsidRPr="00A518C1">
              <w:rPr>
                <w:b/>
                <w:bCs/>
                <w:sz w:val="18"/>
                <w:szCs w:val="18"/>
                <w:lang w:eastAsia="en-GB"/>
              </w:rPr>
              <w:t>Budget 2029-30 £'000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2685EB27" w14:textId="77777777" w:rsidR="00F8146A" w:rsidRPr="00A518C1" w:rsidRDefault="00F8146A" w:rsidP="00760A08">
            <w:pPr>
              <w:jc w:val="center"/>
              <w:rPr>
                <w:b/>
                <w:bCs/>
                <w:sz w:val="18"/>
                <w:szCs w:val="18"/>
                <w:lang w:eastAsia="en-GB"/>
              </w:rPr>
            </w:pPr>
            <w:r w:rsidRPr="00A518C1">
              <w:rPr>
                <w:b/>
                <w:bCs/>
                <w:sz w:val="18"/>
                <w:szCs w:val="18"/>
                <w:lang w:eastAsia="en-GB"/>
              </w:rPr>
              <w:t>Budget 2030-31 £'000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7A9AECD0" w14:textId="77777777" w:rsidR="00F8146A" w:rsidRPr="00A518C1" w:rsidRDefault="00F8146A" w:rsidP="00760A08">
            <w:pPr>
              <w:jc w:val="center"/>
              <w:rPr>
                <w:b/>
                <w:bCs/>
                <w:sz w:val="18"/>
                <w:szCs w:val="18"/>
                <w:lang w:eastAsia="en-GB"/>
              </w:rPr>
            </w:pPr>
            <w:r w:rsidRPr="00A518C1">
              <w:rPr>
                <w:b/>
                <w:bCs/>
                <w:sz w:val="18"/>
                <w:szCs w:val="18"/>
                <w:lang w:eastAsia="en-GB"/>
              </w:rPr>
              <w:t>Budget 2031-32 £'000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247BE9DD" w14:textId="77777777" w:rsidR="00F8146A" w:rsidRPr="00A518C1" w:rsidRDefault="00F8146A" w:rsidP="00760A08">
            <w:pPr>
              <w:jc w:val="center"/>
              <w:rPr>
                <w:b/>
                <w:bCs/>
                <w:sz w:val="18"/>
                <w:szCs w:val="18"/>
                <w:lang w:eastAsia="en-GB"/>
              </w:rPr>
            </w:pPr>
            <w:r w:rsidRPr="00A518C1">
              <w:rPr>
                <w:b/>
                <w:bCs/>
                <w:sz w:val="18"/>
                <w:szCs w:val="18"/>
                <w:lang w:eastAsia="en-GB"/>
              </w:rPr>
              <w:t>Budget 2032-33 £'000</w:t>
            </w:r>
          </w:p>
        </w:tc>
        <w:tc>
          <w:tcPr>
            <w:tcW w:w="999" w:type="dxa"/>
            <w:tcBorders>
              <w:top w:val="single" w:sz="4" w:space="0" w:color="auto"/>
              <w:left w:val="nil"/>
              <w:bottom w:val="single" w:sz="4" w:space="0" w:color="auto"/>
              <w:right w:val="single" w:sz="4" w:space="0" w:color="auto"/>
            </w:tcBorders>
            <w:shd w:val="clear" w:color="000000" w:fill="D9D9D9"/>
          </w:tcPr>
          <w:p w14:paraId="40C79854" w14:textId="77777777" w:rsidR="00F8146A" w:rsidRPr="00A518C1" w:rsidRDefault="00F8146A" w:rsidP="00760A08">
            <w:pPr>
              <w:jc w:val="center"/>
              <w:rPr>
                <w:b/>
                <w:bCs/>
                <w:sz w:val="18"/>
                <w:szCs w:val="18"/>
                <w:lang w:eastAsia="en-GB"/>
              </w:rPr>
            </w:pPr>
          </w:p>
          <w:p w14:paraId="442BAE93" w14:textId="77777777" w:rsidR="00F8146A" w:rsidRPr="00A518C1" w:rsidRDefault="00F8146A" w:rsidP="00760A08">
            <w:pPr>
              <w:jc w:val="center"/>
              <w:rPr>
                <w:b/>
                <w:bCs/>
                <w:sz w:val="18"/>
                <w:szCs w:val="18"/>
                <w:lang w:eastAsia="en-GB"/>
              </w:rPr>
            </w:pPr>
            <w:r w:rsidRPr="00A518C1">
              <w:rPr>
                <w:b/>
                <w:bCs/>
                <w:sz w:val="18"/>
                <w:szCs w:val="18"/>
                <w:lang w:eastAsia="en-GB"/>
              </w:rPr>
              <w:t>Budget 2033-34 £'000</w:t>
            </w:r>
          </w:p>
        </w:tc>
      </w:tr>
      <w:tr w:rsidR="00F8146A" w:rsidRPr="00A518C1" w14:paraId="35DAC6A5" w14:textId="77777777" w:rsidTr="00FB0656">
        <w:trPr>
          <w:trHeight w:val="285"/>
        </w:trPr>
        <w:tc>
          <w:tcPr>
            <w:tcW w:w="3669" w:type="dxa"/>
            <w:tcBorders>
              <w:top w:val="nil"/>
              <w:left w:val="single" w:sz="4" w:space="0" w:color="auto"/>
              <w:bottom w:val="single" w:sz="4" w:space="0" w:color="auto"/>
              <w:right w:val="single" w:sz="4" w:space="0" w:color="auto"/>
            </w:tcBorders>
            <w:shd w:val="clear" w:color="auto" w:fill="auto"/>
            <w:vAlign w:val="bottom"/>
          </w:tcPr>
          <w:p w14:paraId="3B204040" w14:textId="77777777" w:rsidR="0036096B" w:rsidRPr="00A518C1" w:rsidRDefault="00F8146A" w:rsidP="0036096B">
            <w:pPr>
              <w:rPr>
                <w:sz w:val="18"/>
                <w:szCs w:val="18"/>
                <w:lang w:eastAsia="en-GB"/>
              </w:rPr>
            </w:pPr>
            <w:r w:rsidRPr="00A518C1">
              <w:rPr>
                <w:sz w:val="18"/>
                <w:szCs w:val="18"/>
                <w:lang w:eastAsia="en-GB"/>
              </w:rPr>
              <w:t xml:space="preserve">Training and Development </w:t>
            </w:r>
            <w:r w:rsidR="0036096B" w:rsidRPr="00A518C1">
              <w:rPr>
                <w:sz w:val="18"/>
                <w:szCs w:val="18"/>
                <w:lang w:eastAsia="en-GB"/>
              </w:rPr>
              <w:t>Training Classroom Refurbs</w:t>
            </w:r>
          </w:p>
        </w:tc>
        <w:tc>
          <w:tcPr>
            <w:tcW w:w="999" w:type="dxa"/>
            <w:tcBorders>
              <w:top w:val="nil"/>
              <w:left w:val="nil"/>
              <w:bottom w:val="nil"/>
              <w:right w:val="single" w:sz="4" w:space="0" w:color="auto"/>
            </w:tcBorders>
            <w:shd w:val="clear" w:color="auto" w:fill="auto"/>
            <w:noWrap/>
            <w:vAlign w:val="bottom"/>
          </w:tcPr>
          <w:p w14:paraId="5F4D9E35" w14:textId="77777777" w:rsidR="00F8146A" w:rsidRPr="00A518C1" w:rsidRDefault="0036096B" w:rsidP="00F32821">
            <w:pPr>
              <w:jc w:val="right"/>
              <w:rPr>
                <w:color w:val="000000"/>
                <w:sz w:val="18"/>
                <w:szCs w:val="18"/>
                <w:lang w:eastAsia="en-GB"/>
              </w:rPr>
            </w:pPr>
            <w:r w:rsidRPr="00A518C1">
              <w:rPr>
                <w:color w:val="000000"/>
                <w:sz w:val="18"/>
                <w:szCs w:val="18"/>
                <w:lang w:eastAsia="en-GB"/>
              </w:rPr>
              <w:t>500</w:t>
            </w:r>
          </w:p>
        </w:tc>
        <w:tc>
          <w:tcPr>
            <w:tcW w:w="999" w:type="dxa"/>
            <w:tcBorders>
              <w:top w:val="nil"/>
              <w:left w:val="nil"/>
              <w:bottom w:val="nil"/>
              <w:right w:val="single" w:sz="4" w:space="0" w:color="auto"/>
            </w:tcBorders>
            <w:shd w:val="clear" w:color="auto" w:fill="auto"/>
            <w:noWrap/>
            <w:vAlign w:val="bottom"/>
          </w:tcPr>
          <w:p w14:paraId="3FBB319E" w14:textId="77777777" w:rsidR="00F8146A" w:rsidRPr="00A518C1" w:rsidRDefault="00F8146A" w:rsidP="00F32821">
            <w:pPr>
              <w:jc w:val="right"/>
              <w:rPr>
                <w:color w:val="000000"/>
                <w:sz w:val="18"/>
                <w:szCs w:val="18"/>
                <w:lang w:eastAsia="en-GB"/>
              </w:rPr>
            </w:pPr>
          </w:p>
        </w:tc>
        <w:tc>
          <w:tcPr>
            <w:tcW w:w="999" w:type="dxa"/>
            <w:tcBorders>
              <w:top w:val="nil"/>
              <w:left w:val="nil"/>
              <w:bottom w:val="nil"/>
              <w:right w:val="single" w:sz="4" w:space="0" w:color="auto"/>
            </w:tcBorders>
            <w:shd w:val="clear" w:color="auto" w:fill="auto"/>
            <w:noWrap/>
            <w:vAlign w:val="bottom"/>
          </w:tcPr>
          <w:p w14:paraId="0B6B567D" w14:textId="77777777" w:rsidR="00F8146A" w:rsidRPr="00A518C1" w:rsidRDefault="00F8146A" w:rsidP="00F32821">
            <w:pPr>
              <w:jc w:val="right"/>
              <w:rPr>
                <w:color w:val="000000"/>
                <w:sz w:val="18"/>
                <w:szCs w:val="18"/>
                <w:lang w:eastAsia="en-GB"/>
              </w:rPr>
            </w:pPr>
          </w:p>
        </w:tc>
        <w:tc>
          <w:tcPr>
            <w:tcW w:w="989" w:type="dxa"/>
            <w:tcBorders>
              <w:top w:val="nil"/>
              <w:left w:val="nil"/>
              <w:bottom w:val="nil"/>
              <w:right w:val="single" w:sz="4" w:space="0" w:color="auto"/>
            </w:tcBorders>
            <w:shd w:val="clear" w:color="auto" w:fill="auto"/>
            <w:noWrap/>
            <w:vAlign w:val="bottom"/>
          </w:tcPr>
          <w:p w14:paraId="2FE1B5F4" w14:textId="77777777" w:rsidR="00F8146A" w:rsidRPr="00A518C1" w:rsidRDefault="00F8146A" w:rsidP="00F32821">
            <w:pPr>
              <w:jc w:val="right"/>
              <w:rPr>
                <w:color w:val="000000"/>
                <w:sz w:val="18"/>
                <w:szCs w:val="18"/>
                <w:lang w:eastAsia="en-GB"/>
              </w:rPr>
            </w:pPr>
          </w:p>
        </w:tc>
        <w:tc>
          <w:tcPr>
            <w:tcW w:w="1009" w:type="dxa"/>
            <w:tcBorders>
              <w:top w:val="nil"/>
              <w:left w:val="nil"/>
              <w:bottom w:val="nil"/>
              <w:right w:val="single" w:sz="4" w:space="0" w:color="auto"/>
            </w:tcBorders>
            <w:shd w:val="clear" w:color="auto" w:fill="auto"/>
            <w:noWrap/>
            <w:vAlign w:val="bottom"/>
          </w:tcPr>
          <w:p w14:paraId="010E227E" w14:textId="77777777" w:rsidR="00F8146A" w:rsidRPr="00A518C1" w:rsidRDefault="00F8146A" w:rsidP="00F32821">
            <w:pPr>
              <w:jc w:val="right"/>
              <w:rPr>
                <w:color w:val="000000"/>
                <w:sz w:val="18"/>
                <w:szCs w:val="18"/>
                <w:lang w:eastAsia="en-GB"/>
              </w:rPr>
            </w:pPr>
          </w:p>
        </w:tc>
        <w:tc>
          <w:tcPr>
            <w:tcW w:w="999" w:type="dxa"/>
            <w:tcBorders>
              <w:top w:val="nil"/>
              <w:left w:val="nil"/>
              <w:bottom w:val="nil"/>
              <w:right w:val="single" w:sz="4" w:space="0" w:color="auto"/>
            </w:tcBorders>
            <w:shd w:val="clear" w:color="auto" w:fill="auto"/>
            <w:noWrap/>
            <w:vAlign w:val="bottom"/>
          </w:tcPr>
          <w:p w14:paraId="164DEEE1" w14:textId="77777777" w:rsidR="00F8146A" w:rsidRPr="00A518C1" w:rsidRDefault="00F8146A" w:rsidP="00F32821">
            <w:pPr>
              <w:jc w:val="right"/>
              <w:rPr>
                <w:color w:val="000000"/>
                <w:sz w:val="18"/>
                <w:szCs w:val="18"/>
                <w:lang w:eastAsia="en-GB"/>
              </w:rPr>
            </w:pPr>
          </w:p>
        </w:tc>
        <w:tc>
          <w:tcPr>
            <w:tcW w:w="999" w:type="dxa"/>
            <w:tcBorders>
              <w:top w:val="nil"/>
              <w:left w:val="nil"/>
              <w:bottom w:val="nil"/>
              <w:right w:val="single" w:sz="4" w:space="0" w:color="auto"/>
            </w:tcBorders>
            <w:shd w:val="clear" w:color="auto" w:fill="auto"/>
            <w:noWrap/>
            <w:vAlign w:val="bottom"/>
          </w:tcPr>
          <w:p w14:paraId="46D1DC92" w14:textId="77777777" w:rsidR="00F8146A" w:rsidRPr="00A518C1" w:rsidRDefault="00F8146A" w:rsidP="00F32821">
            <w:pPr>
              <w:jc w:val="right"/>
              <w:rPr>
                <w:color w:val="000000"/>
                <w:sz w:val="18"/>
                <w:szCs w:val="18"/>
                <w:lang w:eastAsia="en-GB"/>
              </w:rPr>
            </w:pPr>
          </w:p>
        </w:tc>
        <w:tc>
          <w:tcPr>
            <w:tcW w:w="999" w:type="dxa"/>
            <w:tcBorders>
              <w:top w:val="nil"/>
              <w:left w:val="nil"/>
              <w:bottom w:val="nil"/>
              <w:right w:val="nil"/>
            </w:tcBorders>
            <w:shd w:val="clear" w:color="auto" w:fill="auto"/>
            <w:noWrap/>
            <w:vAlign w:val="bottom"/>
          </w:tcPr>
          <w:p w14:paraId="7C07A02B" w14:textId="77777777" w:rsidR="00F8146A" w:rsidRPr="00A518C1" w:rsidRDefault="00F8146A" w:rsidP="00F32821">
            <w:pPr>
              <w:jc w:val="right"/>
              <w:rPr>
                <w:color w:val="000000"/>
                <w:sz w:val="18"/>
                <w:szCs w:val="18"/>
                <w:lang w:eastAsia="en-GB"/>
              </w:rPr>
            </w:pPr>
          </w:p>
        </w:tc>
        <w:tc>
          <w:tcPr>
            <w:tcW w:w="999" w:type="dxa"/>
            <w:tcBorders>
              <w:top w:val="nil"/>
              <w:left w:val="single" w:sz="4" w:space="0" w:color="auto"/>
              <w:bottom w:val="nil"/>
              <w:right w:val="single" w:sz="4" w:space="0" w:color="auto"/>
            </w:tcBorders>
            <w:shd w:val="clear" w:color="auto" w:fill="auto"/>
            <w:noWrap/>
            <w:vAlign w:val="bottom"/>
          </w:tcPr>
          <w:p w14:paraId="4B9892F2" w14:textId="77777777" w:rsidR="00F8146A" w:rsidRPr="00A518C1" w:rsidRDefault="00F8146A" w:rsidP="00F32821">
            <w:pPr>
              <w:jc w:val="right"/>
              <w:rPr>
                <w:color w:val="000000"/>
                <w:sz w:val="18"/>
                <w:szCs w:val="18"/>
                <w:lang w:eastAsia="en-GB"/>
              </w:rPr>
            </w:pPr>
          </w:p>
        </w:tc>
        <w:tc>
          <w:tcPr>
            <w:tcW w:w="999" w:type="dxa"/>
            <w:tcBorders>
              <w:top w:val="nil"/>
              <w:left w:val="single" w:sz="4" w:space="0" w:color="auto"/>
              <w:bottom w:val="nil"/>
              <w:right w:val="single" w:sz="4" w:space="0" w:color="auto"/>
            </w:tcBorders>
          </w:tcPr>
          <w:p w14:paraId="374A3B89" w14:textId="77777777" w:rsidR="00F8146A" w:rsidRPr="00A518C1" w:rsidRDefault="00F8146A" w:rsidP="00F32821">
            <w:pPr>
              <w:jc w:val="right"/>
              <w:rPr>
                <w:color w:val="000000"/>
                <w:sz w:val="18"/>
                <w:szCs w:val="18"/>
                <w:lang w:eastAsia="en-GB"/>
              </w:rPr>
            </w:pPr>
          </w:p>
        </w:tc>
      </w:tr>
      <w:tr w:rsidR="00F32821" w:rsidRPr="00A518C1" w14:paraId="6AC3CA37"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vAlign w:val="bottom"/>
            <w:hideMark/>
          </w:tcPr>
          <w:p w14:paraId="2503738C" w14:textId="77777777" w:rsidR="00F32821" w:rsidRPr="00A518C1" w:rsidRDefault="00F32821" w:rsidP="00F32821">
            <w:pPr>
              <w:rPr>
                <w:sz w:val="18"/>
                <w:szCs w:val="18"/>
                <w:lang w:eastAsia="en-GB"/>
              </w:rPr>
            </w:pPr>
            <w:r w:rsidRPr="00A518C1">
              <w:rPr>
                <w:sz w:val="18"/>
                <w:szCs w:val="18"/>
                <w:lang w:eastAsia="en-GB"/>
              </w:rPr>
              <w:t xml:space="preserve">On Training Facilities  </w:t>
            </w:r>
          </w:p>
        </w:tc>
        <w:tc>
          <w:tcPr>
            <w:tcW w:w="999" w:type="dxa"/>
            <w:tcBorders>
              <w:top w:val="single" w:sz="4" w:space="0" w:color="auto"/>
              <w:left w:val="nil"/>
              <w:bottom w:val="nil"/>
              <w:right w:val="single" w:sz="4" w:space="0" w:color="auto"/>
            </w:tcBorders>
            <w:shd w:val="clear" w:color="auto" w:fill="auto"/>
            <w:noWrap/>
            <w:vAlign w:val="bottom"/>
            <w:hideMark/>
          </w:tcPr>
          <w:p w14:paraId="10747FE7"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hideMark/>
          </w:tcPr>
          <w:p w14:paraId="605B83AD" w14:textId="77777777" w:rsidR="00F32821" w:rsidRPr="00A518C1" w:rsidRDefault="00F32821" w:rsidP="00F32821">
            <w:pPr>
              <w:jc w:val="right"/>
              <w:rPr>
                <w:color w:val="000000"/>
                <w:sz w:val="18"/>
                <w:szCs w:val="18"/>
                <w:lang w:eastAsia="en-GB"/>
              </w:rPr>
            </w:pPr>
            <w:r w:rsidRPr="00A518C1">
              <w:rPr>
                <w:color w:val="000000"/>
                <w:sz w:val="18"/>
                <w:szCs w:val="18"/>
              </w:rPr>
              <w:t>150</w:t>
            </w:r>
          </w:p>
        </w:tc>
        <w:tc>
          <w:tcPr>
            <w:tcW w:w="999" w:type="dxa"/>
            <w:tcBorders>
              <w:top w:val="single" w:sz="4" w:space="0" w:color="auto"/>
              <w:left w:val="nil"/>
              <w:bottom w:val="nil"/>
              <w:right w:val="single" w:sz="4" w:space="0" w:color="auto"/>
            </w:tcBorders>
            <w:shd w:val="clear" w:color="auto" w:fill="auto"/>
            <w:noWrap/>
            <w:vAlign w:val="bottom"/>
            <w:hideMark/>
          </w:tcPr>
          <w:p w14:paraId="31D77DFB"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nil"/>
              <w:right w:val="single" w:sz="4" w:space="0" w:color="auto"/>
            </w:tcBorders>
            <w:shd w:val="clear" w:color="auto" w:fill="auto"/>
            <w:noWrap/>
            <w:vAlign w:val="bottom"/>
            <w:hideMark/>
          </w:tcPr>
          <w:p w14:paraId="3308E2DF" w14:textId="77777777" w:rsidR="00F32821" w:rsidRPr="00A518C1" w:rsidRDefault="00F32821" w:rsidP="00F32821">
            <w:pPr>
              <w:jc w:val="right"/>
              <w:rPr>
                <w:color w:val="000000"/>
                <w:sz w:val="18"/>
                <w:szCs w:val="18"/>
                <w:lang w:eastAsia="en-GB"/>
              </w:rPr>
            </w:pPr>
            <w:r w:rsidRPr="00A518C1">
              <w:rPr>
                <w:color w:val="000000"/>
                <w:sz w:val="18"/>
                <w:szCs w:val="18"/>
              </w:rPr>
              <w:t>150</w:t>
            </w:r>
          </w:p>
        </w:tc>
        <w:tc>
          <w:tcPr>
            <w:tcW w:w="1009" w:type="dxa"/>
            <w:tcBorders>
              <w:top w:val="single" w:sz="4" w:space="0" w:color="auto"/>
              <w:left w:val="nil"/>
              <w:bottom w:val="nil"/>
              <w:right w:val="single" w:sz="4" w:space="0" w:color="auto"/>
            </w:tcBorders>
            <w:shd w:val="clear" w:color="auto" w:fill="auto"/>
            <w:noWrap/>
            <w:vAlign w:val="bottom"/>
            <w:hideMark/>
          </w:tcPr>
          <w:p w14:paraId="76F452EF" w14:textId="77777777" w:rsidR="00F32821" w:rsidRPr="00A518C1" w:rsidRDefault="00F32821" w:rsidP="00F32821">
            <w:pPr>
              <w:jc w:val="right"/>
              <w:rPr>
                <w:color w:val="000000"/>
                <w:sz w:val="18"/>
                <w:szCs w:val="18"/>
                <w:lang w:eastAsia="en-GB"/>
              </w:rPr>
            </w:pPr>
            <w:r w:rsidRPr="00A518C1">
              <w:rPr>
                <w:color w:val="000000"/>
                <w:sz w:val="18"/>
                <w:szCs w:val="18"/>
              </w:rPr>
              <w:t>150</w:t>
            </w:r>
          </w:p>
        </w:tc>
        <w:tc>
          <w:tcPr>
            <w:tcW w:w="999" w:type="dxa"/>
            <w:tcBorders>
              <w:top w:val="single" w:sz="4" w:space="0" w:color="auto"/>
              <w:left w:val="nil"/>
              <w:bottom w:val="nil"/>
              <w:right w:val="single" w:sz="4" w:space="0" w:color="auto"/>
            </w:tcBorders>
            <w:shd w:val="clear" w:color="auto" w:fill="auto"/>
            <w:noWrap/>
            <w:vAlign w:val="bottom"/>
            <w:hideMark/>
          </w:tcPr>
          <w:p w14:paraId="161E976F" w14:textId="77777777" w:rsidR="00F32821" w:rsidRPr="00A518C1" w:rsidRDefault="00F32821" w:rsidP="00F32821">
            <w:pPr>
              <w:jc w:val="right"/>
              <w:rPr>
                <w:color w:val="000000"/>
                <w:sz w:val="18"/>
                <w:szCs w:val="18"/>
                <w:lang w:eastAsia="en-GB"/>
              </w:rPr>
            </w:pPr>
            <w:r w:rsidRPr="00A518C1">
              <w:rPr>
                <w:color w:val="000000"/>
                <w:sz w:val="18"/>
                <w:szCs w:val="18"/>
              </w:rPr>
              <w:t>150</w:t>
            </w:r>
          </w:p>
        </w:tc>
        <w:tc>
          <w:tcPr>
            <w:tcW w:w="999" w:type="dxa"/>
            <w:tcBorders>
              <w:top w:val="single" w:sz="4" w:space="0" w:color="auto"/>
              <w:left w:val="nil"/>
              <w:bottom w:val="nil"/>
              <w:right w:val="single" w:sz="4" w:space="0" w:color="auto"/>
            </w:tcBorders>
            <w:shd w:val="clear" w:color="auto" w:fill="auto"/>
            <w:noWrap/>
            <w:vAlign w:val="bottom"/>
            <w:hideMark/>
          </w:tcPr>
          <w:p w14:paraId="2EA43380"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nil"/>
            </w:tcBorders>
            <w:shd w:val="clear" w:color="auto" w:fill="auto"/>
            <w:noWrap/>
            <w:vAlign w:val="bottom"/>
            <w:hideMark/>
          </w:tcPr>
          <w:p w14:paraId="6C58757D"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14:paraId="18A01AE6"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vAlign w:val="bottom"/>
          </w:tcPr>
          <w:p w14:paraId="51349EFA"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32821" w:rsidRPr="00A518C1" w14:paraId="53EFF8CA"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vAlign w:val="bottom"/>
          </w:tcPr>
          <w:p w14:paraId="7431814F" w14:textId="77777777" w:rsidR="00F32821" w:rsidRPr="00A518C1" w:rsidRDefault="00F32821" w:rsidP="00F32821">
            <w:pPr>
              <w:rPr>
                <w:sz w:val="18"/>
                <w:szCs w:val="18"/>
                <w:lang w:eastAsia="en-GB"/>
              </w:rPr>
            </w:pPr>
            <w:r w:rsidRPr="00A518C1">
              <w:rPr>
                <w:sz w:val="18"/>
                <w:szCs w:val="18"/>
                <w:lang w:eastAsia="en-GB"/>
              </w:rPr>
              <w:t>Wholetime Fire Station</w:t>
            </w:r>
            <w:r w:rsidR="00E803CC" w:rsidRPr="00A518C1">
              <w:rPr>
                <w:sz w:val="18"/>
                <w:szCs w:val="18"/>
                <w:lang w:eastAsia="en-GB"/>
              </w:rPr>
              <w:t xml:space="preserve"> A</w:t>
            </w:r>
          </w:p>
        </w:tc>
        <w:tc>
          <w:tcPr>
            <w:tcW w:w="999" w:type="dxa"/>
            <w:tcBorders>
              <w:top w:val="single" w:sz="4" w:space="0" w:color="auto"/>
              <w:left w:val="nil"/>
              <w:bottom w:val="nil"/>
              <w:right w:val="single" w:sz="4" w:space="0" w:color="auto"/>
            </w:tcBorders>
            <w:shd w:val="clear" w:color="auto" w:fill="auto"/>
            <w:noWrap/>
            <w:vAlign w:val="bottom"/>
          </w:tcPr>
          <w:p w14:paraId="2A3AB208" w14:textId="77777777" w:rsidR="00F32821" w:rsidRPr="00A518C1" w:rsidRDefault="00F32821" w:rsidP="00F32821">
            <w:pPr>
              <w:jc w:val="right"/>
              <w:rPr>
                <w:color w:val="000000"/>
                <w:sz w:val="18"/>
                <w:szCs w:val="18"/>
                <w:lang w:eastAsia="en-GB"/>
              </w:rPr>
            </w:pPr>
            <w:r w:rsidRPr="00A518C1">
              <w:rPr>
                <w:color w:val="000000"/>
                <w:sz w:val="18"/>
                <w:szCs w:val="18"/>
              </w:rPr>
              <w:t>30</w:t>
            </w:r>
          </w:p>
        </w:tc>
        <w:tc>
          <w:tcPr>
            <w:tcW w:w="999" w:type="dxa"/>
            <w:tcBorders>
              <w:top w:val="single" w:sz="4" w:space="0" w:color="auto"/>
              <w:left w:val="nil"/>
              <w:bottom w:val="nil"/>
              <w:right w:val="single" w:sz="4" w:space="0" w:color="auto"/>
            </w:tcBorders>
            <w:shd w:val="clear" w:color="auto" w:fill="auto"/>
            <w:noWrap/>
            <w:vAlign w:val="bottom"/>
          </w:tcPr>
          <w:p w14:paraId="28CC99F9" w14:textId="77777777" w:rsidR="00F32821" w:rsidRPr="00A518C1" w:rsidRDefault="00F32821" w:rsidP="00F32821">
            <w:pPr>
              <w:jc w:val="right"/>
              <w:rPr>
                <w:color w:val="000000"/>
                <w:sz w:val="18"/>
                <w:szCs w:val="18"/>
                <w:lang w:eastAsia="en-GB"/>
              </w:rPr>
            </w:pPr>
            <w:r w:rsidRPr="00A518C1">
              <w:rPr>
                <w:color w:val="000000"/>
                <w:sz w:val="18"/>
                <w:szCs w:val="18"/>
              </w:rPr>
              <w:t>1,500</w:t>
            </w:r>
          </w:p>
        </w:tc>
        <w:tc>
          <w:tcPr>
            <w:tcW w:w="999" w:type="dxa"/>
            <w:tcBorders>
              <w:top w:val="single" w:sz="4" w:space="0" w:color="auto"/>
              <w:left w:val="nil"/>
              <w:bottom w:val="nil"/>
              <w:right w:val="single" w:sz="4" w:space="0" w:color="auto"/>
            </w:tcBorders>
            <w:shd w:val="clear" w:color="auto" w:fill="auto"/>
            <w:noWrap/>
            <w:vAlign w:val="bottom"/>
          </w:tcPr>
          <w:p w14:paraId="4C3BC0B8" w14:textId="77777777" w:rsidR="00F32821" w:rsidRPr="00A518C1" w:rsidRDefault="00F32821" w:rsidP="00F32821">
            <w:pPr>
              <w:jc w:val="right"/>
              <w:rPr>
                <w:color w:val="000000"/>
                <w:sz w:val="18"/>
                <w:szCs w:val="18"/>
                <w:lang w:eastAsia="en-GB"/>
              </w:rPr>
            </w:pPr>
            <w:r w:rsidRPr="00A518C1">
              <w:rPr>
                <w:color w:val="000000"/>
                <w:sz w:val="18"/>
                <w:szCs w:val="18"/>
              </w:rPr>
              <w:t>3,875</w:t>
            </w:r>
          </w:p>
        </w:tc>
        <w:tc>
          <w:tcPr>
            <w:tcW w:w="989" w:type="dxa"/>
            <w:tcBorders>
              <w:top w:val="single" w:sz="4" w:space="0" w:color="auto"/>
              <w:left w:val="nil"/>
              <w:bottom w:val="nil"/>
              <w:right w:val="single" w:sz="4" w:space="0" w:color="auto"/>
            </w:tcBorders>
            <w:shd w:val="clear" w:color="auto" w:fill="auto"/>
            <w:noWrap/>
            <w:vAlign w:val="bottom"/>
          </w:tcPr>
          <w:p w14:paraId="2B5D35D3" w14:textId="77777777" w:rsidR="00F32821" w:rsidRPr="00A518C1" w:rsidRDefault="00F32821" w:rsidP="00F32821">
            <w:pPr>
              <w:jc w:val="right"/>
              <w:rPr>
                <w:color w:val="000000"/>
                <w:sz w:val="18"/>
                <w:szCs w:val="18"/>
                <w:lang w:eastAsia="en-GB"/>
              </w:rPr>
            </w:pPr>
            <w:r w:rsidRPr="00A518C1">
              <w:rPr>
                <w:color w:val="000000"/>
                <w:sz w:val="18"/>
                <w:szCs w:val="18"/>
              </w:rPr>
              <w:t>135</w:t>
            </w:r>
          </w:p>
        </w:tc>
        <w:tc>
          <w:tcPr>
            <w:tcW w:w="1009" w:type="dxa"/>
            <w:tcBorders>
              <w:top w:val="single" w:sz="4" w:space="0" w:color="auto"/>
              <w:left w:val="nil"/>
              <w:bottom w:val="nil"/>
              <w:right w:val="single" w:sz="4" w:space="0" w:color="auto"/>
            </w:tcBorders>
            <w:shd w:val="clear" w:color="auto" w:fill="auto"/>
            <w:noWrap/>
            <w:vAlign w:val="bottom"/>
          </w:tcPr>
          <w:p w14:paraId="31E6B778"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7B194BEF"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14830BC2"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nil"/>
            </w:tcBorders>
            <w:shd w:val="clear" w:color="auto" w:fill="auto"/>
            <w:noWrap/>
            <w:vAlign w:val="bottom"/>
          </w:tcPr>
          <w:p w14:paraId="0266D5BE"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shd w:val="clear" w:color="auto" w:fill="auto"/>
            <w:noWrap/>
            <w:vAlign w:val="bottom"/>
          </w:tcPr>
          <w:p w14:paraId="3E227958"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vAlign w:val="bottom"/>
          </w:tcPr>
          <w:p w14:paraId="4B95FBF6"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32821" w:rsidRPr="00A518C1" w14:paraId="522AB9EE"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vAlign w:val="bottom"/>
          </w:tcPr>
          <w:p w14:paraId="382830DB" w14:textId="77777777" w:rsidR="00F32821" w:rsidRPr="00A518C1" w:rsidRDefault="00F32821" w:rsidP="00F32821">
            <w:pPr>
              <w:rPr>
                <w:sz w:val="18"/>
                <w:szCs w:val="18"/>
                <w:lang w:eastAsia="en-GB"/>
              </w:rPr>
            </w:pPr>
            <w:r w:rsidRPr="00A518C1">
              <w:rPr>
                <w:sz w:val="18"/>
                <w:szCs w:val="18"/>
                <w:lang w:eastAsia="en-GB"/>
              </w:rPr>
              <w:t>Wholetime Fire Station</w:t>
            </w:r>
            <w:r w:rsidR="00E803CC" w:rsidRPr="00A518C1">
              <w:rPr>
                <w:sz w:val="18"/>
                <w:szCs w:val="18"/>
                <w:lang w:eastAsia="en-GB"/>
              </w:rPr>
              <w:t xml:space="preserve"> B</w:t>
            </w:r>
          </w:p>
        </w:tc>
        <w:tc>
          <w:tcPr>
            <w:tcW w:w="999" w:type="dxa"/>
            <w:tcBorders>
              <w:top w:val="single" w:sz="4" w:space="0" w:color="auto"/>
              <w:left w:val="nil"/>
              <w:bottom w:val="nil"/>
              <w:right w:val="single" w:sz="4" w:space="0" w:color="auto"/>
            </w:tcBorders>
            <w:shd w:val="clear" w:color="auto" w:fill="auto"/>
            <w:noWrap/>
            <w:vAlign w:val="bottom"/>
          </w:tcPr>
          <w:p w14:paraId="78E7025E"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5152D4EC"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tcPr>
          <w:p w14:paraId="71BF367A" w14:textId="77777777" w:rsidR="00F32821" w:rsidRPr="00A518C1" w:rsidRDefault="00F32821" w:rsidP="00F32821">
            <w:pPr>
              <w:jc w:val="right"/>
              <w:rPr>
                <w:color w:val="000000"/>
                <w:sz w:val="18"/>
                <w:szCs w:val="18"/>
                <w:lang w:eastAsia="en-GB"/>
              </w:rPr>
            </w:pPr>
            <w:r w:rsidRPr="00A518C1">
              <w:rPr>
                <w:color w:val="000000"/>
                <w:sz w:val="18"/>
                <w:szCs w:val="18"/>
              </w:rPr>
              <w:t>30</w:t>
            </w:r>
          </w:p>
        </w:tc>
        <w:tc>
          <w:tcPr>
            <w:tcW w:w="989" w:type="dxa"/>
            <w:tcBorders>
              <w:top w:val="single" w:sz="4" w:space="0" w:color="auto"/>
              <w:left w:val="nil"/>
              <w:bottom w:val="nil"/>
              <w:right w:val="single" w:sz="4" w:space="0" w:color="auto"/>
            </w:tcBorders>
            <w:shd w:val="clear" w:color="auto" w:fill="auto"/>
            <w:noWrap/>
            <w:vAlign w:val="bottom"/>
          </w:tcPr>
          <w:p w14:paraId="4F99D0DE" w14:textId="77777777" w:rsidR="00F32821" w:rsidRPr="00A518C1" w:rsidRDefault="00F32821" w:rsidP="00F32821">
            <w:pPr>
              <w:jc w:val="right"/>
              <w:rPr>
                <w:color w:val="000000"/>
                <w:sz w:val="18"/>
                <w:szCs w:val="18"/>
                <w:lang w:eastAsia="en-GB"/>
              </w:rPr>
            </w:pPr>
            <w:r w:rsidRPr="00A518C1">
              <w:rPr>
                <w:color w:val="000000"/>
                <w:sz w:val="18"/>
                <w:szCs w:val="18"/>
              </w:rPr>
              <w:t>1,500</w:t>
            </w:r>
          </w:p>
        </w:tc>
        <w:tc>
          <w:tcPr>
            <w:tcW w:w="1009" w:type="dxa"/>
            <w:tcBorders>
              <w:top w:val="single" w:sz="4" w:space="0" w:color="auto"/>
              <w:left w:val="nil"/>
              <w:bottom w:val="nil"/>
              <w:right w:val="single" w:sz="4" w:space="0" w:color="auto"/>
            </w:tcBorders>
            <w:shd w:val="clear" w:color="auto" w:fill="auto"/>
            <w:noWrap/>
            <w:vAlign w:val="bottom"/>
          </w:tcPr>
          <w:p w14:paraId="5AEEB9E0" w14:textId="77777777" w:rsidR="00F32821" w:rsidRPr="00A518C1" w:rsidRDefault="00F32821" w:rsidP="00F32821">
            <w:pPr>
              <w:jc w:val="right"/>
              <w:rPr>
                <w:color w:val="000000"/>
                <w:sz w:val="18"/>
                <w:szCs w:val="18"/>
                <w:lang w:eastAsia="en-GB"/>
              </w:rPr>
            </w:pPr>
            <w:r w:rsidRPr="00A518C1">
              <w:rPr>
                <w:color w:val="000000"/>
                <w:sz w:val="18"/>
                <w:szCs w:val="18"/>
              </w:rPr>
              <w:t>2,875</w:t>
            </w:r>
          </w:p>
        </w:tc>
        <w:tc>
          <w:tcPr>
            <w:tcW w:w="999" w:type="dxa"/>
            <w:tcBorders>
              <w:top w:val="single" w:sz="4" w:space="0" w:color="auto"/>
              <w:left w:val="nil"/>
              <w:bottom w:val="nil"/>
              <w:right w:val="single" w:sz="4" w:space="0" w:color="auto"/>
            </w:tcBorders>
            <w:shd w:val="clear" w:color="auto" w:fill="auto"/>
            <w:noWrap/>
            <w:vAlign w:val="bottom"/>
          </w:tcPr>
          <w:p w14:paraId="135DAF6D" w14:textId="77777777" w:rsidR="00F32821" w:rsidRPr="00A518C1" w:rsidRDefault="00F32821" w:rsidP="00F32821">
            <w:pPr>
              <w:jc w:val="right"/>
              <w:rPr>
                <w:color w:val="000000"/>
                <w:sz w:val="18"/>
                <w:szCs w:val="18"/>
                <w:lang w:eastAsia="en-GB"/>
              </w:rPr>
            </w:pPr>
            <w:r w:rsidRPr="00A518C1">
              <w:rPr>
                <w:color w:val="000000"/>
                <w:sz w:val="18"/>
                <w:szCs w:val="18"/>
              </w:rPr>
              <w:t>135</w:t>
            </w:r>
          </w:p>
        </w:tc>
        <w:tc>
          <w:tcPr>
            <w:tcW w:w="999" w:type="dxa"/>
            <w:tcBorders>
              <w:top w:val="single" w:sz="4" w:space="0" w:color="auto"/>
              <w:left w:val="nil"/>
              <w:bottom w:val="nil"/>
              <w:right w:val="single" w:sz="4" w:space="0" w:color="auto"/>
            </w:tcBorders>
            <w:shd w:val="clear" w:color="auto" w:fill="auto"/>
            <w:noWrap/>
            <w:vAlign w:val="bottom"/>
          </w:tcPr>
          <w:p w14:paraId="0C1FB567"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nil"/>
            </w:tcBorders>
            <w:shd w:val="clear" w:color="auto" w:fill="auto"/>
            <w:noWrap/>
            <w:vAlign w:val="bottom"/>
          </w:tcPr>
          <w:p w14:paraId="377EEADD"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shd w:val="clear" w:color="auto" w:fill="auto"/>
            <w:noWrap/>
            <w:vAlign w:val="bottom"/>
          </w:tcPr>
          <w:p w14:paraId="1B04EDD7"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vAlign w:val="bottom"/>
          </w:tcPr>
          <w:p w14:paraId="27250482"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32821" w:rsidRPr="00A518C1" w14:paraId="50EB5306" w14:textId="77777777" w:rsidTr="000408B1">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4C2BBCF9" w14:textId="77777777" w:rsidR="00F32821" w:rsidRPr="00A518C1" w:rsidRDefault="00F32821" w:rsidP="00F32821">
            <w:pPr>
              <w:rPr>
                <w:sz w:val="18"/>
                <w:szCs w:val="18"/>
                <w:lang w:eastAsia="en-GB"/>
              </w:rPr>
            </w:pPr>
            <w:r w:rsidRPr="00A518C1">
              <w:rPr>
                <w:sz w:val="18"/>
                <w:szCs w:val="18"/>
                <w:lang w:eastAsia="en-GB"/>
              </w:rPr>
              <w:t>Estate energy reduction decarbonisation</w:t>
            </w:r>
          </w:p>
        </w:tc>
        <w:tc>
          <w:tcPr>
            <w:tcW w:w="999" w:type="dxa"/>
            <w:tcBorders>
              <w:top w:val="single" w:sz="4" w:space="0" w:color="auto"/>
              <w:left w:val="nil"/>
              <w:bottom w:val="nil"/>
              <w:right w:val="single" w:sz="4" w:space="0" w:color="auto"/>
            </w:tcBorders>
            <w:shd w:val="clear" w:color="auto" w:fill="auto"/>
            <w:noWrap/>
            <w:vAlign w:val="bottom"/>
            <w:hideMark/>
          </w:tcPr>
          <w:p w14:paraId="44FD6A4F"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999" w:type="dxa"/>
            <w:tcBorders>
              <w:top w:val="single" w:sz="4" w:space="0" w:color="auto"/>
              <w:left w:val="nil"/>
              <w:bottom w:val="nil"/>
              <w:right w:val="single" w:sz="4" w:space="0" w:color="auto"/>
            </w:tcBorders>
            <w:shd w:val="clear" w:color="auto" w:fill="auto"/>
            <w:noWrap/>
            <w:vAlign w:val="bottom"/>
            <w:hideMark/>
          </w:tcPr>
          <w:p w14:paraId="48E427F9" w14:textId="77777777" w:rsidR="00F32821" w:rsidRPr="00A518C1" w:rsidRDefault="00F32821" w:rsidP="00F32821">
            <w:pPr>
              <w:jc w:val="right"/>
              <w:rPr>
                <w:color w:val="000000"/>
                <w:sz w:val="18"/>
                <w:szCs w:val="18"/>
                <w:lang w:eastAsia="en-GB"/>
              </w:rPr>
            </w:pPr>
            <w:r w:rsidRPr="00A518C1">
              <w:rPr>
                <w:color w:val="000000"/>
                <w:sz w:val="18"/>
                <w:szCs w:val="18"/>
              </w:rPr>
              <w:t>125</w:t>
            </w:r>
          </w:p>
        </w:tc>
        <w:tc>
          <w:tcPr>
            <w:tcW w:w="999" w:type="dxa"/>
            <w:tcBorders>
              <w:top w:val="single" w:sz="4" w:space="0" w:color="auto"/>
              <w:left w:val="nil"/>
              <w:bottom w:val="nil"/>
              <w:right w:val="single" w:sz="4" w:space="0" w:color="auto"/>
            </w:tcBorders>
            <w:shd w:val="clear" w:color="auto" w:fill="auto"/>
            <w:noWrap/>
            <w:vAlign w:val="bottom"/>
            <w:hideMark/>
          </w:tcPr>
          <w:p w14:paraId="73DE5C09"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89" w:type="dxa"/>
            <w:tcBorders>
              <w:top w:val="single" w:sz="4" w:space="0" w:color="auto"/>
              <w:left w:val="nil"/>
              <w:bottom w:val="nil"/>
              <w:right w:val="single" w:sz="4" w:space="0" w:color="auto"/>
            </w:tcBorders>
            <w:shd w:val="clear" w:color="auto" w:fill="auto"/>
            <w:noWrap/>
            <w:vAlign w:val="bottom"/>
            <w:hideMark/>
          </w:tcPr>
          <w:p w14:paraId="347DCAA5" w14:textId="77777777" w:rsidR="00F32821" w:rsidRPr="00A518C1" w:rsidRDefault="00F32821" w:rsidP="00F32821">
            <w:pPr>
              <w:jc w:val="right"/>
              <w:rPr>
                <w:color w:val="000000"/>
                <w:sz w:val="18"/>
                <w:szCs w:val="18"/>
                <w:lang w:eastAsia="en-GB"/>
              </w:rPr>
            </w:pPr>
            <w:r w:rsidRPr="00A518C1">
              <w:rPr>
                <w:color w:val="000000"/>
                <w:sz w:val="18"/>
                <w:szCs w:val="18"/>
              </w:rPr>
              <w:t>125</w:t>
            </w:r>
          </w:p>
        </w:tc>
        <w:tc>
          <w:tcPr>
            <w:tcW w:w="1009" w:type="dxa"/>
            <w:tcBorders>
              <w:top w:val="single" w:sz="4" w:space="0" w:color="auto"/>
              <w:left w:val="nil"/>
              <w:bottom w:val="nil"/>
              <w:right w:val="single" w:sz="4" w:space="0" w:color="auto"/>
            </w:tcBorders>
            <w:shd w:val="clear" w:color="auto" w:fill="auto"/>
            <w:noWrap/>
            <w:vAlign w:val="bottom"/>
            <w:hideMark/>
          </w:tcPr>
          <w:p w14:paraId="58D3DBB4"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hideMark/>
          </w:tcPr>
          <w:p w14:paraId="52A07855"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single" w:sz="4" w:space="0" w:color="auto"/>
            </w:tcBorders>
            <w:shd w:val="clear" w:color="auto" w:fill="auto"/>
            <w:noWrap/>
            <w:vAlign w:val="bottom"/>
            <w:hideMark/>
          </w:tcPr>
          <w:p w14:paraId="71353CF4"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nil"/>
              <w:right w:val="nil"/>
            </w:tcBorders>
            <w:shd w:val="clear" w:color="auto" w:fill="auto"/>
            <w:noWrap/>
            <w:vAlign w:val="bottom"/>
            <w:hideMark/>
          </w:tcPr>
          <w:p w14:paraId="227041F2"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shd w:val="clear" w:color="auto" w:fill="auto"/>
            <w:noWrap/>
            <w:vAlign w:val="bottom"/>
            <w:hideMark/>
          </w:tcPr>
          <w:p w14:paraId="479EAA92"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single" w:sz="4" w:space="0" w:color="auto"/>
              <w:bottom w:val="nil"/>
              <w:right w:val="single" w:sz="4" w:space="0" w:color="auto"/>
            </w:tcBorders>
            <w:vAlign w:val="bottom"/>
          </w:tcPr>
          <w:p w14:paraId="2D026BB9"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32821" w:rsidRPr="00A518C1" w14:paraId="7E3D58EF" w14:textId="77777777" w:rsidTr="000408B1">
        <w:trPr>
          <w:trHeight w:val="263"/>
        </w:trPr>
        <w:tc>
          <w:tcPr>
            <w:tcW w:w="3669" w:type="dxa"/>
            <w:tcBorders>
              <w:top w:val="nil"/>
              <w:left w:val="single" w:sz="4" w:space="0" w:color="auto"/>
              <w:bottom w:val="single" w:sz="8" w:space="0" w:color="auto"/>
              <w:right w:val="single" w:sz="4" w:space="0" w:color="auto"/>
            </w:tcBorders>
            <w:shd w:val="clear" w:color="auto" w:fill="auto"/>
            <w:noWrap/>
            <w:vAlign w:val="bottom"/>
            <w:hideMark/>
          </w:tcPr>
          <w:p w14:paraId="6EDCFD92" w14:textId="77777777" w:rsidR="00F32821" w:rsidRPr="00A518C1" w:rsidRDefault="00F32821" w:rsidP="00F32821">
            <w:pPr>
              <w:rPr>
                <w:sz w:val="18"/>
                <w:szCs w:val="18"/>
                <w:lang w:eastAsia="en-GB"/>
              </w:rPr>
            </w:pPr>
            <w:r w:rsidRPr="00A518C1">
              <w:rPr>
                <w:sz w:val="18"/>
                <w:szCs w:val="18"/>
                <w:lang w:eastAsia="en-GB"/>
              </w:rPr>
              <w:t> </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2EF8B590" w14:textId="77777777" w:rsidR="00F32821" w:rsidRPr="00A518C1" w:rsidRDefault="00F32821" w:rsidP="00F32821">
            <w:pPr>
              <w:jc w:val="right"/>
              <w:rPr>
                <w:b/>
                <w:bCs/>
                <w:color w:val="000000"/>
                <w:sz w:val="18"/>
                <w:szCs w:val="18"/>
                <w:lang w:eastAsia="en-GB"/>
              </w:rPr>
            </w:pPr>
            <w:r w:rsidRPr="00A518C1">
              <w:rPr>
                <w:b/>
                <w:bCs/>
                <w:color w:val="000000"/>
                <w:sz w:val="18"/>
                <w:szCs w:val="18"/>
              </w:rPr>
              <w:t>2,030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165A21F8" w14:textId="77777777" w:rsidR="00F32821" w:rsidRPr="00A518C1" w:rsidRDefault="00F32821" w:rsidP="00F32821">
            <w:pPr>
              <w:jc w:val="right"/>
              <w:rPr>
                <w:b/>
                <w:bCs/>
                <w:color w:val="000000"/>
                <w:sz w:val="18"/>
                <w:szCs w:val="18"/>
                <w:lang w:eastAsia="en-GB"/>
              </w:rPr>
            </w:pPr>
            <w:r w:rsidRPr="00A518C1">
              <w:rPr>
                <w:b/>
                <w:bCs/>
                <w:color w:val="000000"/>
                <w:sz w:val="18"/>
                <w:szCs w:val="18"/>
              </w:rPr>
              <w:t>1,775</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1AD5D39B" w14:textId="77777777" w:rsidR="00F32821" w:rsidRPr="00A518C1" w:rsidRDefault="00F32821" w:rsidP="00F32821">
            <w:pPr>
              <w:jc w:val="right"/>
              <w:rPr>
                <w:b/>
                <w:bCs/>
                <w:color w:val="000000"/>
                <w:sz w:val="18"/>
                <w:szCs w:val="18"/>
                <w:lang w:eastAsia="en-GB"/>
              </w:rPr>
            </w:pPr>
            <w:r w:rsidRPr="00A518C1">
              <w:rPr>
                <w:b/>
                <w:bCs/>
                <w:color w:val="000000"/>
                <w:sz w:val="18"/>
                <w:szCs w:val="18"/>
              </w:rPr>
              <w:t>3,905</w:t>
            </w:r>
          </w:p>
        </w:tc>
        <w:tc>
          <w:tcPr>
            <w:tcW w:w="989" w:type="dxa"/>
            <w:tcBorders>
              <w:top w:val="single" w:sz="4" w:space="0" w:color="auto"/>
              <w:left w:val="nil"/>
              <w:bottom w:val="single" w:sz="8" w:space="0" w:color="auto"/>
              <w:right w:val="single" w:sz="4" w:space="0" w:color="auto"/>
            </w:tcBorders>
            <w:shd w:val="clear" w:color="000000" w:fill="BFBFBF"/>
            <w:noWrap/>
            <w:vAlign w:val="bottom"/>
            <w:hideMark/>
          </w:tcPr>
          <w:p w14:paraId="182390BE" w14:textId="77777777" w:rsidR="00F32821" w:rsidRPr="00A518C1" w:rsidRDefault="00F32821" w:rsidP="00F32821">
            <w:pPr>
              <w:jc w:val="right"/>
              <w:rPr>
                <w:b/>
                <w:bCs/>
                <w:color w:val="000000"/>
                <w:sz w:val="18"/>
                <w:szCs w:val="18"/>
                <w:lang w:eastAsia="en-GB"/>
              </w:rPr>
            </w:pPr>
            <w:r w:rsidRPr="00A518C1">
              <w:rPr>
                <w:b/>
                <w:bCs/>
                <w:color w:val="000000"/>
                <w:sz w:val="18"/>
                <w:szCs w:val="18"/>
              </w:rPr>
              <w:t>1,910</w:t>
            </w:r>
          </w:p>
        </w:tc>
        <w:tc>
          <w:tcPr>
            <w:tcW w:w="1009" w:type="dxa"/>
            <w:tcBorders>
              <w:top w:val="single" w:sz="4" w:space="0" w:color="auto"/>
              <w:left w:val="nil"/>
              <w:bottom w:val="single" w:sz="8" w:space="0" w:color="auto"/>
              <w:right w:val="single" w:sz="4" w:space="0" w:color="auto"/>
            </w:tcBorders>
            <w:shd w:val="clear" w:color="000000" w:fill="BFBFBF"/>
            <w:noWrap/>
            <w:vAlign w:val="bottom"/>
            <w:hideMark/>
          </w:tcPr>
          <w:p w14:paraId="27747BAD" w14:textId="77777777" w:rsidR="00F32821" w:rsidRPr="00A518C1" w:rsidRDefault="00F32821" w:rsidP="00F32821">
            <w:pPr>
              <w:jc w:val="right"/>
              <w:rPr>
                <w:b/>
                <w:bCs/>
                <w:color w:val="000000"/>
                <w:sz w:val="18"/>
                <w:szCs w:val="18"/>
                <w:lang w:eastAsia="en-GB"/>
              </w:rPr>
            </w:pPr>
            <w:r w:rsidRPr="00A518C1">
              <w:rPr>
                <w:b/>
                <w:bCs/>
                <w:color w:val="000000"/>
                <w:sz w:val="18"/>
                <w:szCs w:val="18"/>
              </w:rPr>
              <w:t>3,025</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3AB96D98" w14:textId="77777777" w:rsidR="00F32821" w:rsidRPr="00A518C1" w:rsidRDefault="00F32821" w:rsidP="00F32821">
            <w:pPr>
              <w:jc w:val="right"/>
              <w:rPr>
                <w:b/>
                <w:bCs/>
                <w:color w:val="000000"/>
                <w:sz w:val="18"/>
                <w:szCs w:val="18"/>
                <w:lang w:eastAsia="en-GB"/>
              </w:rPr>
            </w:pPr>
            <w:r w:rsidRPr="00A518C1">
              <w:rPr>
                <w:b/>
                <w:bCs/>
                <w:color w:val="000000"/>
                <w:sz w:val="18"/>
                <w:szCs w:val="18"/>
              </w:rPr>
              <w:t>285</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76AE4093" w14:textId="77777777" w:rsidR="00F32821" w:rsidRPr="00A518C1" w:rsidRDefault="00F32821" w:rsidP="00F32821">
            <w:pPr>
              <w:jc w:val="right"/>
              <w:rPr>
                <w:b/>
                <w:bCs/>
                <w:color w:val="000000"/>
                <w:sz w:val="18"/>
                <w:szCs w:val="18"/>
                <w:lang w:eastAsia="en-GB"/>
              </w:rPr>
            </w:pPr>
            <w:r w:rsidRPr="00A518C1">
              <w:rPr>
                <w:b/>
                <w:bCs/>
                <w:color w:val="000000"/>
                <w:sz w:val="18"/>
                <w:szCs w:val="18"/>
              </w:rPr>
              <w:t> </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15F037DF" w14:textId="77777777" w:rsidR="00F32821" w:rsidRPr="00A518C1" w:rsidRDefault="00F32821" w:rsidP="00F32821">
            <w:pPr>
              <w:jc w:val="right"/>
              <w:rPr>
                <w:b/>
                <w:bCs/>
                <w:color w:val="000000"/>
                <w:sz w:val="18"/>
                <w:szCs w:val="18"/>
                <w:lang w:eastAsia="en-GB"/>
              </w:rPr>
            </w:pPr>
            <w:r w:rsidRPr="00A518C1">
              <w:rPr>
                <w:b/>
                <w:bCs/>
                <w:color w:val="000000"/>
                <w:sz w:val="18"/>
                <w:szCs w:val="18"/>
              </w:rPr>
              <w:t> </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3B9C3237" w14:textId="77777777" w:rsidR="00F32821" w:rsidRPr="00A518C1" w:rsidRDefault="00F32821" w:rsidP="00F32821">
            <w:pPr>
              <w:jc w:val="right"/>
              <w:rPr>
                <w:b/>
                <w:bCs/>
                <w:color w:val="000000"/>
                <w:sz w:val="18"/>
                <w:szCs w:val="18"/>
                <w:lang w:eastAsia="en-GB"/>
              </w:rPr>
            </w:pPr>
            <w:r w:rsidRPr="00A518C1">
              <w:rPr>
                <w:b/>
                <w:bCs/>
                <w:color w:val="000000"/>
                <w:sz w:val="18"/>
                <w:szCs w:val="18"/>
              </w:rPr>
              <w:t> </w:t>
            </w:r>
          </w:p>
        </w:tc>
        <w:tc>
          <w:tcPr>
            <w:tcW w:w="999" w:type="dxa"/>
            <w:tcBorders>
              <w:top w:val="single" w:sz="4" w:space="0" w:color="auto"/>
              <w:left w:val="nil"/>
              <w:bottom w:val="single" w:sz="8" w:space="0" w:color="auto"/>
              <w:right w:val="single" w:sz="4" w:space="0" w:color="auto"/>
            </w:tcBorders>
            <w:shd w:val="clear" w:color="000000" w:fill="BFBFBF"/>
            <w:vAlign w:val="bottom"/>
          </w:tcPr>
          <w:p w14:paraId="723F3767" w14:textId="77777777" w:rsidR="00F32821" w:rsidRPr="00A518C1" w:rsidRDefault="00F32821" w:rsidP="00F32821">
            <w:pPr>
              <w:jc w:val="right"/>
              <w:rPr>
                <w:b/>
                <w:bCs/>
                <w:color w:val="000000"/>
                <w:sz w:val="18"/>
                <w:szCs w:val="18"/>
                <w:lang w:eastAsia="en-GB"/>
              </w:rPr>
            </w:pPr>
            <w:r w:rsidRPr="00A518C1">
              <w:rPr>
                <w:b/>
                <w:bCs/>
                <w:color w:val="000000"/>
                <w:sz w:val="18"/>
                <w:szCs w:val="18"/>
              </w:rPr>
              <w:t> </w:t>
            </w:r>
          </w:p>
        </w:tc>
      </w:tr>
      <w:tr w:rsidR="00F8146A" w:rsidRPr="00A518C1" w14:paraId="4E0A6EE5"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289C608" w14:textId="77777777" w:rsidR="00F8146A" w:rsidRPr="00A518C1" w:rsidRDefault="00F8146A" w:rsidP="00760A08">
            <w:pPr>
              <w:rPr>
                <w:b/>
                <w:bCs/>
                <w:sz w:val="18"/>
                <w:szCs w:val="18"/>
                <w:lang w:eastAsia="en-GB"/>
              </w:rPr>
            </w:pPr>
            <w:r w:rsidRPr="00A518C1">
              <w:rPr>
                <w:b/>
                <w:bCs/>
                <w:sz w:val="18"/>
                <w:szCs w:val="18"/>
                <w:lang w:eastAsia="en-GB"/>
              </w:rPr>
              <w:t>I.T. &amp; COMMUNICATIONS</w:t>
            </w:r>
          </w:p>
        </w:tc>
        <w:tc>
          <w:tcPr>
            <w:tcW w:w="999" w:type="dxa"/>
            <w:tcBorders>
              <w:top w:val="nil"/>
              <w:left w:val="nil"/>
              <w:bottom w:val="single" w:sz="4" w:space="0" w:color="auto"/>
              <w:right w:val="single" w:sz="4" w:space="0" w:color="auto"/>
            </w:tcBorders>
            <w:shd w:val="clear" w:color="000000" w:fill="FFFFFF"/>
            <w:noWrap/>
            <w:vAlign w:val="bottom"/>
            <w:hideMark/>
          </w:tcPr>
          <w:p w14:paraId="4A7EE876"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01A8E29E"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470A8284"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89" w:type="dxa"/>
            <w:tcBorders>
              <w:top w:val="nil"/>
              <w:left w:val="nil"/>
              <w:bottom w:val="single" w:sz="4" w:space="0" w:color="auto"/>
              <w:right w:val="single" w:sz="4" w:space="0" w:color="auto"/>
            </w:tcBorders>
            <w:shd w:val="clear" w:color="000000" w:fill="FFFFFF"/>
            <w:noWrap/>
            <w:vAlign w:val="bottom"/>
            <w:hideMark/>
          </w:tcPr>
          <w:p w14:paraId="793DE7DB"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56F4A30F"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022062E0"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2F7DD87C"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nil"/>
            </w:tcBorders>
            <w:shd w:val="clear" w:color="auto" w:fill="auto"/>
            <w:noWrap/>
            <w:vAlign w:val="bottom"/>
            <w:hideMark/>
          </w:tcPr>
          <w:p w14:paraId="09E6CDDE"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76746655"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tcPr>
          <w:p w14:paraId="6A86BCEB" w14:textId="77777777" w:rsidR="00F8146A" w:rsidRPr="00A518C1" w:rsidRDefault="00F8146A" w:rsidP="00F32821">
            <w:pPr>
              <w:jc w:val="right"/>
              <w:rPr>
                <w:color w:val="000000"/>
                <w:sz w:val="18"/>
                <w:szCs w:val="18"/>
                <w:lang w:eastAsia="en-GB"/>
              </w:rPr>
            </w:pPr>
          </w:p>
        </w:tc>
      </w:tr>
      <w:tr w:rsidR="00F32821" w:rsidRPr="00A518C1" w14:paraId="0307F9DE" w14:textId="77777777" w:rsidTr="000408B1">
        <w:trPr>
          <w:trHeight w:val="33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014D13C6" w14:textId="77777777" w:rsidR="00F32821" w:rsidRPr="00A518C1" w:rsidRDefault="00F32821" w:rsidP="00F32821">
            <w:pPr>
              <w:rPr>
                <w:sz w:val="18"/>
                <w:szCs w:val="18"/>
                <w:lang w:eastAsia="en-GB"/>
              </w:rPr>
            </w:pPr>
            <w:r w:rsidRPr="00A518C1">
              <w:rPr>
                <w:sz w:val="18"/>
                <w:szCs w:val="18"/>
                <w:lang w:eastAsia="en-GB"/>
              </w:rPr>
              <w:t>ICT Replacement  Equipment</w:t>
            </w:r>
          </w:p>
        </w:tc>
        <w:tc>
          <w:tcPr>
            <w:tcW w:w="999" w:type="dxa"/>
            <w:tcBorders>
              <w:top w:val="nil"/>
              <w:left w:val="nil"/>
              <w:bottom w:val="single" w:sz="4" w:space="0" w:color="auto"/>
              <w:right w:val="single" w:sz="4" w:space="0" w:color="auto"/>
            </w:tcBorders>
            <w:shd w:val="clear" w:color="auto" w:fill="auto"/>
            <w:noWrap/>
            <w:vAlign w:val="bottom"/>
            <w:hideMark/>
          </w:tcPr>
          <w:p w14:paraId="04FC3879" w14:textId="77777777" w:rsidR="00F32821" w:rsidRPr="00A518C1" w:rsidRDefault="00F32821" w:rsidP="00F32821">
            <w:pPr>
              <w:jc w:val="right"/>
              <w:rPr>
                <w:color w:val="000000"/>
                <w:sz w:val="18"/>
                <w:szCs w:val="18"/>
                <w:lang w:eastAsia="en-GB"/>
              </w:rPr>
            </w:pPr>
            <w:r w:rsidRPr="00A518C1">
              <w:rPr>
                <w:color w:val="000000"/>
                <w:sz w:val="18"/>
                <w:szCs w:val="18"/>
              </w:rPr>
              <w:t>230</w:t>
            </w:r>
          </w:p>
        </w:tc>
        <w:tc>
          <w:tcPr>
            <w:tcW w:w="999" w:type="dxa"/>
            <w:tcBorders>
              <w:top w:val="nil"/>
              <w:left w:val="nil"/>
              <w:bottom w:val="single" w:sz="4" w:space="0" w:color="auto"/>
              <w:right w:val="single" w:sz="4" w:space="0" w:color="auto"/>
            </w:tcBorders>
            <w:shd w:val="clear" w:color="auto" w:fill="auto"/>
            <w:noWrap/>
            <w:vAlign w:val="bottom"/>
            <w:hideMark/>
          </w:tcPr>
          <w:p w14:paraId="5B0F2D82" w14:textId="77777777" w:rsidR="00F32821" w:rsidRPr="00A518C1" w:rsidRDefault="00F32821" w:rsidP="00F32821">
            <w:pPr>
              <w:jc w:val="right"/>
              <w:rPr>
                <w:color w:val="000000"/>
                <w:sz w:val="18"/>
                <w:szCs w:val="18"/>
                <w:lang w:eastAsia="en-GB"/>
              </w:rPr>
            </w:pPr>
            <w:r w:rsidRPr="00A518C1">
              <w:rPr>
                <w:color w:val="000000"/>
                <w:sz w:val="18"/>
                <w:szCs w:val="18"/>
              </w:rPr>
              <w:t>180</w:t>
            </w:r>
          </w:p>
        </w:tc>
        <w:tc>
          <w:tcPr>
            <w:tcW w:w="999" w:type="dxa"/>
            <w:tcBorders>
              <w:top w:val="nil"/>
              <w:left w:val="nil"/>
              <w:bottom w:val="single" w:sz="4" w:space="0" w:color="auto"/>
              <w:right w:val="single" w:sz="4" w:space="0" w:color="auto"/>
            </w:tcBorders>
            <w:shd w:val="clear" w:color="auto" w:fill="auto"/>
            <w:noWrap/>
            <w:vAlign w:val="bottom"/>
            <w:hideMark/>
          </w:tcPr>
          <w:p w14:paraId="7051B85C" w14:textId="77777777" w:rsidR="00F32821" w:rsidRPr="00A518C1" w:rsidRDefault="00F32821" w:rsidP="00F32821">
            <w:pPr>
              <w:jc w:val="right"/>
              <w:rPr>
                <w:color w:val="000000"/>
                <w:sz w:val="18"/>
                <w:szCs w:val="18"/>
                <w:lang w:eastAsia="en-GB"/>
              </w:rPr>
            </w:pPr>
            <w:r w:rsidRPr="00A518C1">
              <w:rPr>
                <w:color w:val="000000"/>
                <w:sz w:val="18"/>
                <w:szCs w:val="18"/>
              </w:rPr>
              <w:t>200</w:t>
            </w:r>
          </w:p>
        </w:tc>
        <w:tc>
          <w:tcPr>
            <w:tcW w:w="989" w:type="dxa"/>
            <w:tcBorders>
              <w:top w:val="nil"/>
              <w:left w:val="nil"/>
              <w:bottom w:val="single" w:sz="4" w:space="0" w:color="auto"/>
              <w:right w:val="single" w:sz="4" w:space="0" w:color="auto"/>
            </w:tcBorders>
            <w:shd w:val="clear" w:color="auto" w:fill="auto"/>
            <w:noWrap/>
            <w:vAlign w:val="bottom"/>
            <w:hideMark/>
          </w:tcPr>
          <w:p w14:paraId="0A1AA41A"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1009" w:type="dxa"/>
            <w:tcBorders>
              <w:top w:val="nil"/>
              <w:left w:val="nil"/>
              <w:bottom w:val="single" w:sz="4" w:space="0" w:color="auto"/>
              <w:right w:val="single" w:sz="4" w:space="0" w:color="auto"/>
            </w:tcBorders>
            <w:shd w:val="clear" w:color="auto" w:fill="auto"/>
            <w:noWrap/>
            <w:vAlign w:val="bottom"/>
            <w:hideMark/>
          </w:tcPr>
          <w:p w14:paraId="3B162488" w14:textId="77777777" w:rsidR="00F32821" w:rsidRPr="00A518C1" w:rsidRDefault="00F32821" w:rsidP="00F32821">
            <w:pPr>
              <w:jc w:val="right"/>
              <w:rPr>
                <w:color w:val="000000"/>
                <w:sz w:val="18"/>
                <w:szCs w:val="18"/>
                <w:lang w:eastAsia="en-GB"/>
              </w:rPr>
            </w:pPr>
            <w:r w:rsidRPr="00A518C1">
              <w:rPr>
                <w:color w:val="000000"/>
                <w:sz w:val="18"/>
                <w:szCs w:val="18"/>
              </w:rPr>
              <w:t>391</w:t>
            </w:r>
          </w:p>
        </w:tc>
        <w:tc>
          <w:tcPr>
            <w:tcW w:w="999" w:type="dxa"/>
            <w:tcBorders>
              <w:top w:val="nil"/>
              <w:left w:val="nil"/>
              <w:bottom w:val="single" w:sz="4" w:space="0" w:color="auto"/>
              <w:right w:val="single" w:sz="4" w:space="0" w:color="auto"/>
            </w:tcBorders>
            <w:shd w:val="clear" w:color="auto" w:fill="auto"/>
            <w:noWrap/>
            <w:vAlign w:val="bottom"/>
            <w:hideMark/>
          </w:tcPr>
          <w:p w14:paraId="5B8439E4"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999" w:type="dxa"/>
            <w:tcBorders>
              <w:top w:val="nil"/>
              <w:left w:val="nil"/>
              <w:bottom w:val="single" w:sz="4" w:space="0" w:color="auto"/>
              <w:right w:val="single" w:sz="4" w:space="0" w:color="auto"/>
            </w:tcBorders>
            <w:shd w:val="clear" w:color="auto" w:fill="auto"/>
            <w:noWrap/>
            <w:vAlign w:val="bottom"/>
            <w:hideMark/>
          </w:tcPr>
          <w:p w14:paraId="7AADBA6A"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999" w:type="dxa"/>
            <w:tcBorders>
              <w:top w:val="nil"/>
              <w:left w:val="nil"/>
              <w:bottom w:val="single" w:sz="4" w:space="0" w:color="auto"/>
              <w:right w:val="single" w:sz="4" w:space="0" w:color="auto"/>
            </w:tcBorders>
            <w:shd w:val="clear" w:color="auto" w:fill="auto"/>
            <w:noWrap/>
            <w:vAlign w:val="bottom"/>
            <w:hideMark/>
          </w:tcPr>
          <w:p w14:paraId="75D5657F"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999" w:type="dxa"/>
            <w:tcBorders>
              <w:top w:val="nil"/>
              <w:left w:val="nil"/>
              <w:bottom w:val="single" w:sz="4" w:space="0" w:color="auto"/>
              <w:right w:val="single" w:sz="4" w:space="0" w:color="auto"/>
            </w:tcBorders>
            <w:shd w:val="clear" w:color="auto" w:fill="auto"/>
            <w:noWrap/>
            <w:vAlign w:val="bottom"/>
            <w:hideMark/>
          </w:tcPr>
          <w:p w14:paraId="16A3B60C" w14:textId="77777777" w:rsidR="00F32821" w:rsidRPr="00A518C1" w:rsidRDefault="00F32821" w:rsidP="00F32821">
            <w:pPr>
              <w:jc w:val="right"/>
              <w:rPr>
                <w:color w:val="000000"/>
                <w:sz w:val="18"/>
                <w:szCs w:val="18"/>
                <w:lang w:eastAsia="en-GB"/>
              </w:rPr>
            </w:pPr>
            <w:r w:rsidRPr="00A518C1">
              <w:rPr>
                <w:color w:val="000000"/>
                <w:sz w:val="18"/>
                <w:szCs w:val="18"/>
              </w:rPr>
              <w:t>250</w:t>
            </w:r>
          </w:p>
        </w:tc>
        <w:tc>
          <w:tcPr>
            <w:tcW w:w="999" w:type="dxa"/>
            <w:tcBorders>
              <w:top w:val="nil"/>
              <w:left w:val="nil"/>
              <w:bottom w:val="single" w:sz="4" w:space="0" w:color="auto"/>
              <w:right w:val="single" w:sz="4" w:space="0" w:color="auto"/>
            </w:tcBorders>
            <w:vAlign w:val="bottom"/>
          </w:tcPr>
          <w:p w14:paraId="218B960B" w14:textId="77777777" w:rsidR="00F32821" w:rsidRPr="00A518C1" w:rsidRDefault="00F32821" w:rsidP="00F32821">
            <w:pPr>
              <w:jc w:val="right"/>
              <w:rPr>
                <w:color w:val="000000"/>
                <w:sz w:val="18"/>
                <w:szCs w:val="18"/>
                <w:lang w:eastAsia="en-GB"/>
              </w:rPr>
            </w:pPr>
            <w:r w:rsidRPr="00A518C1">
              <w:rPr>
                <w:color w:val="000000"/>
                <w:sz w:val="18"/>
                <w:szCs w:val="18"/>
              </w:rPr>
              <w:t>250</w:t>
            </w:r>
          </w:p>
        </w:tc>
      </w:tr>
      <w:tr w:rsidR="00F32821" w:rsidRPr="00A518C1" w14:paraId="70EDBAF1" w14:textId="77777777" w:rsidTr="007259EC">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64097344" w14:textId="77777777" w:rsidR="00F32821" w:rsidRPr="00A518C1" w:rsidRDefault="00F32821" w:rsidP="00F32821">
            <w:pPr>
              <w:rPr>
                <w:sz w:val="18"/>
                <w:szCs w:val="18"/>
                <w:lang w:eastAsia="en-GB"/>
              </w:rPr>
            </w:pPr>
            <w:r w:rsidRPr="00A518C1">
              <w:rPr>
                <w:sz w:val="18"/>
                <w:szCs w:val="18"/>
                <w:lang w:eastAsia="en-GB"/>
              </w:rPr>
              <w:t>Mobile Computing</w:t>
            </w:r>
          </w:p>
        </w:tc>
        <w:tc>
          <w:tcPr>
            <w:tcW w:w="999" w:type="dxa"/>
            <w:tcBorders>
              <w:top w:val="nil"/>
              <w:left w:val="nil"/>
              <w:bottom w:val="single" w:sz="4" w:space="0" w:color="auto"/>
              <w:right w:val="single" w:sz="4" w:space="0" w:color="auto"/>
            </w:tcBorders>
            <w:shd w:val="clear" w:color="auto" w:fill="auto"/>
            <w:noWrap/>
            <w:vAlign w:val="bottom"/>
            <w:hideMark/>
          </w:tcPr>
          <w:p w14:paraId="5997EBB1" w14:textId="77777777" w:rsidR="00F32821" w:rsidRPr="00A518C1" w:rsidRDefault="00F32821" w:rsidP="00F32821">
            <w:pPr>
              <w:jc w:val="right"/>
              <w:rPr>
                <w:color w:val="000000"/>
                <w:sz w:val="18"/>
                <w:szCs w:val="18"/>
                <w:lang w:eastAsia="en-GB"/>
              </w:rPr>
            </w:pPr>
            <w:r w:rsidRPr="00A518C1">
              <w:rPr>
                <w:color w:val="000000"/>
                <w:sz w:val="18"/>
                <w:szCs w:val="18"/>
              </w:rPr>
              <w:t>90</w:t>
            </w:r>
          </w:p>
        </w:tc>
        <w:tc>
          <w:tcPr>
            <w:tcW w:w="999" w:type="dxa"/>
            <w:tcBorders>
              <w:top w:val="nil"/>
              <w:left w:val="nil"/>
              <w:bottom w:val="single" w:sz="4" w:space="0" w:color="auto"/>
              <w:right w:val="single" w:sz="4" w:space="0" w:color="auto"/>
            </w:tcBorders>
            <w:shd w:val="clear" w:color="auto" w:fill="auto"/>
            <w:noWrap/>
            <w:vAlign w:val="bottom"/>
            <w:hideMark/>
          </w:tcPr>
          <w:p w14:paraId="3439DD0A"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2AE18627"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89" w:type="dxa"/>
            <w:tcBorders>
              <w:top w:val="nil"/>
              <w:left w:val="nil"/>
              <w:bottom w:val="single" w:sz="4" w:space="0" w:color="auto"/>
              <w:right w:val="single" w:sz="4" w:space="0" w:color="auto"/>
            </w:tcBorders>
            <w:shd w:val="clear" w:color="auto" w:fill="auto"/>
            <w:noWrap/>
            <w:vAlign w:val="bottom"/>
            <w:hideMark/>
          </w:tcPr>
          <w:p w14:paraId="28E43E84" w14:textId="77777777" w:rsidR="00F32821" w:rsidRPr="00A518C1" w:rsidRDefault="00F32821" w:rsidP="00F32821">
            <w:pPr>
              <w:jc w:val="right"/>
              <w:rPr>
                <w:color w:val="000000"/>
                <w:sz w:val="18"/>
                <w:szCs w:val="18"/>
                <w:lang w:eastAsia="en-GB"/>
              </w:rPr>
            </w:pPr>
            <w:r w:rsidRPr="00A518C1">
              <w:rPr>
                <w:color w:val="000000"/>
                <w:sz w:val="18"/>
                <w:szCs w:val="18"/>
              </w:rPr>
              <w:t>90</w:t>
            </w:r>
          </w:p>
        </w:tc>
        <w:tc>
          <w:tcPr>
            <w:tcW w:w="1009" w:type="dxa"/>
            <w:tcBorders>
              <w:top w:val="nil"/>
              <w:left w:val="nil"/>
              <w:bottom w:val="single" w:sz="4" w:space="0" w:color="auto"/>
              <w:right w:val="single" w:sz="4" w:space="0" w:color="auto"/>
            </w:tcBorders>
            <w:shd w:val="clear" w:color="auto" w:fill="auto"/>
            <w:noWrap/>
            <w:vAlign w:val="bottom"/>
            <w:hideMark/>
          </w:tcPr>
          <w:p w14:paraId="573F1835"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2A908352"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050AA102" w14:textId="77777777" w:rsidR="00F32821" w:rsidRPr="00A518C1" w:rsidRDefault="00F32821" w:rsidP="00F32821">
            <w:pPr>
              <w:jc w:val="right"/>
              <w:rPr>
                <w:color w:val="000000"/>
                <w:sz w:val="18"/>
                <w:szCs w:val="18"/>
                <w:lang w:eastAsia="en-GB"/>
              </w:rPr>
            </w:pPr>
            <w:r w:rsidRPr="00A518C1">
              <w:rPr>
                <w:color w:val="000000"/>
                <w:sz w:val="18"/>
                <w:szCs w:val="18"/>
              </w:rPr>
              <w:t>90</w:t>
            </w:r>
          </w:p>
        </w:tc>
        <w:tc>
          <w:tcPr>
            <w:tcW w:w="999" w:type="dxa"/>
            <w:tcBorders>
              <w:top w:val="nil"/>
              <w:left w:val="nil"/>
              <w:bottom w:val="single" w:sz="4" w:space="0" w:color="auto"/>
              <w:right w:val="nil"/>
            </w:tcBorders>
            <w:shd w:val="clear" w:color="auto" w:fill="auto"/>
            <w:noWrap/>
            <w:vAlign w:val="bottom"/>
            <w:hideMark/>
          </w:tcPr>
          <w:p w14:paraId="03CF7065" w14:textId="77777777" w:rsidR="00F32821" w:rsidRPr="00A518C1" w:rsidRDefault="00F32821" w:rsidP="00F32821">
            <w:pPr>
              <w:jc w:val="right"/>
              <w:rPr>
                <w:color w:val="000000"/>
                <w:sz w:val="18"/>
                <w:szCs w:val="18"/>
                <w:lang w:eastAsia="en-GB"/>
              </w:rPr>
            </w:pPr>
            <w:r w:rsidRPr="00A518C1">
              <w:rPr>
                <w:color w:val="000000"/>
                <w:sz w:val="20"/>
                <w:szCs w:val="20"/>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48177BAD"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47F08366"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32821" w:rsidRPr="00A518C1" w14:paraId="226229D6" w14:textId="77777777" w:rsidTr="007259EC">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6B29960D" w14:textId="77777777" w:rsidR="00F32821" w:rsidRPr="00A518C1" w:rsidRDefault="00F32821" w:rsidP="00F32821">
            <w:pPr>
              <w:rPr>
                <w:sz w:val="18"/>
                <w:szCs w:val="18"/>
                <w:lang w:eastAsia="en-GB"/>
              </w:rPr>
            </w:pPr>
            <w:r w:rsidRPr="00A518C1">
              <w:rPr>
                <w:sz w:val="18"/>
                <w:szCs w:val="18"/>
                <w:lang w:eastAsia="en-GB"/>
              </w:rPr>
              <w:t>HQ Core Switch Upgrade</w:t>
            </w:r>
          </w:p>
        </w:tc>
        <w:tc>
          <w:tcPr>
            <w:tcW w:w="999" w:type="dxa"/>
            <w:tcBorders>
              <w:top w:val="nil"/>
              <w:left w:val="nil"/>
              <w:bottom w:val="single" w:sz="4" w:space="0" w:color="auto"/>
              <w:right w:val="single" w:sz="4" w:space="0" w:color="auto"/>
            </w:tcBorders>
            <w:shd w:val="clear" w:color="auto" w:fill="auto"/>
            <w:noWrap/>
            <w:vAlign w:val="bottom"/>
            <w:hideMark/>
          </w:tcPr>
          <w:p w14:paraId="356E5D25"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65F827FC"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7C22DCB0" w14:textId="77777777" w:rsidR="00F32821" w:rsidRPr="00A518C1" w:rsidRDefault="00F32821" w:rsidP="00F32821">
            <w:pPr>
              <w:jc w:val="right"/>
              <w:rPr>
                <w:color w:val="000000"/>
                <w:sz w:val="18"/>
                <w:szCs w:val="18"/>
                <w:lang w:eastAsia="en-GB"/>
              </w:rPr>
            </w:pPr>
            <w:r w:rsidRPr="00A518C1">
              <w:rPr>
                <w:color w:val="000000"/>
                <w:sz w:val="18"/>
                <w:szCs w:val="18"/>
              </w:rPr>
              <w:t>50</w:t>
            </w:r>
          </w:p>
        </w:tc>
        <w:tc>
          <w:tcPr>
            <w:tcW w:w="989" w:type="dxa"/>
            <w:tcBorders>
              <w:top w:val="nil"/>
              <w:left w:val="nil"/>
              <w:bottom w:val="single" w:sz="4" w:space="0" w:color="auto"/>
              <w:right w:val="single" w:sz="4" w:space="0" w:color="auto"/>
            </w:tcBorders>
            <w:shd w:val="clear" w:color="auto" w:fill="auto"/>
            <w:noWrap/>
            <w:vAlign w:val="bottom"/>
            <w:hideMark/>
          </w:tcPr>
          <w:p w14:paraId="60794C96"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bottom"/>
            <w:hideMark/>
          </w:tcPr>
          <w:p w14:paraId="287C120D"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nil"/>
              <w:bottom w:val="single" w:sz="4" w:space="0" w:color="auto"/>
              <w:right w:val="single" w:sz="4" w:space="0" w:color="auto"/>
            </w:tcBorders>
            <w:shd w:val="clear" w:color="auto" w:fill="auto"/>
            <w:noWrap/>
            <w:vAlign w:val="bottom"/>
            <w:hideMark/>
          </w:tcPr>
          <w:p w14:paraId="3ACD445B"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FC42368"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single" w:sz="4" w:space="0" w:color="auto"/>
              <w:left w:val="nil"/>
              <w:bottom w:val="single" w:sz="4" w:space="0" w:color="auto"/>
              <w:right w:val="nil"/>
            </w:tcBorders>
            <w:shd w:val="clear" w:color="auto" w:fill="auto"/>
            <w:noWrap/>
            <w:vAlign w:val="bottom"/>
            <w:hideMark/>
          </w:tcPr>
          <w:p w14:paraId="528F5081"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5F104B4A" w14:textId="77777777" w:rsidR="00F32821" w:rsidRPr="00A518C1" w:rsidRDefault="00F32821" w:rsidP="00F32821">
            <w:pPr>
              <w:jc w:val="right"/>
              <w:rPr>
                <w:color w:val="000000"/>
                <w:sz w:val="18"/>
                <w:szCs w:val="18"/>
                <w:lang w:eastAsia="en-GB"/>
              </w:rPr>
            </w:pPr>
            <w:r w:rsidRPr="00A518C1">
              <w:rPr>
                <w:color w:val="000000"/>
                <w:sz w:val="18"/>
                <w:szCs w:val="18"/>
              </w:rPr>
              <w:t> </w:t>
            </w:r>
          </w:p>
        </w:tc>
        <w:tc>
          <w:tcPr>
            <w:tcW w:w="999" w:type="dxa"/>
            <w:tcBorders>
              <w:top w:val="nil"/>
              <w:left w:val="single" w:sz="4" w:space="0" w:color="auto"/>
              <w:bottom w:val="single" w:sz="4" w:space="0" w:color="auto"/>
              <w:right w:val="single" w:sz="4" w:space="0" w:color="auto"/>
            </w:tcBorders>
            <w:vAlign w:val="bottom"/>
          </w:tcPr>
          <w:p w14:paraId="0F253B57" w14:textId="77777777" w:rsidR="00F32821" w:rsidRPr="00A518C1" w:rsidRDefault="00F32821" w:rsidP="00F32821">
            <w:pPr>
              <w:jc w:val="right"/>
              <w:rPr>
                <w:color w:val="000000"/>
                <w:sz w:val="18"/>
                <w:szCs w:val="18"/>
                <w:lang w:eastAsia="en-GB"/>
              </w:rPr>
            </w:pPr>
            <w:r w:rsidRPr="00A518C1">
              <w:rPr>
                <w:color w:val="000000"/>
                <w:sz w:val="18"/>
                <w:szCs w:val="18"/>
              </w:rPr>
              <w:t> </w:t>
            </w:r>
          </w:p>
        </w:tc>
      </w:tr>
      <w:tr w:rsidR="00F8146A" w:rsidRPr="00A518C1" w14:paraId="57B87794" w14:textId="77777777" w:rsidTr="00FB0656">
        <w:trPr>
          <w:trHeight w:val="263"/>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2AEBB72F" w14:textId="77777777" w:rsidR="00F8146A" w:rsidRPr="00A518C1" w:rsidRDefault="0036096B" w:rsidP="00760A08">
            <w:pPr>
              <w:rPr>
                <w:sz w:val="18"/>
                <w:szCs w:val="18"/>
                <w:lang w:eastAsia="en-GB"/>
              </w:rPr>
            </w:pPr>
            <w:r w:rsidRPr="00A518C1">
              <w:rPr>
                <w:sz w:val="18"/>
                <w:szCs w:val="18"/>
                <w:lang w:eastAsia="en-GB"/>
              </w:rPr>
              <w:t>CF</w:t>
            </w:r>
            <w:r w:rsidR="00333C9A">
              <w:rPr>
                <w:sz w:val="18"/>
                <w:szCs w:val="18"/>
                <w:lang w:eastAsia="en-GB"/>
              </w:rPr>
              <w:t>R</w:t>
            </w:r>
            <w:r w:rsidRPr="00A518C1">
              <w:rPr>
                <w:sz w:val="18"/>
                <w:szCs w:val="18"/>
                <w:lang w:eastAsia="en-GB"/>
              </w:rPr>
              <w:t xml:space="preserve">MIS </w:t>
            </w:r>
            <w:r w:rsidR="00F32821" w:rsidRPr="00A518C1">
              <w:rPr>
                <w:sz w:val="18"/>
                <w:szCs w:val="18"/>
                <w:lang w:eastAsia="en-GB"/>
              </w:rPr>
              <w:t>OLS</w:t>
            </w:r>
          </w:p>
        </w:tc>
        <w:tc>
          <w:tcPr>
            <w:tcW w:w="999" w:type="dxa"/>
            <w:tcBorders>
              <w:top w:val="nil"/>
              <w:left w:val="nil"/>
              <w:bottom w:val="nil"/>
              <w:right w:val="single" w:sz="4" w:space="0" w:color="auto"/>
            </w:tcBorders>
            <w:shd w:val="clear" w:color="000000" w:fill="FFFFFF"/>
            <w:noWrap/>
            <w:vAlign w:val="bottom"/>
            <w:hideMark/>
          </w:tcPr>
          <w:p w14:paraId="2FDF41A5"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r w:rsidR="0036096B" w:rsidRPr="00A518C1">
              <w:rPr>
                <w:color w:val="000000"/>
                <w:sz w:val="18"/>
                <w:szCs w:val="18"/>
                <w:lang w:eastAsia="en-GB"/>
              </w:rPr>
              <w:t>150</w:t>
            </w:r>
          </w:p>
        </w:tc>
        <w:tc>
          <w:tcPr>
            <w:tcW w:w="999" w:type="dxa"/>
            <w:tcBorders>
              <w:top w:val="nil"/>
              <w:left w:val="nil"/>
              <w:bottom w:val="nil"/>
              <w:right w:val="single" w:sz="4" w:space="0" w:color="auto"/>
            </w:tcBorders>
            <w:shd w:val="clear" w:color="000000" w:fill="FFFFFF"/>
            <w:noWrap/>
            <w:vAlign w:val="bottom"/>
            <w:hideMark/>
          </w:tcPr>
          <w:p w14:paraId="22E619EE"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nil"/>
              <w:right w:val="single" w:sz="4" w:space="0" w:color="auto"/>
            </w:tcBorders>
            <w:shd w:val="clear" w:color="000000" w:fill="FFFFFF"/>
            <w:noWrap/>
            <w:vAlign w:val="bottom"/>
            <w:hideMark/>
          </w:tcPr>
          <w:p w14:paraId="707D81C5"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89" w:type="dxa"/>
            <w:tcBorders>
              <w:top w:val="nil"/>
              <w:left w:val="nil"/>
              <w:bottom w:val="nil"/>
              <w:right w:val="single" w:sz="4" w:space="0" w:color="auto"/>
            </w:tcBorders>
            <w:shd w:val="clear" w:color="000000" w:fill="FFFFFF"/>
            <w:noWrap/>
            <w:vAlign w:val="bottom"/>
            <w:hideMark/>
          </w:tcPr>
          <w:p w14:paraId="19E85941"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1009" w:type="dxa"/>
            <w:tcBorders>
              <w:top w:val="nil"/>
              <w:left w:val="nil"/>
              <w:bottom w:val="nil"/>
              <w:right w:val="single" w:sz="4" w:space="0" w:color="auto"/>
            </w:tcBorders>
            <w:shd w:val="clear" w:color="000000" w:fill="FFFFFF"/>
            <w:noWrap/>
            <w:vAlign w:val="bottom"/>
            <w:hideMark/>
          </w:tcPr>
          <w:p w14:paraId="01B4E1AB"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nil"/>
              <w:right w:val="single" w:sz="4" w:space="0" w:color="auto"/>
            </w:tcBorders>
            <w:shd w:val="clear" w:color="000000" w:fill="FFFFFF"/>
            <w:noWrap/>
            <w:vAlign w:val="bottom"/>
            <w:hideMark/>
          </w:tcPr>
          <w:p w14:paraId="13420270"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nil"/>
              <w:right w:val="single" w:sz="4" w:space="0" w:color="auto"/>
            </w:tcBorders>
            <w:shd w:val="clear" w:color="000000" w:fill="FFFFFF"/>
            <w:noWrap/>
            <w:vAlign w:val="bottom"/>
            <w:hideMark/>
          </w:tcPr>
          <w:p w14:paraId="666447B2"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nil"/>
              <w:right w:val="nil"/>
            </w:tcBorders>
            <w:shd w:val="clear" w:color="000000" w:fill="FFFFFF"/>
            <w:noWrap/>
            <w:vAlign w:val="bottom"/>
            <w:hideMark/>
          </w:tcPr>
          <w:p w14:paraId="301F73AC"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nil"/>
              <w:right w:val="single" w:sz="4" w:space="0" w:color="auto"/>
            </w:tcBorders>
            <w:shd w:val="clear" w:color="000000" w:fill="FFFFFF"/>
            <w:noWrap/>
            <w:vAlign w:val="bottom"/>
            <w:hideMark/>
          </w:tcPr>
          <w:p w14:paraId="41A55890" w14:textId="77777777" w:rsidR="00F8146A" w:rsidRPr="00A518C1" w:rsidRDefault="00F8146A" w:rsidP="00F32821">
            <w:pPr>
              <w:jc w:val="right"/>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nil"/>
              <w:right w:val="single" w:sz="4" w:space="0" w:color="auto"/>
            </w:tcBorders>
            <w:shd w:val="clear" w:color="000000" w:fill="FFFFFF"/>
          </w:tcPr>
          <w:p w14:paraId="7F43664C" w14:textId="77777777" w:rsidR="00F8146A" w:rsidRPr="00A518C1" w:rsidRDefault="00F8146A" w:rsidP="00F32821">
            <w:pPr>
              <w:jc w:val="right"/>
              <w:rPr>
                <w:color w:val="000000"/>
                <w:sz w:val="18"/>
                <w:szCs w:val="18"/>
                <w:lang w:eastAsia="en-GB"/>
              </w:rPr>
            </w:pPr>
          </w:p>
        </w:tc>
      </w:tr>
      <w:tr w:rsidR="00F32821" w:rsidRPr="00A518C1" w14:paraId="604C6B92" w14:textId="77777777" w:rsidTr="000408B1">
        <w:trPr>
          <w:trHeight w:val="263"/>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5AD06046" w14:textId="77777777" w:rsidR="00F32821" w:rsidRPr="00A518C1" w:rsidRDefault="00F32821" w:rsidP="00F32821">
            <w:pPr>
              <w:rPr>
                <w:sz w:val="18"/>
                <w:szCs w:val="18"/>
                <w:lang w:eastAsia="en-GB"/>
              </w:rPr>
            </w:pPr>
            <w:r w:rsidRPr="00A518C1">
              <w:rPr>
                <w:sz w:val="18"/>
                <w:szCs w:val="18"/>
                <w:lang w:eastAsia="en-GB"/>
              </w:rPr>
              <w:t> </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070A52C5" w14:textId="77777777" w:rsidR="00F32821" w:rsidRPr="00A518C1" w:rsidRDefault="00F32821" w:rsidP="00F32821">
            <w:pPr>
              <w:jc w:val="right"/>
              <w:rPr>
                <w:b/>
                <w:bCs/>
                <w:color w:val="000000"/>
                <w:sz w:val="18"/>
                <w:szCs w:val="18"/>
                <w:lang w:eastAsia="en-GB"/>
              </w:rPr>
            </w:pPr>
            <w:r w:rsidRPr="00A518C1">
              <w:rPr>
                <w:b/>
                <w:bCs/>
                <w:color w:val="000000"/>
                <w:sz w:val="18"/>
                <w:szCs w:val="18"/>
              </w:rPr>
              <w:t>470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32161447" w14:textId="77777777" w:rsidR="00F32821" w:rsidRPr="00A518C1" w:rsidRDefault="00F32821" w:rsidP="00F32821">
            <w:pPr>
              <w:jc w:val="right"/>
              <w:rPr>
                <w:b/>
                <w:bCs/>
                <w:color w:val="000000"/>
                <w:sz w:val="18"/>
                <w:szCs w:val="18"/>
                <w:lang w:eastAsia="en-GB"/>
              </w:rPr>
            </w:pPr>
            <w:r w:rsidRPr="00A518C1">
              <w:rPr>
                <w:b/>
                <w:bCs/>
                <w:color w:val="000000"/>
                <w:sz w:val="18"/>
                <w:szCs w:val="18"/>
              </w:rPr>
              <w:t>180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1414B0ED" w14:textId="77777777" w:rsidR="00F32821" w:rsidRPr="00A518C1" w:rsidRDefault="00F32821" w:rsidP="00F32821">
            <w:pPr>
              <w:jc w:val="right"/>
              <w:rPr>
                <w:b/>
                <w:bCs/>
                <w:color w:val="000000"/>
                <w:sz w:val="18"/>
                <w:szCs w:val="18"/>
                <w:lang w:eastAsia="en-GB"/>
              </w:rPr>
            </w:pPr>
            <w:r w:rsidRPr="00A518C1">
              <w:rPr>
                <w:b/>
                <w:bCs/>
                <w:color w:val="000000"/>
                <w:sz w:val="18"/>
                <w:szCs w:val="18"/>
              </w:rPr>
              <w:t>250</w:t>
            </w:r>
          </w:p>
        </w:tc>
        <w:tc>
          <w:tcPr>
            <w:tcW w:w="989" w:type="dxa"/>
            <w:tcBorders>
              <w:top w:val="single" w:sz="4" w:space="0" w:color="auto"/>
              <w:left w:val="nil"/>
              <w:bottom w:val="single" w:sz="8" w:space="0" w:color="auto"/>
              <w:right w:val="single" w:sz="4" w:space="0" w:color="auto"/>
            </w:tcBorders>
            <w:shd w:val="clear" w:color="000000" w:fill="BFBFBF"/>
            <w:noWrap/>
            <w:vAlign w:val="bottom"/>
            <w:hideMark/>
          </w:tcPr>
          <w:p w14:paraId="78D4325C" w14:textId="77777777" w:rsidR="00F32821" w:rsidRPr="00A518C1" w:rsidRDefault="00F32821" w:rsidP="00F32821">
            <w:pPr>
              <w:jc w:val="right"/>
              <w:rPr>
                <w:b/>
                <w:bCs/>
                <w:color w:val="000000"/>
                <w:sz w:val="18"/>
                <w:szCs w:val="18"/>
                <w:lang w:eastAsia="en-GB"/>
              </w:rPr>
            </w:pPr>
            <w:r w:rsidRPr="00A518C1">
              <w:rPr>
                <w:b/>
                <w:bCs/>
                <w:color w:val="000000"/>
                <w:sz w:val="18"/>
                <w:szCs w:val="18"/>
              </w:rPr>
              <w:t>340</w:t>
            </w:r>
          </w:p>
        </w:tc>
        <w:tc>
          <w:tcPr>
            <w:tcW w:w="1009" w:type="dxa"/>
            <w:tcBorders>
              <w:top w:val="single" w:sz="4" w:space="0" w:color="auto"/>
              <w:left w:val="nil"/>
              <w:bottom w:val="single" w:sz="8" w:space="0" w:color="auto"/>
              <w:right w:val="single" w:sz="4" w:space="0" w:color="auto"/>
            </w:tcBorders>
            <w:shd w:val="clear" w:color="000000" w:fill="BFBFBF"/>
            <w:noWrap/>
            <w:vAlign w:val="bottom"/>
            <w:hideMark/>
          </w:tcPr>
          <w:p w14:paraId="7F9CF173" w14:textId="77777777" w:rsidR="00F32821" w:rsidRPr="00A518C1" w:rsidRDefault="00F32821" w:rsidP="00F32821">
            <w:pPr>
              <w:jc w:val="right"/>
              <w:rPr>
                <w:b/>
                <w:bCs/>
                <w:color w:val="000000"/>
                <w:sz w:val="18"/>
                <w:szCs w:val="18"/>
                <w:lang w:eastAsia="en-GB"/>
              </w:rPr>
            </w:pPr>
            <w:r w:rsidRPr="00A518C1">
              <w:rPr>
                <w:b/>
                <w:bCs/>
                <w:color w:val="000000"/>
                <w:sz w:val="18"/>
                <w:szCs w:val="18"/>
              </w:rPr>
              <w:t>391</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42E7B6B3" w14:textId="77777777" w:rsidR="00F32821" w:rsidRPr="00A518C1" w:rsidRDefault="00F32821" w:rsidP="00F32821">
            <w:pPr>
              <w:jc w:val="right"/>
              <w:rPr>
                <w:b/>
                <w:bCs/>
                <w:color w:val="000000"/>
                <w:sz w:val="18"/>
                <w:szCs w:val="18"/>
                <w:lang w:eastAsia="en-GB"/>
              </w:rPr>
            </w:pPr>
            <w:r w:rsidRPr="00A518C1">
              <w:rPr>
                <w:b/>
                <w:bCs/>
                <w:color w:val="000000"/>
                <w:sz w:val="18"/>
                <w:szCs w:val="18"/>
              </w:rPr>
              <w:t>250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4E58B67C" w14:textId="77777777" w:rsidR="00F32821" w:rsidRPr="00A518C1" w:rsidRDefault="00F32821" w:rsidP="00F32821">
            <w:pPr>
              <w:jc w:val="right"/>
              <w:rPr>
                <w:b/>
                <w:bCs/>
                <w:color w:val="000000"/>
                <w:sz w:val="18"/>
                <w:szCs w:val="18"/>
                <w:lang w:eastAsia="en-GB"/>
              </w:rPr>
            </w:pPr>
            <w:r w:rsidRPr="00A518C1">
              <w:rPr>
                <w:b/>
                <w:bCs/>
                <w:color w:val="000000"/>
                <w:sz w:val="18"/>
                <w:szCs w:val="18"/>
              </w:rPr>
              <w:t>340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3C5D9B7F" w14:textId="77777777" w:rsidR="00F32821" w:rsidRPr="00A518C1" w:rsidRDefault="00F32821" w:rsidP="00F32821">
            <w:pPr>
              <w:jc w:val="right"/>
              <w:rPr>
                <w:b/>
                <w:bCs/>
                <w:color w:val="000000"/>
                <w:sz w:val="18"/>
                <w:szCs w:val="18"/>
                <w:lang w:eastAsia="en-GB"/>
              </w:rPr>
            </w:pPr>
            <w:r w:rsidRPr="00A518C1">
              <w:rPr>
                <w:b/>
                <w:bCs/>
                <w:color w:val="000000"/>
                <w:sz w:val="18"/>
                <w:szCs w:val="18"/>
              </w:rPr>
              <w:t>250</w:t>
            </w:r>
          </w:p>
        </w:tc>
        <w:tc>
          <w:tcPr>
            <w:tcW w:w="999" w:type="dxa"/>
            <w:tcBorders>
              <w:top w:val="single" w:sz="4" w:space="0" w:color="auto"/>
              <w:left w:val="nil"/>
              <w:bottom w:val="single" w:sz="8" w:space="0" w:color="auto"/>
              <w:right w:val="single" w:sz="4" w:space="0" w:color="auto"/>
            </w:tcBorders>
            <w:shd w:val="clear" w:color="000000" w:fill="BFBFBF"/>
            <w:noWrap/>
            <w:vAlign w:val="bottom"/>
            <w:hideMark/>
          </w:tcPr>
          <w:p w14:paraId="6E2338EA" w14:textId="77777777" w:rsidR="00F32821" w:rsidRPr="00A518C1" w:rsidRDefault="00F32821" w:rsidP="00F32821">
            <w:pPr>
              <w:jc w:val="right"/>
              <w:rPr>
                <w:b/>
                <w:bCs/>
                <w:color w:val="000000"/>
                <w:sz w:val="18"/>
                <w:szCs w:val="18"/>
                <w:lang w:eastAsia="en-GB"/>
              </w:rPr>
            </w:pPr>
            <w:r w:rsidRPr="00A518C1">
              <w:rPr>
                <w:b/>
                <w:bCs/>
                <w:color w:val="000000"/>
                <w:sz w:val="18"/>
                <w:szCs w:val="18"/>
              </w:rPr>
              <w:t>250</w:t>
            </w:r>
          </w:p>
        </w:tc>
        <w:tc>
          <w:tcPr>
            <w:tcW w:w="999" w:type="dxa"/>
            <w:tcBorders>
              <w:top w:val="single" w:sz="4" w:space="0" w:color="auto"/>
              <w:left w:val="nil"/>
              <w:bottom w:val="single" w:sz="8" w:space="0" w:color="auto"/>
              <w:right w:val="single" w:sz="4" w:space="0" w:color="auto"/>
            </w:tcBorders>
            <w:shd w:val="clear" w:color="000000" w:fill="BFBFBF"/>
            <w:vAlign w:val="bottom"/>
          </w:tcPr>
          <w:p w14:paraId="584B6AC8" w14:textId="77777777" w:rsidR="00F32821" w:rsidRPr="00A518C1" w:rsidRDefault="00F32821" w:rsidP="00F32821">
            <w:pPr>
              <w:jc w:val="right"/>
              <w:rPr>
                <w:b/>
                <w:bCs/>
                <w:color w:val="000000"/>
                <w:sz w:val="18"/>
                <w:szCs w:val="18"/>
                <w:lang w:eastAsia="en-GB"/>
              </w:rPr>
            </w:pPr>
            <w:r w:rsidRPr="00A518C1">
              <w:rPr>
                <w:b/>
                <w:bCs/>
                <w:color w:val="000000"/>
                <w:sz w:val="18"/>
                <w:szCs w:val="18"/>
              </w:rPr>
              <w:t>250</w:t>
            </w:r>
          </w:p>
        </w:tc>
      </w:tr>
      <w:tr w:rsidR="00F32821" w:rsidRPr="00A518C1" w14:paraId="425C441F" w14:textId="77777777" w:rsidTr="00FB0656">
        <w:trPr>
          <w:trHeight w:val="240"/>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6EC7B5F9" w14:textId="77777777" w:rsidR="00F32821" w:rsidRPr="00A518C1" w:rsidRDefault="00F32821" w:rsidP="00760A08">
            <w:pPr>
              <w:rPr>
                <w:sz w:val="18"/>
                <w:szCs w:val="18"/>
                <w:lang w:eastAsia="en-GB"/>
              </w:rPr>
            </w:pPr>
            <w:r w:rsidRPr="00A518C1">
              <w:rPr>
                <w:b/>
                <w:bCs/>
                <w:sz w:val="18"/>
                <w:szCs w:val="18"/>
                <w:lang w:eastAsia="en-GB"/>
              </w:rPr>
              <w:t>EMERGENCY SERVICES MOBILE COMMUNICATIONS</w:t>
            </w:r>
          </w:p>
        </w:tc>
        <w:tc>
          <w:tcPr>
            <w:tcW w:w="999" w:type="dxa"/>
            <w:tcBorders>
              <w:top w:val="nil"/>
              <w:left w:val="nil"/>
              <w:bottom w:val="single" w:sz="4" w:space="0" w:color="auto"/>
              <w:right w:val="single" w:sz="4" w:space="0" w:color="auto"/>
            </w:tcBorders>
            <w:shd w:val="clear" w:color="auto" w:fill="auto"/>
            <w:noWrap/>
            <w:vAlign w:val="bottom"/>
          </w:tcPr>
          <w:p w14:paraId="7E9D0DE9" w14:textId="77777777" w:rsidR="00F32821" w:rsidRPr="00A518C1" w:rsidRDefault="00F32821" w:rsidP="00760A08">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000000" w:fill="FFFFFF"/>
            <w:noWrap/>
            <w:vAlign w:val="bottom"/>
          </w:tcPr>
          <w:p w14:paraId="6A2B989B" w14:textId="77777777" w:rsidR="00F32821" w:rsidRPr="00A518C1" w:rsidRDefault="00F32821" w:rsidP="0036096B">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000000" w:fill="FFFFFF"/>
            <w:noWrap/>
            <w:vAlign w:val="bottom"/>
          </w:tcPr>
          <w:p w14:paraId="258A60FB" w14:textId="77777777" w:rsidR="00F32821" w:rsidRPr="00A518C1" w:rsidRDefault="00F32821" w:rsidP="00760A08">
            <w:pPr>
              <w:jc w:val="right"/>
              <w:rPr>
                <w:color w:val="000000"/>
                <w:sz w:val="18"/>
                <w:szCs w:val="18"/>
                <w:lang w:eastAsia="en-GB"/>
              </w:rPr>
            </w:pPr>
          </w:p>
        </w:tc>
        <w:tc>
          <w:tcPr>
            <w:tcW w:w="989" w:type="dxa"/>
            <w:tcBorders>
              <w:top w:val="nil"/>
              <w:left w:val="nil"/>
              <w:bottom w:val="single" w:sz="4" w:space="0" w:color="auto"/>
              <w:right w:val="single" w:sz="4" w:space="0" w:color="auto"/>
            </w:tcBorders>
            <w:shd w:val="clear" w:color="000000" w:fill="FFFFFF"/>
            <w:noWrap/>
            <w:vAlign w:val="bottom"/>
          </w:tcPr>
          <w:p w14:paraId="48B73B86" w14:textId="77777777" w:rsidR="00F32821" w:rsidRPr="00A518C1" w:rsidRDefault="00F32821" w:rsidP="00760A08">
            <w:pPr>
              <w:rPr>
                <w:color w:val="000000"/>
                <w:sz w:val="18"/>
                <w:szCs w:val="18"/>
                <w:lang w:eastAsia="en-GB"/>
              </w:rPr>
            </w:pPr>
          </w:p>
        </w:tc>
        <w:tc>
          <w:tcPr>
            <w:tcW w:w="1009" w:type="dxa"/>
            <w:tcBorders>
              <w:top w:val="nil"/>
              <w:left w:val="nil"/>
              <w:bottom w:val="single" w:sz="4" w:space="0" w:color="auto"/>
              <w:right w:val="single" w:sz="4" w:space="0" w:color="auto"/>
            </w:tcBorders>
            <w:shd w:val="clear" w:color="000000" w:fill="FFFFFF"/>
            <w:noWrap/>
            <w:vAlign w:val="bottom"/>
          </w:tcPr>
          <w:p w14:paraId="38736251" w14:textId="77777777" w:rsidR="00F32821" w:rsidRPr="00A518C1" w:rsidRDefault="00F32821" w:rsidP="00760A08">
            <w:pPr>
              <w:rPr>
                <w:color w:val="000000"/>
                <w:sz w:val="18"/>
                <w:szCs w:val="18"/>
                <w:lang w:eastAsia="en-GB"/>
              </w:rPr>
            </w:pPr>
          </w:p>
        </w:tc>
        <w:tc>
          <w:tcPr>
            <w:tcW w:w="999" w:type="dxa"/>
            <w:tcBorders>
              <w:top w:val="nil"/>
              <w:left w:val="nil"/>
              <w:bottom w:val="single" w:sz="4" w:space="0" w:color="auto"/>
              <w:right w:val="single" w:sz="4" w:space="0" w:color="auto"/>
            </w:tcBorders>
            <w:shd w:val="clear" w:color="000000" w:fill="FFFFFF"/>
            <w:noWrap/>
            <w:vAlign w:val="bottom"/>
          </w:tcPr>
          <w:p w14:paraId="3D8F80B6" w14:textId="77777777" w:rsidR="00F32821" w:rsidRPr="00A518C1" w:rsidRDefault="00F32821" w:rsidP="00760A08">
            <w:pPr>
              <w:jc w:val="right"/>
              <w:rPr>
                <w:color w:val="000000"/>
                <w:sz w:val="18"/>
                <w:szCs w:val="18"/>
                <w:lang w:eastAsia="en-GB"/>
              </w:rPr>
            </w:pPr>
          </w:p>
        </w:tc>
        <w:tc>
          <w:tcPr>
            <w:tcW w:w="999" w:type="dxa"/>
            <w:tcBorders>
              <w:top w:val="nil"/>
              <w:left w:val="nil"/>
              <w:bottom w:val="single" w:sz="4" w:space="0" w:color="auto"/>
              <w:right w:val="single" w:sz="4" w:space="0" w:color="auto"/>
            </w:tcBorders>
            <w:shd w:val="clear" w:color="auto" w:fill="auto"/>
            <w:noWrap/>
            <w:vAlign w:val="bottom"/>
          </w:tcPr>
          <w:p w14:paraId="4549A44D" w14:textId="77777777" w:rsidR="00F32821" w:rsidRPr="00A518C1" w:rsidRDefault="00F32821" w:rsidP="00760A08">
            <w:pPr>
              <w:rPr>
                <w:color w:val="000000"/>
                <w:sz w:val="18"/>
                <w:szCs w:val="18"/>
                <w:lang w:eastAsia="en-GB"/>
              </w:rPr>
            </w:pPr>
          </w:p>
        </w:tc>
        <w:tc>
          <w:tcPr>
            <w:tcW w:w="999" w:type="dxa"/>
            <w:tcBorders>
              <w:top w:val="nil"/>
              <w:left w:val="nil"/>
              <w:bottom w:val="single" w:sz="4" w:space="0" w:color="auto"/>
              <w:right w:val="nil"/>
            </w:tcBorders>
            <w:shd w:val="clear" w:color="auto" w:fill="auto"/>
            <w:noWrap/>
            <w:vAlign w:val="bottom"/>
          </w:tcPr>
          <w:p w14:paraId="3531042D" w14:textId="77777777" w:rsidR="00F32821" w:rsidRPr="00A518C1" w:rsidRDefault="00F32821" w:rsidP="00760A08">
            <w:pPr>
              <w:rPr>
                <w:color w:val="000000"/>
                <w:sz w:val="18"/>
                <w:szCs w:val="18"/>
                <w:lang w:eastAsia="en-GB"/>
              </w:rPr>
            </w:pPr>
          </w:p>
        </w:tc>
        <w:tc>
          <w:tcPr>
            <w:tcW w:w="999" w:type="dxa"/>
            <w:tcBorders>
              <w:top w:val="nil"/>
              <w:left w:val="single" w:sz="4" w:space="0" w:color="auto"/>
              <w:bottom w:val="single" w:sz="4" w:space="0" w:color="auto"/>
              <w:right w:val="single" w:sz="4" w:space="0" w:color="auto"/>
            </w:tcBorders>
            <w:shd w:val="clear" w:color="auto" w:fill="auto"/>
            <w:noWrap/>
            <w:vAlign w:val="bottom"/>
          </w:tcPr>
          <w:p w14:paraId="347A02E6" w14:textId="77777777" w:rsidR="00F32821" w:rsidRPr="00A518C1" w:rsidRDefault="00F32821" w:rsidP="00760A08">
            <w:pPr>
              <w:rPr>
                <w:color w:val="000000"/>
                <w:sz w:val="18"/>
                <w:szCs w:val="18"/>
                <w:lang w:eastAsia="en-GB"/>
              </w:rPr>
            </w:pPr>
          </w:p>
        </w:tc>
        <w:tc>
          <w:tcPr>
            <w:tcW w:w="999" w:type="dxa"/>
            <w:tcBorders>
              <w:top w:val="nil"/>
              <w:left w:val="single" w:sz="4" w:space="0" w:color="auto"/>
              <w:bottom w:val="single" w:sz="4" w:space="0" w:color="auto"/>
              <w:right w:val="single" w:sz="4" w:space="0" w:color="auto"/>
            </w:tcBorders>
          </w:tcPr>
          <w:p w14:paraId="47CDEF25" w14:textId="77777777" w:rsidR="00F32821" w:rsidRPr="00A518C1" w:rsidRDefault="00F32821" w:rsidP="00760A08">
            <w:pPr>
              <w:rPr>
                <w:color w:val="000000"/>
                <w:sz w:val="18"/>
                <w:szCs w:val="18"/>
                <w:lang w:eastAsia="en-GB"/>
              </w:rPr>
            </w:pPr>
          </w:p>
        </w:tc>
      </w:tr>
      <w:tr w:rsidR="00F8146A" w:rsidRPr="00A518C1" w14:paraId="1E93727E" w14:textId="77777777" w:rsidTr="00FB0656">
        <w:trPr>
          <w:trHeight w:val="24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68AE1F64" w14:textId="77777777" w:rsidR="00F8146A" w:rsidRPr="00A518C1" w:rsidRDefault="00F8146A" w:rsidP="00760A08">
            <w:pPr>
              <w:rPr>
                <w:sz w:val="18"/>
                <w:szCs w:val="18"/>
                <w:lang w:eastAsia="en-GB"/>
              </w:rPr>
            </w:pPr>
            <w:r w:rsidRPr="00A518C1">
              <w:rPr>
                <w:sz w:val="18"/>
                <w:szCs w:val="18"/>
                <w:lang w:eastAsia="en-GB"/>
              </w:rPr>
              <w:t>Tri-Service Control &amp; mobilisation</w:t>
            </w:r>
          </w:p>
        </w:tc>
        <w:tc>
          <w:tcPr>
            <w:tcW w:w="999" w:type="dxa"/>
            <w:tcBorders>
              <w:top w:val="nil"/>
              <w:left w:val="nil"/>
              <w:bottom w:val="single" w:sz="4" w:space="0" w:color="auto"/>
              <w:right w:val="single" w:sz="4" w:space="0" w:color="auto"/>
            </w:tcBorders>
            <w:shd w:val="clear" w:color="auto" w:fill="auto"/>
            <w:noWrap/>
            <w:vAlign w:val="bottom"/>
            <w:hideMark/>
          </w:tcPr>
          <w:p w14:paraId="7AF74020" w14:textId="77777777" w:rsidR="00F8146A" w:rsidRPr="00A518C1" w:rsidRDefault="00F8146A" w:rsidP="00760A08">
            <w:pPr>
              <w:jc w:val="right"/>
              <w:rPr>
                <w:color w:val="000000"/>
                <w:sz w:val="18"/>
                <w:szCs w:val="18"/>
                <w:lang w:eastAsia="en-GB"/>
              </w:rPr>
            </w:pPr>
            <w:r w:rsidRPr="00A518C1">
              <w:rPr>
                <w:color w:val="000000"/>
                <w:sz w:val="18"/>
                <w:szCs w:val="18"/>
                <w:lang w:eastAsia="en-GB"/>
              </w:rPr>
              <w:t>2,000</w:t>
            </w:r>
          </w:p>
        </w:tc>
        <w:tc>
          <w:tcPr>
            <w:tcW w:w="999" w:type="dxa"/>
            <w:tcBorders>
              <w:top w:val="nil"/>
              <w:left w:val="nil"/>
              <w:bottom w:val="single" w:sz="4" w:space="0" w:color="auto"/>
              <w:right w:val="single" w:sz="4" w:space="0" w:color="auto"/>
            </w:tcBorders>
            <w:shd w:val="clear" w:color="000000" w:fill="FFFFFF"/>
            <w:noWrap/>
            <w:vAlign w:val="bottom"/>
            <w:hideMark/>
          </w:tcPr>
          <w:p w14:paraId="7A64150A" w14:textId="77777777" w:rsidR="00F8146A" w:rsidRPr="00A518C1" w:rsidRDefault="00F8146A" w:rsidP="0036096B">
            <w:pPr>
              <w:jc w:val="right"/>
              <w:rPr>
                <w:color w:val="000000"/>
                <w:sz w:val="18"/>
                <w:szCs w:val="18"/>
                <w:lang w:eastAsia="en-GB"/>
              </w:rPr>
            </w:pPr>
            <w:r w:rsidRPr="00A518C1">
              <w:rPr>
                <w:color w:val="000000"/>
                <w:sz w:val="18"/>
                <w:szCs w:val="18"/>
                <w:lang w:eastAsia="en-GB"/>
              </w:rPr>
              <w:t> </w:t>
            </w:r>
            <w:r w:rsidR="0036096B" w:rsidRPr="00A518C1">
              <w:rPr>
                <w:color w:val="000000"/>
                <w:sz w:val="18"/>
                <w:szCs w:val="18"/>
                <w:lang w:eastAsia="en-GB"/>
              </w:rPr>
              <w:t>1,000</w:t>
            </w:r>
          </w:p>
        </w:tc>
        <w:tc>
          <w:tcPr>
            <w:tcW w:w="999" w:type="dxa"/>
            <w:tcBorders>
              <w:top w:val="nil"/>
              <w:left w:val="nil"/>
              <w:bottom w:val="single" w:sz="4" w:space="0" w:color="auto"/>
              <w:right w:val="single" w:sz="4" w:space="0" w:color="auto"/>
            </w:tcBorders>
            <w:shd w:val="clear" w:color="000000" w:fill="FFFFFF"/>
            <w:noWrap/>
            <w:vAlign w:val="bottom"/>
            <w:hideMark/>
          </w:tcPr>
          <w:p w14:paraId="6C8825EE" w14:textId="77777777" w:rsidR="00F8146A" w:rsidRPr="00A518C1" w:rsidRDefault="00F8146A" w:rsidP="00760A08">
            <w:pPr>
              <w:jc w:val="right"/>
              <w:rPr>
                <w:color w:val="000000"/>
                <w:sz w:val="18"/>
                <w:szCs w:val="18"/>
                <w:lang w:eastAsia="en-GB"/>
              </w:rPr>
            </w:pPr>
            <w:r w:rsidRPr="00A518C1">
              <w:rPr>
                <w:color w:val="000000"/>
                <w:sz w:val="18"/>
                <w:szCs w:val="18"/>
                <w:lang w:eastAsia="en-GB"/>
              </w:rPr>
              <w:t>300</w:t>
            </w:r>
          </w:p>
        </w:tc>
        <w:tc>
          <w:tcPr>
            <w:tcW w:w="989" w:type="dxa"/>
            <w:tcBorders>
              <w:top w:val="nil"/>
              <w:left w:val="nil"/>
              <w:bottom w:val="single" w:sz="4" w:space="0" w:color="auto"/>
              <w:right w:val="single" w:sz="4" w:space="0" w:color="auto"/>
            </w:tcBorders>
            <w:shd w:val="clear" w:color="000000" w:fill="FFFFFF"/>
            <w:noWrap/>
            <w:vAlign w:val="bottom"/>
            <w:hideMark/>
          </w:tcPr>
          <w:p w14:paraId="3E23FAB2"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1009" w:type="dxa"/>
            <w:tcBorders>
              <w:top w:val="nil"/>
              <w:left w:val="nil"/>
              <w:bottom w:val="single" w:sz="4" w:space="0" w:color="auto"/>
              <w:right w:val="single" w:sz="4" w:space="0" w:color="auto"/>
            </w:tcBorders>
            <w:shd w:val="clear" w:color="000000" w:fill="FFFFFF"/>
            <w:noWrap/>
            <w:vAlign w:val="bottom"/>
            <w:hideMark/>
          </w:tcPr>
          <w:p w14:paraId="05555369"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FFFFFF"/>
            <w:noWrap/>
            <w:vAlign w:val="bottom"/>
            <w:hideMark/>
          </w:tcPr>
          <w:p w14:paraId="356DA755" w14:textId="77777777" w:rsidR="00F8146A" w:rsidRPr="00A518C1" w:rsidRDefault="00F32821" w:rsidP="00760A08">
            <w:pPr>
              <w:jc w:val="right"/>
              <w:rPr>
                <w:color w:val="000000"/>
                <w:sz w:val="18"/>
                <w:szCs w:val="18"/>
                <w:lang w:eastAsia="en-GB"/>
              </w:rPr>
            </w:pPr>
            <w:r w:rsidRPr="00A518C1">
              <w:rPr>
                <w:color w:val="000000"/>
                <w:sz w:val="18"/>
                <w:szCs w:val="18"/>
                <w:lang w:eastAsia="en-GB"/>
              </w:rPr>
              <w:t>500</w:t>
            </w:r>
          </w:p>
        </w:tc>
        <w:tc>
          <w:tcPr>
            <w:tcW w:w="999" w:type="dxa"/>
            <w:tcBorders>
              <w:top w:val="nil"/>
              <w:left w:val="nil"/>
              <w:bottom w:val="single" w:sz="4" w:space="0" w:color="auto"/>
              <w:right w:val="single" w:sz="4" w:space="0" w:color="auto"/>
            </w:tcBorders>
            <w:shd w:val="clear" w:color="auto" w:fill="auto"/>
            <w:noWrap/>
            <w:vAlign w:val="bottom"/>
            <w:hideMark/>
          </w:tcPr>
          <w:p w14:paraId="4AB92698"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nil"/>
            </w:tcBorders>
            <w:shd w:val="clear" w:color="auto" w:fill="auto"/>
            <w:noWrap/>
            <w:vAlign w:val="bottom"/>
            <w:hideMark/>
          </w:tcPr>
          <w:p w14:paraId="3C0A7055"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shd w:val="clear" w:color="auto" w:fill="auto"/>
            <w:noWrap/>
            <w:vAlign w:val="bottom"/>
            <w:hideMark/>
          </w:tcPr>
          <w:p w14:paraId="778441EB" w14:textId="77777777" w:rsidR="00F8146A" w:rsidRPr="00A518C1" w:rsidRDefault="00F8146A" w:rsidP="00760A08">
            <w:pPr>
              <w:rPr>
                <w:color w:val="000000"/>
                <w:sz w:val="18"/>
                <w:szCs w:val="18"/>
                <w:lang w:eastAsia="en-GB"/>
              </w:rPr>
            </w:pPr>
            <w:r w:rsidRPr="00A518C1">
              <w:rPr>
                <w:color w:val="000000"/>
                <w:sz w:val="18"/>
                <w:szCs w:val="18"/>
                <w:lang w:eastAsia="en-GB"/>
              </w:rPr>
              <w:t> </w:t>
            </w:r>
          </w:p>
        </w:tc>
        <w:tc>
          <w:tcPr>
            <w:tcW w:w="999" w:type="dxa"/>
            <w:tcBorders>
              <w:top w:val="nil"/>
              <w:left w:val="single" w:sz="4" w:space="0" w:color="auto"/>
              <w:bottom w:val="single" w:sz="4" w:space="0" w:color="auto"/>
              <w:right w:val="single" w:sz="4" w:space="0" w:color="auto"/>
            </w:tcBorders>
          </w:tcPr>
          <w:p w14:paraId="27E1DACB" w14:textId="77777777" w:rsidR="00F8146A" w:rsidRPr="00A518C1" w:rsidRDefault="00F8146A" w:rsidP="00760A08">
            <w:pPr>
              <w:rPr>
                <w:color w:val="000000"/>
                <w:sz w:val="18"/>
                <w:szCs w:val="18"/>
                <w:lang w:eastAsia="en-GB"/>
              </w:rPr>
            </w:pPr>
          </w:p>
        </w:tc>
      </w:tr>
      <w:tr w:rsidR="00F8146A" w:rsidRPr="00A518C1" w14:paraId="69F13C65" w14:textId="77777777" w:rsidTr="001C0C6D">
        <w:trPr>
          <w:trHeight w:val="263"/>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99C0FF6" w14:textId="77777777" w:rsidR="00F8146A" w:rsidRPr="00A518C1" w:rsidRDefault="00F8146A" w:rsidP="00760A08">
            <w:pPr>
              <w:rPr>
                <w:sz w:val="18"/>
                <w:szCs w:val="18"/>
                <w:lang w:eastAsia="en-GB"/>
              </w:rPr>
            </w:pPr>
            <w:r w:rsidRPr="00A518C1">
              <w:rPr>
                <w:sz w:val="18"/>
                <w:szCs w:val="18"/>
                <w:lang w:eastAsia="en-GB"/>
              </w:rPr>
              <w:t> </w:t>
            </w:r>
          </w:p>
        </w:tc>
        <w:tc>
          <w:tcPr>
            <w:tcW w:w="999" w:type="dxa"/>
            <w:tcBorders>
              <w:top w:val="nil"/>
              <w:left w:val="nil"/>
              <w:bottom w:val="single" w:sz="4" w:space="0" w:color="auto"/>
              <w:right w:val="single" w:sz="4" w:space="0" w:color="auto"/>
            </w:tcBorders>
            <w:shd w:val="clear" w:color="000000" w:fill="BFBFBF"/>
            <w:noWrap/>
            <w:vAlign w:val="bottom"/>
            <w:hideMark/>
          </w:tcPr>
          <w:p w14:paraId="131D0F16" w14:textId="77777777" w:rsidR="00F8146A" w:rsidRPr="00A518C1" w:rsidRDefault="00F8146A" w:rsidP="00760A08">
            <w:pPr>
              <w:jc w:val="right"/>
              <w:rPr>
                <w:b/>
                <w:bCs/>
                <w:color w:val="000000"/>
                <w:sz w:val="18"/>
                <w:szCs w:val="18"/>
                <w:lang w:eastAsia="en-GB"/>
              </w:rPr>
            </w:pPr>
            <w:r w:rsidRPr="00A518C1">
              <w:rPr>
                <w:b/>
                <w:bCs/>
                <w:color w:val="000000"/>
                <w:sz w:val="18"/>
                <w:szCs w:val="18"/>
                <w:lang w:eastAsia="en-GB"/>
              </w:rPr>
              <w:t>2,000</w:t>
            </w:r>
          </w:p>
        </w:tc>
        <w:tc>
          <w:tcPr>
            <w:tcW w:w="999" w:type="dxa"/>
            <w:tcBorders>
              <w:top w:val="nil"/>
              <w:left w:val="nil"/>
              <w:bottom w:val="single" w:sz="4" w:space="0" w:color="auto"/>
              <w:right w:val="single" w:sz="4" w:space="0" w:color="auto"/>
            </w:tcBorders>
            <w:shd w:val="clear" w:color="000000" w:fill="BFBFBF"/>
            <w:noWrap/>
            <w:vAlign w:val="bottom"/>
            <w:hideMark/>
          </w:tcPr>
          <w:p w14:paraId="5CD873BE" w14:textId="77777777" w:rsidR="00F8146A" w:rsidRPr="00A518C1" w:rsidRDefault="00F8146A" w:rsidP="00F32821">
            <w:pPr>
              <w:jc w:val="right"/>
              <w:rPr>
                <w:b/>
                <w:bCs/>
                <w:color w:val="000000"/>
                <w:sz w:val="18"/>
                <w:szCs w:val="18"/>
                <w:lang w:eastAsia="en-GB"/>
              </w:rPr>
            </w:pPr>
            <w:r w:rsidRPr="00A518C1">
              <w:rPr>
                <w:b/>
                <w:bCs/>
                <w:color w:val="000000"/>
                <w:sz w:val="18"/>
                <w:szCs w:val="18"/>
                <w:lang w:eastAsia="en-GB"/>
              </w:rPr>
              <w:t> </w:t>
            </w:r>
            <w:r w:rsidR="00F32821" w:rsidRPr="00A518C1">
              <w:rPr>
                <w:b/>
                <w:bCs/>
                <w:color w:val="000000"/>
                <w:sz w:val="18"/>
                <w:szCs w:val="18"/>
                <w:lang w:eastAsia="en-GB"/>
              </w:rPr>
              <w:t>1,000</w:t>
            </w:r>
          </w:p>
        </w:tc>
        <w:tc>
          <w:tcPr>
            <w:tcW w:w="999" w:type="dxa"/>
            <w:tcBorders>
              <w:top w:val="nil"/>
              <w:left w:val="nil"/>
              <w:bottom w:val="single" w:sz="4" w:space="0" w:color="auto"/>
              <w:right w:val="single" w:sz="4" w:space="0" w:color="auto"/>
            </w:tcBorders>
            <w:shd w:val="clear" w:color="000000" w:fill="BFBFBF"/>
            <w:noWrap/>
            <w:vAlign w:val="bottom"/>
            <w:hideMark/>
          </w:tcPr>
          <w:p w14:paraId="76DD1510" w14:textId="77777777" w:rsidR="00F8146A" w:rsidRPr="00A518C1" w:rsidRDefault="00F8146A" w:rsidP="00F32821">
            <w:pPr>
              <w:jc w:val="right"/>
              <w:rPr>
                <w:b/>
                <w:bCs/>
                <w:color w:val="000000"/>
                <w:sz w:val="18"/>
                <w:szCs w:val="18"/>
                <w:lang w:eastAsia="en-GB"/>
              </w:rPr>
            </w:pPr>
            <w:r w:rsidRPr="00A518C1">
              <w:rPr>
                <w:b/>
                <w:bCs/>
                <w:color w:val="000000"/>
                <w:sz w:val="18"/>
                <w:szCs w:val="18"/>
                <w:lang w:eastAsia="en-GB"/>
              </w:rPr>
              <w:t>300</w:t>
            </w:r>
          </w:p>
        </w:tc>
        <w:tc>
          <w:tcPr>
            <w:tcW w:w="989" w:type="dxa"/>
            <w:tcBorders>
              <w:top w:val="nil"/>
              <w:left w:val="nil"/>
              <w:bottom w:val="single" w:sz="4" w:space="0" w:color="auto"/>
              <w:right w:val="single" w:sz="4" w:space="0" w:color="auto"/>
            </w:tcBorders>
            <w:shd w:val="clear" w:color="000000" w:fill="BFBFBF"/>
            <w:noWrap/>
            <w:vAlign w:val="bottom"/>
            <w:hideMark/>
          </w:tcPr>
          <w:p w14:paraId="1A7E0D3D"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1009" w:type="dxa"/>
            <w:tcBorders>
              <w:top w:val="nil"/>
              <w:left w:val="nil"/>
              <w:bottom w:val="single" w:sz="4" w:space="0" w:color="auto"/>
              <w:right w:val="single" w:sz="4" w:space="0" w:color="auto"/>
            </w:tcBorders>
            <w:shd w:val="clear" w:color="000000" w:fill="BFBFBF"/>
            <w:noWrap/>
            <w:vAlign w:val="bottom"/>
            <w:hideMark/>
          </w:tcPr>
          <w:p w14:paraId="70CE8B8A"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BFBFBF"/>
            <w:noWrap/>
            <w:vAlign w:val="bottom"/>
            <w:hideMark/>
          </w:tcPr>
          <w:p w14:paraId="3ECC17AE" w14:textId="77777777" w:rsidR="00F8146A" w:rsidRPr="00A518C1" w:rsidRDefault="00F32821" w:rsidP="00760A08">
            <w:pPr>
              <w:jc w:val="right"/>
              <w:rPr>
                <w:b/>
                <w:bCs/>
                <w:color w:val="000000"/>
                <w:sz w:val="18"/>
                <w:szCs w:val="18"/>
                <w:lang w:eastAsia="en-GB"/>
              </w:rPr>
            </w:pPr>
            <w:r w:rsidRPr="00A518C1">
              <w:rPr>
                <w:b/>
                <w:bCs/>
                <w:color w:val="000000"/>
                <w:sz w:val="18"/>
                <w:szCs w:val="18"/>
                <w:lang w:eastAsia="en-GB"/>
              </w:rPr>
              <w:t>500</w:t>
            </w:r>
          </w:p>
        </w:tc>
        <w:tc>
          <w:tcPr>
            <w:tcW w:w="999" w:type="dxa"/>
            <w:tcBorders>
              <w:top w:val="nil"/>
              <w:left w:val="nil"/>
              <w:bottom w:val="single" w:sz="4" w:space="0" w:color="auto"/>
              <w:right w:val="single" w:sz="4" w:space="0" w:color="auto"/>
            </w:tcBorders>
            <w:shd w:val="clear" w:color="000000" w:fill="BFBFBF"/>
            <w:noWrap/>
            <w:vAlign w:val="bottom"/>
            <w:hideMark/>
          </w:tcPr>
          <w:p w14:paraId="36B55371"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BFBFBF"/>
            <w:noWrap/>
            <w:vAlign w:val="bottom"/>
            <w:hideMark/>
          </w:tcPr>
          <w:p w14:paraId="654ED8BC"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BFBFBF"/>
            <w:noWrap/>
            <w:vAlign w:val="bottom"/>
            <w:hideMark/>
          </w:tcPr>
          <w:p w14:paraId="1CDD9777" w14:textId="77777777" w:rsidR="00F8146A" w:rsidRPr="00A518C1" w:rsidRDefault="00F8146A" w:rsidP="00760A08">
            <w:pPr>
              <w:rPr>
                <w:b/>
                <w:bCs/>
                <w:color w:val="000000"/>
                <w:sz w:val="18"/>
                <w:szCs w:val="18"/>
                <w:lang w:eastAsia="en-GB"/>
              </w:rPr>
            </w:pPr>
            <w:r w:rsidRPr="00A518C1">
              <w:rPr>
                <w:b/>
                <w:bCs/>
                <w:color w:val="000000"/>
                <w:sz w:val="18"/>
                <w:szCs w:val="18"/>
                <w:lang w:eastAsia="en-GB"/>
              </w:rPr>
              <w:t> </w:t>
            </w:r>
          </w:p>
        </w:tc>
        <w:tc>
          <w:tcPr>
            <w:tcW w:w="999" w:type="dxa"/>
            <w:tcBorders>
              <w:top w:val="nil"/>
              <w:left w:val="nil"/>
              <w:bottom w:val="single" w:sz="4" w:space="0" w:color="auto"/>
              <w:right w:val="single" w:sz="4" w:space="0" w:color="auto"/>
            </w:tcBorders>
            <w:shd w:val="clear" w:color="000000" w:fill="BFBFBF"/>
          </w:tcPr>
          <w:p w14:paraId="7C086AAC" w14:textId="77777777" w:rsidR="00F8146A" w:rsidRPr="00A518C1" w:rsidRDefault="00F8146A" w:rsidP="00F32821">
            <w:pPr>
              <w:jc w:val="right"/>
              <w:rPr>
                <w:b/>
                <w:bCs/>
                <w:color w:val="000000"/>
                <w:sz w:val="18"/>
                <w:szCs w:val="18"/>
                <w:lang w:eastAsia="en-GB"/>
              </w:rPr>
            </w:pPr>
          </w:p>
        </w:tc>
      </w:tr>
      <w:tr w:rsidR="00F32821" w:rsidRPr="00A518C1" w14:paraId="1B7287E7" w14:textId="77777777" w:rsidTr="001C0C6D">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66A6EEE4" w14:textId="77777777" w:rsidR="00F32821" w:rsidRPr="00A518C1" w:rsidRDefault="00F32821" w:rsidP="00760A08">
            <w:pPr>
              <w:rPr>
                <w:b/>
                <w:bCs/>
                <w:sz w:val="18"/>
                <w:szCs w:val="18"/>
                <w:lang w:eastAsia="en-GB"/>
              </w:rPr>
            </w:pPr>
            <w:r w:rsidRPr="00A518C1">
              <w:rPr>
                <w:b/>
                <w:bCs/>
                <w:sz w:val="18"/>
                <w:szCs w:val="18"/>
                <w:lang w:eastAsia="en-GB"/>
              </w:rPr>
              <w:t>ICT UPGRADES</w:t>
            </w:r>
          </w:p>
        </w:tc>
        <w:tc>
          <w:tcPr>
            <w:tcW w:w="999" w:type="dxa"/>
            <w:tcBorders>
              <w:top w:val="single" w:sz="4" w:space="0" w:color="auto"/>
              <w:left w:val="nil"/>
              <w:bottom w:val="single" w:sz="4" w:space="0" w:color="auto"/>
              <w:right w:val="single" w:sz="4" w:space="0" w:color="auto"/>
            </w:tcBorders>
            <w:shd w:val="clear" w:color="000000" w:fill="FFFFFF"/>
            <w:noWrap/>
            <w:vAlign w:val="bottom"/>
          </w:tcPr>
          <w:p w14:paraId="2D2798DD"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3202FAC"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4D1CE12" w14:textId="77777777" w:rsidR="00F32821" w:rsidRPr="00A518C1" w:rsidRDefault="00F32821" w:rsidP="00F32821">
            <w:pPr>
              <w:jc w:val="right"/>
              <w:rPr>
                <w:color w:val="000000"/>
                <w:sz w:val="18"/>
                <w:szCs w:val="18"/>
                <w:lang w:eastAsia="en-GB"/>
              </w:rPr>
            </w:pP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FDB7AA7" w14:textId="77777777" w:rsidR="00F32821" w:rsidRPr="00A518C1" w:rsidRDefault="00F32821" w:rsidP="00F32821">
            <w:pPr>
              <w:jc w:val="right"/>
              <w:rPr>
                <w:color w:val="000000"/>
                <w:sz w:val="18"/>
                <w:szCs w:val="18"/>
                <w:lang w:eastAsia="en-GB"/>
              </w:rPr>
            </w:pP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FD4B03"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336C9B"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8DA7131"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F355186"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B854AA9" w14:textId="77777777" w:rsidR="00F32821" w:rsidRPr="00A518C1" w:rsidRDefault="00F32821" w:rsidP="00F32821">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tcPr>
          <w:p w14:paraId="238E0C17" w14:textId="77777777" w:rsidR="00F32821" w:rsidRPr="00A518C1" w:rsidRDefault="00F32821" w:rsidP="00F32821">
            <w:pPr>
              <w:jc w:val="right"/>
              <w:rPr>
                <w:color w:val="000000"/>
                <w:sz w:val="18"/>
                <w:szCs w:val="18"/>
                <w:lang w:eastAsia="en-GB"/>
              </w:rPr>
            </w:pPr>
          </w:p>
        </w:tc>
      </w:tr>
      <w:tr w:rsidR="00F32821" w:rsidRPr="00A518C1" w14:paraId="22531810" w14:textId="77777777" w:rsidTr="001C0C6D">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13D46F94" w14:textId="77777777" w:rsidR="00F32821" w:rsidRPr="00A518C1" w:rsidRDefault="00F32821" w:rsidP="00760A08">
            <w:pPr>
              <w:rPr>
                <w:sz w:val="18"/>
                <w:szCs w:val="18"/>
                <w:lang w:eastAsia="en-GB"/>
              </w:rPr>
            </w:pPr>
            <w:r w:rsidRPr="00A518C1">
              <w:rPr>
                <w:sz w:val="18"/>
                <w:szCs w:val="18"/>
                <w:lang w:eastAsia="en-GB"/>
              </w:rPr>
              <w:t>Agresso Upgrade</w:t>
            </w:r>
          </w:p>
        </w:tc>
        <w:tc>
          <w:tcPr>
            <w:tcW w:w="999" w:type="dxa"/>
            <w:tcBorders>
              <w:top w:val="single" w:sz="4" w:space="0" w:color="auto"/>
              <w:left w:val="nil"/>
              <w:bottom w:val="single" w:sz="4" w:space="0" w:color="auto"/>
              <w:right w:val="single" w:sz="4" w:space="0" w:color="auto"/>
            </w:tcBorders>
            <w:shd w:val="clear" w:color="000000" w:fill="FFFFFF"/>
            <w:noWrap/>
            <w:vAlign w:val="bottom"/>
          </w:tcPr>
          <w:p w14:paraId="57C93F41" w14:textId="77777777" w:rsidR="00F32821" w:rsidRPr="00A518C1" w:rsidRDefault="001C0C6D" w:rsidP="00760A08">
            <w:pPr>
              <w:jc w:val="right"/>
              <w:rPr>
                <w:color w:val="000000"/>
                <w:sz w:val="18"/>
                <w:szCs w:val="18"/>
                <w:lang w:eastAsia="en-GB"/>
              </w:rPr>
            </w:pPr>
            <w:r w:rsidRPr="00A518C1">
              <w:rPr>
                <w:color w:val="000000"/>
                <w:sz w:val="18"/>
                <w:szCs w:val="18"/>
                <w:lang w:eastAsia="en-GB"/>
              </w:rPr>
              <w:t>51</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8C8D2F"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111257B" w14:textId="77777777" w:rsidR="00F32821" w:rsidRPr="00A518C1" w:rsidRDefault="00F32821" w:rsidP="00760A08">
            <w:pPr>
              <w:jc w:val="right"/>
              <w:rPr>
                <w:color w:val="000000"/>
                <w:sz w:val="18"/>
                <w:szCs w:val="18"/>
                <w:lang w:eastAsia="en-GB"/>
              </w:rPr>
            </w:pP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9D7BE9F" w14:textId="77777777" w:rsidR="00F32821" w:rsidRPr="00A518C1" w:rsidRDefault="00F32821" w:rsidP="00760A08">
            <w:pPr>
              <w:jc w:val="right"/>
              <w:rPr>
                <w:color w:val="000000"/>
                <w:sz w:val="18"/>
                <w:szCs w:val="18"/>
                <w:lang w:eastAsia="en-GB"/>
              </w:rPr>
            </w:pP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4B89290"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7DB45A7"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0BD901"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90E430"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08EE3C7"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tcPr>
          <w:p w14:paraId="54C4F0B4" w14:textId="77777777" w:rsidR="00F32821" w:rsidRPr="00A518C1" w:rsidRDefault="00F32821" w:rsidP="00760A08">
            <w:pPr>
              <w:jc w:val="right"/>
              <w:rPr>
                <w:color w:val="000000"/>
                <w:sz w:val="18"/>
                <w:szCs w:val="18"/>
                <w:lang w:eastAsia="en-GB"/>
              </w:rPr>
            </w:pPr>
          </w:p>
        </w:tc>
      </w:tr>
      <w:tr w:rsidR="00F32821" w:rsidRPr="00A518C1" w14:paraId="2CC6400D" w14:textId="77777777" w:rsidTr="001C0C6D">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68CEDC27" w14:textId="77777777" w:rsidR="00F32821" w:rsidRPr="00A518C1" w:rsidRDefault="00F32821" w:rsidP="00760A08">
            <w:pPr>
              <w:rPr>
                <w:sz w:val="18"/>
                <w:szCs w:val="18"/>
                <w:lang w:eastAsia="en-GB"/>
              </w:rPr>
            </w:pPr>
            <w:r w:rsidRPr="00A518C1">
              <w:rPr>
                <w:sz w:val="18"/>
                <w:szCs w:val="18"/>
                <w:lang w:eastAsia="en-GB"/>
              </w:rPr>
              <w:t>Payroll, Finance and Occupational Health Upgrade</w:t>
            </w:r>
          </w:p>
        </w:tc>
        <w:tc>
          <w:tcPr>
            <w:tcW w:w="999" w:type="dxa"/>
            <w:tcBorders>
              <w:top w:val="single" w:sz="4" w:space="0" w:color="auto"/>
              <w:left w:val="nil"/>
              <w:bottom w:val="single" w:sz="4" w:space="0" w:color="auto"/>
              <w:right w:val="single" w:sz="4" w:space="0" w:color="auto"/>
            </w:tcBorders>
            <w:shd w:val="clear" w:color="000000" w:fill="FFFFFF"/>
            <w:noWrap/>
            <w:vAlign w:val="bottom"/>
          </w:tcPr>
          <w:p w14:paraId="62E0A2CD" w14:textId="77777777" w:rsidR="00F32821" w:rsidRPr="00A518C1" w:rsidRDefault="001C0C6D" w:rsidP="00760A08">
            <w:pPr>
              <w:jc w:val="right"/>
              <w:rPr>
                <w:color w:val="000000"/>
                <w:sz w:val="18"/>
                <w:szCs w:val="18"/>
                <w:lang w:eastAsia="en-GB"/>
              </w:rPr>
            </w:pPr>
            <w:r w:rsidRPr="00A518C1">
              <w:rPr>
                <w:color w:val="000000"/>
                <w:sz w:val="18"/>
                <w:szCs w:val="18"/>
                <w:lang w:eastAsia="en-GB"/>
              </w:rPr>
              <w:t>50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D27C1F" w14:textId="77777777" w:rsidR="00F32821"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BF08F72" w14:textId="77777777" w:rsidR="00F32821" w:rsidRPr="00A518C1" w:rsidRDefault="00F32821" w:rsidP="00760A08">
            <w:pPr>
              <w:jc w:val="right"/>
              <w:rPr>
                <w:color w:val="000000"/>
                <w:sz w:val="18"/>
                <w:szCs w:val="18"/>
                <w:lang w:eastAsia="en-GB"/>
              </w:rPr>
            </w:pP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BBEE9D" w14:textId="77777777" w:rsidR="00F32821" w:rsidRPr="00A518C1" w:rsidRDefault="001C0C6D" w:rsidP="00760A08">
            <w:pPr>
              <w:jc w:val="right"/>
              <w:rPr>
                <w:color w:val="000000"/>
                <w:sz w:val="18"/>
                <w:szCs w:val="18"/>
                <w:lang w:eastAsia="en-GB"/>
              </w:rPr>
            </w:pPr>
            <w:r w:rsidRPr="00A518C1">
              <w:rPr>
                <w:color w:val="000000"/>
                <w:sz w:val="18"/>
                <w:szCs w:val="18"/>
                <w:lang w:eastAsia="en-GB"/>
              </w:rPr>
              <w:t>30</w:t>
            </w: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2BDF3F2"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C446EDE" w14:textId="77777777" w:rsidR="00F32821"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5E2053" w14:textId="77777777" w:rsidR="00F32821"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E0AFCA6"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8B46BE" w14:textId="77777777" w:rsidR="00F32821" w:rsidRPr="00A518C1" w:rsidRDefault="00F32821"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000000" w:fill="FFFFFF"/>
          </w:tcPr>
          <w:p w14:paraId="0825CA15" w14:textId="77777777" w:rsidR="00F32821" w:rsidRPr="00A518C1" w:rsidRDefault="00F32821" w:rsidP="00760A08">
            <w:pPr>
              <w:jc w:val="right"/>
              <w:rPr>
                <w:color w:val="000000"/>
                <w:sz w:val="18"/>
                <w:szCs w:val="18"/>
                <w:lang w:eastAsia="en-GB"/>
              </w:rPr>
            </w:pPr>
          </w:p>
        </w:tc>
      </w:tr>
      <w:tr w:rsidR="001C0C6D" w:rsidRPr="00A518C1" w14:paraId="2330C6C6" w14:textId="77777777" w:rsidTr="000408B1">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tcPr>
          <w:p w14:paraId="4C9403F2" w14:textId="77777777" w:rsidR="001C0C6D" w:rsidRPr="00A518C1" w:rsidRDefault="001C0C6D" w:rsidP="00760A08">
            <w:pPr>
              <w:rPr>
                <w:sz w:val="18"/>
                <w:szCs w:val="18"/>
                <w:lang w:eastAsia="en-GB"/>
              </w:rPr>
            </w:pPr>
          </w:p>
        </w:tc>
        <w:tc>
          <w:tcPr>
            <w:tcW w:w="999" w:type="dxa"/>
            <w:tcBorders>
              <w:top w:val="single" w:sz="4" w:space="0" w:color="auto"/>
              <w:left w:val="nil"/>
              <w:bottom w:val="single" w:sz="4" w:space="0" w:color="auto"/>
              <w:right w:val="single" w:sz="4" w:space="0" w:color="auto"/>
            </w:tcBorders>
            <w:shd w:val="clear" w:color="auto" w:fill="BFBFBF"/>
            <w:noWrap/>
            <w:vAlign w:val="bottom"/>
          </w:tcPr>
          <w:p w14:paraId="656830DB" w14:textId="77777777" w:rsidR="001C0C6D" w:rsidRPr="00A518C1" w:rsidRDefault="001C0C6D" w:rsidP="00760A08">
            <w:pPr>
              <w:jc w:val="right"/>
              <w:rPr>
                <w:color w:val="000000"/>
                <w:sz w:val="18"/>
                <w:szCs w:val="18"/>
                <w:lang w:eastAsia="en-GB"/>
              </w:rPr>
            </w:pPr>
            <w:r w:rsidRPr="00A518C1">
              <w:rPr>
                <w:color w:val="000000"/>
                <w:sz w:val="18"/>
                <w:szCs w:val="18"/>
                <w:lang w:eastAsia="en-GB"/>
              </w:rPr>
              <w:t>101</w:t>
            </w: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9272882" w14:textId="77777777" w:rsidR="001C0C6D"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E49F319" w14:textId="77777777" w:rsidR="001C0C6D" w:rsidRPr="00A518C1" w:rsidRDefault="001C0C6D" w:rsidP="00760A08">
            <w:pPr>
              <w:jc w:val="right"/>
              <w:rPr>
                <w:color w:val="000000"/>
                <w:sz w:val="18"/>
                <w:szCs w:val="18"/>
                <w:lang w:eastAsia="en-GB"/>
              </w:rPr>
            </w:pPr>
          </w:p>
        </w:tc>
        <w:tc>
          <w:tcPr>
            <w:tcW w:w="98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15FFC0D4" w14:textId="77777777" w:rsidR="001C0C6D" w:rsidRPr="00A518C1" w:rsidRDefault="001C0C6D" w:rsidP="00760A08">
            <w:pPr>
              <w:jc w:val="right"/>
              <w:rPr>
                <w:color w:val="000000"/>
                <w:sz w:val="18"/>
                <w:szCs w:val="18"/>
                <w:lang w:eastAsia="en-GB"/>
              </w:rPr>
            </w:pPr>
            <w:r w:rsidRPr="00A518C1">
              <w:rPr>
                <w:color w:val="000000"/>
                <w:sz w:val="18"/>
                <w:szCs w:val="18"/>
                <w:lang w:eastAsia="en-GB"/>
              </w:rPr>
              <w:t>30</w:t>
            </w:r>
          </w:p>
        </w:tc>
        <w:tc>
          <w:tcPr>
            <w:tcW w:w="100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F954814" w14:textId="77777777" w:rsidR="001C0C6D" w:rsidRPr="00A518C1" w:rsidRDefault="001C0C6D"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CFAF08B" w14:textId="77777777" w:rsidR="001C0C6D"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71EAF70F" w14:textId="77777777" w:rsidR="001C0C6D" w:rsidRPr="00A518C1" w:rsidRDefault="001C0C6D" w:rsidP="00760A08">
            <w:pPr>
              <w:jc w:val="right"/>
              <w:rPr>
                <w:color w:val="000000"/>
                <w:sz w:val="18"/>
                <w:szCs w:val="18"/>
                <w:lang w:eastAsia="en-GB"/>
              </w:rPr>
            </w:pPr>
            <w:r w:rsidRPr="00A518C1">
              <w:rPr>
                <w:color w:val="000000"/>
                <w:sz w:val="18"/>
                <w:szCs w:val="18"/>
                <w:lang w:eastAsia="en-GB"/>
              </w:rPr>
              <w:t>30</w:t>
            </w: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E14F04F" w14:textId="77777777" w:rsidR="001C0C6D" w:rsidRPr="00A518C1" w:rsidRDefault="001C0C6D"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6453FC43" w14:textId="77777777" w:rsidR="001C0C6D" w:rsidRPr="00A518C1" w:rsidRDefault="001C0C6D" w:rsidP="00760A08">
            <w:pPr>
              <w:jc w:val="right"/>
              <w:rPr>
                <w:color w:val="000000"/>
                <w:sz w:val="18"/>
                <w:szCs w:val="18"/>
                <w:lang w:eastAsia="en-GB"/>
              </w:rPr>
            </w:pPr>
          </w:p>
        </w:tc>
        <w:tc>
          <w:tcPr>
            <w:tcW w:w="999" w:type="dxa"/>
            <w:tcBorders>
              <w:top w:val="single" w:sz="4" w:space="0" w:color="auto"/>
              <w:left w:val="single" w:sz="4" w:space="0" w:color="auto"/>
              <w:bottom w:val="single" w:sz="4" w:space="0" w:color="auto"/>
              <w:right w:val="single" w:sz="4" w:space="0" w:color="auto"/>
            </w:tcBorders>
            <w:shd w:val="clear" w:color="auto" w:fill="BFBFBF"/>
          </w:tcPr>
          <w:p w14:paraId="05016FF5" w14:textId="77777777" w:rsidR="001C0C6D" w:rsidRPr="00A518C1" w:rsidRDefault="001C0C6D" w:rsidP="00760A08">
            <w:pPr>
              <w:jc w:val="right"/>
              <w:rPr>
                <w:color w:val="000000"/>
                <w:sz w:val="18"/>
                <w:szCs w:val="18"/>
                <w:lang w:eastAsia="en-GB"/>
              </w:rPr>
            </w:pPr>
          </w:p>
        </w:tc>
      </w:tr>
      <w:tr w:rsidR="00F8146A" w:rsidRPr="00A518C1" w14:paraId="11797CD5" w14:textId="77777777" w:rsidTr="001C0C6D">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21465952" w14:textId="77777777" w:rsidR="00F8146A" w:rsidRPr="00A518C1" w:rsidRDefault="00F8146A" w:rsidP="00760A08">
            <w:pPr>
              <w:rPr>
                <w:sz w:val="18"/>
                <w:szCs w:val="18"/>
                <w:lang w:eastAsia="en-GB"/>
              </w:rPr>
            </w:pPr>
            <w:r w:rsidRPr="00A518C1">
              <w:rPr>
                <w:sz w:val="18"/>
                <w:szCs w:val="18"/>
                <w:lang w:eastAsia="en-GB"/>
              </w:rPr>
              <w:t> </w:t>
            </w:r>
          </w:p>
        </w:tc>
        <w:tc>
          <w:tcPr>
            <w:tcW w:w="999" w:type="dxa"/>
            <w:tcBorders>
              <w:top w:val="single" w:sz="4" w:space="0" w:color="auto"/>
              <w:left w:val="nil"/>
              <w:bottom w:val="double" w:sz="6" w:space="0" w:color="auto"/>
              <w:right w:val="nil"/>
            </w:tcBorders>
            <w:shd w:val="clear" w:color="000000" w:fill="FFFFFF"/>
            <w:noWrap/>
            <w:vAlign w:val="bottom"/>
            <w:hideMark/>
          </w:tcPr>
          <w:p w14:paraId="22DD6BE4"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8,</w:t>
            </w:r>
            <w:r w:rsidR="00973D55" w:rsidRPr="00A518C1">
              <w:rPr>
                <w:b/>
                <w:bCs/>
                <w:color w:val="000000"/>
                <w:sz w:val="20"/>
                <w:szCs w:val="20"/>
                <w:lang w:eastAsia="en-GB"/>
              </w:rPr>
              <w:t>1</w:t>
            </w:r>
            <w:r w:rsidRPr="00A518C1">
              <w:rPr>
                <w:b/>
                <w:bCs/>
                <w:color w:val="000000"/>
                <w:sz w:val="20"/>
                <w:szCs w:val="20"/>
                <w:lang w:eastAsia="en-GB"/>
              </w:rPr>
              <w:t>08</w:t>
            </w:r>
          </w:p>
        </w:tc>
        <w:tc>
          <w:tcPr>
            <w:tcW w:w="999" w:type="dxa"/>
            <w:tcBorders>
              <w:top w:val="single" w:sz="4" w:space="0" w:color="auto"/>
              <w:left w:val="nil"/>
              <w:bottom w:val="double" w:sz="6" w:space="0" w:color="auto"/>
              <w:right w:val="nil"/>
            </w:tcBorders>
            <w:shd w:val="clear" w:color="000000" w:fill="FFFFFF"/>
            <w:noWrap/>
            <w:vAlign w:val="bottom"/>
            <w:hideMark/>
          </w:tcPr>
          <w:p w14:paraId="2380E026"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3,518</w:t>
            </w:r>
          </w:p>
        </w:tc>
        <w:tc>
          <w:tcPr>
            <w:tcW w:w="999" w:type="dxa"/>
            <w:tcBorders>
              <w:top w:val="single" w:sz="4" w:space="0" w:color="auto"/>
              <w:left w:val="nil"/>
              <w:bottom w:val="double" w:sz="6" w:space="0" w:color="auto"/>
              <w:right w:val="nil"/>
            </w:tcBorders>
            <w:shd w:val="clear" w:color="000000" w:fill="FFFFFF"/>
            <w:noWrap/>
            <w:vAlign w:val="bottom"/>
            <w:hideMark/>
          </w:tcPr>
          <w:p w14:paraId="2223CEE0"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4,805</w:t>
            </w:r>
          </w:p>
        </w:tc>
        <w:tc>
          <w:tcPr>
            <w:tcW w:w="989" w:type="dxa"/>
            <w:tcBorders>
              <w:top w:val="single" w:sz="4" w:space="0" w:color="auto"/>
              <w:left w:val="nil"/>
              <w:bottom w:val="double" w:sz="6" w:space="0" w:color="auto"/>
              <w:right w:val="nil"/>
            </w:tcBorders>
            <w:shd w:val="clear" w:color="000000" w:fill="FFFFFF"/>
            <w:noWrap/>
            <w:vAlign w:val="bottom"/>
            <w:hideMark/>
          </w:tcPr>
          <w:p w14:paraId="52C41C46"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4,301</w:t>
            </w:r>
          </w:p>
        </w:tc>
        <w:tc>
          <w:tcPr>
            <w:tcW w:w="1009" w:type="dxa"/>
            <w:tcBorders>
              <w:top w:val="single" w:sz="4" w:space="0" w:color="auto"/>
              <w:left w:val="nil"/>
              <w:bottom w:val="double" w:sz="6" w:space="0" w:color="auto"/>
              <w:right w:val="nil"/>
            </w:tcBorders>
            <w:shd w:val="clear" w:color="000000" w:fill="FFFFFF"/>
            <w:noWrap/>
            <w:vAlign w:val="bottom"/>
            <w:hideMark/>
          </w:tcPr>
          <w:p w14:paraId="487D8C69"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5,721</w:t>
            </w:r>
          </w:p>
        </w:tc>
        <w:tc>
          <w:tcPr>
            <w:tcW w:w="999" w:type="dxa"/>
            <w:tcBorders>
              <w:top w:val="single" w:sz="4" w:space="0" w:color="auto"/>
              <w:left w:val="nil"/>
              <w:bottom w:val="double" w:sz="6" w:space="0" w:color="auto"/>
              <w:right w:val="nil"/>
            </w:tcBorders>
            <w:shd w:val="clear" w:color="000000" w:fill="FFFFFF"/>
            <w:noWrap/>
            <w:vAlign w:val="bottom"/>
            <w:hideMark/>
          </w:tcPr>
          <w:p w14:paraId="13806FF7"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2,639</w:t>
            </w:r>
          </w:p>
        </w:tc>
        <w:tc>
          <w:tcPr>
            <w:tcW w:w="999" w:type="dxa"/>
            <w:tcBorders>
              <w:top w:val="single" w:sz="4" w:space="0" w:color="auto"/>
              <w:left w:val="nil"/>
              <w:bottom w:val="double" w:sz="6" w:space="0" w:color="auto"/>
              <w:right w:val="nil"/>
            </w:tcBorders>
            <w:shd w:val="clear" w:color="000000" w:fill="FFFFFF"/>
            <w:noWrap/>
            <w:vAlign w:val="bottom"/>
            <w:hideMark/>
          </w:tcPr>
          <w:p w14:paraId="415405B6"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2,269</w:t>
            </w:r>
          </w:p>
        </w:tc>
        <w:tc>
          <w:tcPr>
            <w:tcW w:w="999" w:type="dxa"/>
            <w:tcBorders>
              <w:top w:val="single" w:sz="4" w:space="0" w:color="auto"/>
              <w:left w:val="nil"/>
              <w:bottom w:val="double" w:sz="6" w:space="0" w:color="auto"/>
              <w:right w:val="nil"/>
            </w:tcBorders>
            <w:shd w:val="clear" w:color="000000" w:fill="FFFFFF"/>
            <w:noWrap/>
            <w:vAlign w:val="bottom"/>
            <w:hideMark/>
          </w:tcPr>
          <w:p w14:paraId="4F6BECAF"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2,688</w:t>
            </w:r>
          </w:p>
        </w:tc>
        <w:tc>
          <w:tcPr>
            <w:tcW w:w="999" w:type="dxa"/>
            <w:tcBorders>
              <w:top w:val="single" w:sz="4" w:space="0" w:color="auto"/>
              <w:left w:val="nil"/>
              <w:bottom w:val="double" w:sz="6" w:space="0" w:color="auto"/>
              <w:right w:val="nil"/>
            </w:tcBorders>
            <w:shd w:val="clear" w:color="000000" w:fill="FFFFFF"/>
            <w:noWrap/>
            <w:vAlign w:val="bottom"/>
            <w:hideMark/>
          </w:tcPr>
          <w:p w14:paraId="7A63E00B"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1,909</w:t>
            </w:r>
          </w:p>
        </w:tc>
        <w:tc>
          <w:tcPr>
            <w:tcW w:w="999" w:type="dxa"/>
            <w:tcBorders>
              <w:top w:val="single" w:sz="4" w:space="0" w:color="auto"/>
              <w:left w:val="nil"/>
              <w:bottom w:val="double" w:sz="6" w:space="0" w:color="auto"/>
              <w:right w:val="nil"/>
            </w:tcBorders>
            <w:shd w:val="clear" w:color="000000" w:fill="FFFFFF"/>
          </w:tcPr>
          <w:p w14:paraId="64970A78" w14:textId="77777777" w:rsidR="00F8146A" w:rsidRPr="00A518C1" w:rsidRDefault="001C0C6D" w:rsidP="00760A08">
            <w:pPr>
              <w:jc w:val="right"/>
              <w:rPr>
                <w:b/>
                <w:bCs/>
                <w:color w:val="000000"/>
                <w:sz w:val="20"/>
                <w:szCs w:val="20"/>
                <w:lang w:eastAsia="en-GB"/>
              </w:rPr>
            </w:pPr>
            <w:r w:rsidRPr="00A518C1">
              <w:rPr>
                <w:b/>
                <w:bCs/>
                <w:color w:val="000000"/>
                <w:sz w:val="20"/>
                <w:szCs w:val="20"/>
                <w:lang w:eastAsia="en-GB"/>
              </w:rPr>
              <w:t>3,142</w:t>
            </w:r>
          </w:p>
        </w:tc>
      </w:tr>
      <w:tr w:rsidR="00F8146A" w:rsidRPr="00A518C1" w14:paraId="560383CD" w14:textId="77777777" w:rsidTr="00FB0656">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7CB6A5AE" w14:textId="77777777" w:rsidR="00F8146A" w:rsidRPr="00A518C1" w:rsidRDefault="00F8146A" w:rsidP="00760A08">
            <w:pPr>
              <w:rPr>
                <w:sz w:val="18"/>
                <w:szCs w:val="18"/>
                <w:lang w:eastAsia="en-GB"/>
              </w:rPr>
            </w:pPr>
            <w:r w:rsidRPr="00A518C1">
              <w:rPr>
                <w:sz w:val="18"/>
                <w:szCs w:val="18"/>
                <w:lang w:eastAsia="en-GB"/>
              </w:rPr>
              <w:t> </w:t>
            </w:r>
          </w:p>
        </w:tc>
        <w:tc>
          <w:tcPr>
            <w:tcW w:w="999" w:type="dxa"/>
            <w:tcBorders>
              <w:top w:val="single" w:sz="4" w:space="0" w:color="auto"/>
              <w:left w:val="nil"/>
              <w:bottom w:val="nil"/>
              <w:right w:val="nil"/>
            </w:tcBorders>
            <w:shd w:val="clear" w:color="000000" w:fill="FFFFFF"/>
            <w:noWrap/>
            <w:vAlign w:val="bottom"/>
            <w:hideMark/>
          </w:tcPr>
          <w:p w14:paraId="05FF0E28"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24CED772"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2E2BEBC2"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89" w:type="dxa"/>
            <w:tcBorders>
              <w:top w:val="single" w:sz="4" w:space="0" w:color="auto"/>
              <w:left w:val="nil"/>
              <w:bottom w:val="nil"/>
              <w:right w:val="nil"/>
            </w:tcBorders>
            <w:shd w:val="clear" w:color="000000" w:fill="FFFFFF"/>
            <w:noWrap/>
            <w:vAlign w:val="bottom"/>
            <w:hideMark/>
          </w:tcPr>
          <w:p w14:paraId="660045EB"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1009" w:type="dxa"/>
            <w:tcBorders>
              <w:top w:val="single" w:sz="4" w:space="0" w:color="auto"/>
              <w:left w:val="nil"/>
              <w:bottom w:val="nil"/>
              <w:right w:val="nil"/>
            </w:tcBorders>
            <w:shd w:val="clear" w:color="000000" w:fill="FFFFFF"/>
            <w:noWrap/>
            <w:vAlign w:val="bottom"/>
            <w:hideMark/>
          </w:tcPr>
          <w:p w14:paraId="33873D69"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664BB457"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01526D96"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5242D042"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noWrap/>
            <w:vAlign w:val="bottom"/>
            <w:hideMark/>
          </w:tcPr>
          <w:p w14:paraId="683C59BA" w14:textId="77777777" w:rsidR="00F8146A" w:rsidRPr="00A518C1" w:rsidRDefault="00F8146A" w:rsidP="00760A08">
            <w:pPr>
              <w:rPr>
                <w:b/>
                <w:bCs/>
                <w:color w:val="000000"/>
                <w:sz w:val="20"/>
                <w:szCs w:val="20"/>
                <w:lang w:eastAsia="en-GB"/>
              </w:rPr>
            </w:pPr>
            <w:r w:rsidRPr="00A518C1">
              <w:rPr>
                <w:b/>
                <w:bCs/>
                <w:color w:val="000000"/>
                <w:sz w:val="20"/>
                <w:szCs w:val="20"/>
                <w:lang w:eastAsia="en-GB"/>
              </w:rPr>
              <w:t> </w:t>
            </w:r>
          </w:p>
        </w:tc>
        <w:tc>
          <w:tcPr>
            <w:tcW w:w="999" w:type="dxa"/>
            <w:tcBorders>
              <w:top w:val="single" w:sz="4" w:space="0" w:color="auto"/>
              <w:left w:val="nil"/>
              <w:bottom w:val="nil"/>
              <w:right w:val="nil"/>
            </w:tcBorders>
            <w:shd w:val="clear" w:color="000000" w:fill="FFFFFF"/>
          </w:tcPr>
          <w:p w14:paraId="6E4B337F" w14:textId="77777777" w:rsidR="00F8146A" w:rsidRPr="00A518C1" w:rsidRDefault="00F8146A" w:rsidP="00760A08">
            <w:pPr>
              <w:rPr>
                <w:b/>
                <w:bCs/>
                <w:color w:val="000000"/>
                <w:sz w:val="20"/>
                <w:szCs w:val="20"/>
                <w:lang w:eastAsia="en-GB"/>
              </w:rPr>
            </w:pPr>
          </w:p>
        </w:tc>
      </w:tr>
      <w:tr w:rsidR="00F8146A" w:rsidRPr="00A518C1" w14:paraId="2994701D" w14:textId="77777777" w:rsidTr="00E803CC">
        <w:trPr>
          <w:trHeight w:val="698"/>
        </w:trPr>
        <w:tc>
          <w:tcPr>
            <w:tcW w:w="3669" w:type="dxa"/>
            <w:tcBorders>
              <w:top w:val="nil"/>
              <w:left w:val="single" w:sz="4" w:space="0" w:color="auto"/>
              <w:bottom w:val="single" w:sz="4" w:space="0" w:color="auto"/>
              <w:right w:val="single" w:sz="4" w:space="0" w:color="auto"/>
            </w:tcBorders>
            <w:shd w:val="clear" w:color="auto" w:fill="auto"/>
            <w:noWrap/>
            <w:hideMark/>
          </w:tcPr>
          <w:p w14:paraId="5FE42244" w14:textId="77777777" w:rsidR="00F8146A" w:rsidRPr="00A518C1" w:rsidRDefault="00F8146A" w:rsidP="00760A08">
            <w:pPr>
              <w:rPr>
                <w:b/>
                <w:bCs/>
                <w:sz w:val="18"/>
                <w:szCs w:val="18"/>
                <w:lang w:eastAsia="en-GB"/>
              </w:rPr>
            </w:pPr>
            <w:r w:rsidRPr="00A518C1">
              <w:rPr>
                <w:b/>
                <w:bCs/>
                <w:sz w:val="18"/>
                <w:szCs w:val="18"/>
                <w:lang w:eastAsia="en-GB"/>
              </w:rPr>
              <w:t>To be Financed By:</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4E037FE4" w14:textId="77777777" w:rsidR="00F8146A" w:rsidRPr="00A518C1" w:rsidRDefault="00F8146A" w:rsidP="00760A08">
            <w:pPr>
              <w:jc w:val="center"/>
              <w:rPr>
                <w:b/>
                <w:bCs/>
                <w:sz w:val="18"/>
                <w:szCs w:val="18"/>
                <w:lang w:eastAsia="en-GB"/>
              </w:rPr>
            </w:pPr>
            <w:r w:rsidRPr="00A518C1">
              <w:rPr>
                <w:b/>
                <w:bCs/>
                <w:sz w:val="18"/>
                <w:szCs w:val="18"/>
                <w:lang w:eastAsia="en-GB"/>
              </w:rPr>
              <w:t>Budget 2024-25 £'000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774E2AF6" w14:textId="77777777" w:rsidR="00F8146A" w:rsidRPr="00A518C1" w:rsidRDefault="00F8146A" w:rsidP="00760A08">
            <w:pPr>
              <w:jc w:val="center"/>
              <w:rPr>
                <w:b/>
                <w:bCs/>
                <w:sz w:val="18"/>
                <w:szCs w:val="18"/>
                <w:lang w:eastAsia="en-GB"/>
              </w:rPr>
            </w:pPr>
            <w:r w:rsidRPr="00A518C1">
              <w:rPr>
                <w:b/>
                <w:bCs/>
                <w:sz w:val="18"/>
                <w:szCs w:val="18"/>
                <w:lang w:eastAsia="en-GB"/>
              </w:rPr>
              <w:t>Budget 2025-26 £'000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0CD3171B" w14:textId="77777777" w:rsidR="00F8146A" w:rsidRPr="00A518C1" w:rsidRDefault="00F8146A" w:rsidP="00760A08">
            <w:pPr>
              <w:jc w:val="center"/>
              <w:rPr>
                <w:b/>
                <w:bCs/>
                <w:sz w:val="18"/>
                <w:szCs w:val="18"/>
                <w:lang w:eastAsia="en-GB"/>
              </w:rPr>
            </w:pPr>
            <w:r w:rsidRPr="00A518C1">
              <w:rPr>
                <w:b/>
                <w:bCs/>
                <w:sz w:val="18"/>
                <w:szCs w:val="18"/>
                <w:lang w:eastAsia="en-GB"/>
              </w:rPr>
              <w:t>Budget 2026-27 £'000</w:t>
            </w:r>
          </w:p>
        </w:tc>
        <w:tc>
          <w:tcPr>
            <w:tcW w:w="989" w:type="dxa"/>
            <w:tcBorders>
              <w:top w:val="single" w:sz="4" w:space="0" w:color="auto"/>
              <w:left w:val="nil"/>
              <w:bottom w:val="single" w:sz="4" w:space="0" w:color="auto"/>
              <w:right w:val="single" w:sz="4" w:space="0" w:color="auto"/>
            </w:tcBorders>
            <w:shd w:val="clear" w:color="000000" w:fill="D9D9D9"/>
            <w:vAlign w:val="bottom"/>
            <w:hideMark/>
          </w:tcPr>
          <w:p w14:paraId="192A247A" w14:textId="77777777" w:rsidR="00F8146A" w:rsidRPr="00A518C1" w:rsidRDefault="00F8146A" w:rsidP="00760A08">
            <w:pPr>
              <w:jc w:val="center"/>
              <w:rPr>
                <w:b/>
                <w:bCs/>
                <w:sz w:val="18"/>
                <w:szCs w:val="18"/>
                <w:lang w:eastAsia="en-GB"/>
              </w:rPr>
            </w:pPr>
            <w:r w:rsidRPr="00A518C1">
              <w:rPr>
                <w:b/>
                <w:bCs/>
                <w:sz w:val="18"/>
                <w:szCs w:val="18"/>
                <w:lang w:eastAsia="en-GB"/>
              </w:rPr>
              <w:t>Budget 2027-28 £'000</w:t>
            </w:r>
          </w:p>
        </w:tc>
        <w:tc>
          <w:tcPr>
            <w:tcW w:w="1009" w:type="dxa"/>
            <w:tcBorders>
              <w:top w:val="single" w:sz="4" w:space="0" w:color="auto"/>
              <w:left w:val="nil"/>
              <w:bottom w:val="single" w:sz="4" w:space="0" w:color="auto"/>
              <w:right w:val="single" w:sz="4" w:space="0" w:color="auto"/>
            </w:tcBorders>
            <w:shd w:val="clear" w:color="000000" w:fill="D9D9D9"/>
            <w:vAlign w:val="bottom"/>
            <w:hideMark/>
          </w:tcPr>
          <w:p w14:paraId="00C6229B" w14:textId="77777777" w:rsidR="00F8146A" w:rsidRPr="00A518C1" w:rsidRDefault="00F8146A" w:rsidP="00760A08">
            <w:pPr>
              <w:jc w:val="center"/>
              <w:rPr>
                <w:b/>
                <w:bCs/>
                <w:sz w:val="18"/>
                <w:szCs w:val="18"/>
                <w:lang w:eastAsia="en-GB"/>
              </w:rPr>
            </w:pPr>
            <w:r w:rsidRPr="00A518C1">
              <w:rPr>
                <w:b/>
                <w:bCs/>
                <w:sz w:val="18"/>
                <w:szCs w:val="18"/>
                <w:lang w:eastAsia="en-GB"/>
              </w:rPr>
              <w:t>Budget 2028-29 £'000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4C2A5652" w14:textId="77777777" w:rsidR="00F8146A" w:rsidRPr="00A518C1" w:rsidRDefault="00F8146A" w:rsidP="00760A08">
            <w:pPr>
              <w:jc w:val="center"/>
              <w:rPr>
                <w:b/>
                <w:bCs/>
                <w:sz w:val="18"/>
                <w:szCs w:val="18"/>
                <w:lang w:eastAsia="en-GB"/>
              </w:rPr>
            </w:pPr>
            <w:r w:rsidRPr="00A518C1">
              <w:rPr>
                <w:b/>
                <w:bCs/>
                <w:sz w:val="18"/>
                <w:szCs w:val="18"/>
                <w:lang w:eastAsia="en-GB"/>
              </w:rPr>
              <w:t>Budget 2029-30 £'000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0F3E629B" w14:textId="77777777" w:rsidR="00F8146A" w:rsidRPr="00A518C1" w:rsidRDefault="00F8146A" w:rsidP="00760A08">
            <w:pPr>
              <w:jc w:val="center"/>
              <w:rPr>
                <w:b/>
                <w:bCs/>
                <w:sz w:val="18"/>
                <w:szCs w:val="18"/>
                <w:lang w:eastAsia="en-GB"/>
              </w:rPr>
            </w:pPr>
            <w:r w:rsidRPr="00A518C1">
              <w:rPr>
                <w:b/>
                <w:bCs/>
                <w:sz w:val="18"/>
                <w:szCs w:val="18"/>
                <w:lang w:eastAsia="en-GB"/>
              </w:rPr>
              <w:t>Budget 2030-31 £'000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675998F1" w14:textId="77777777" w:rsidR="00F8146A" w:rsidRPr="00A518C1" w:rsidRDefault="00F8146A" w:rsidP="00760A08">
            <w:pPr>
              <w:jc w:val="center"/>
              <w:rPr>
                <w:b/>
                <w:bCs/>
                <w:sz w:val="18"/>
                <w:szCs w:val="18"/>
                <w:lang w:eastAsia="en-GB"/>
              </w:rPr>
            </w:pPr>
            <w:r w:rsidRPr="00A518C1">
              <w:rPr>
                <w:b/>
                <w:bCs/>
                <w:sz w:val="18"/>
                <w:szCs w:val="18"/>
                <w:lang w:eastAsia="en-GB"/>
              </w:rPr>
              <w:t>Budget 2031-32 £'000</w:t>
            </w:r>
          </w:p>
        </w:tc>
        <w:tc>
          <w:tcPr>
            <w:tcW w:w="999" w:type="dxa"/>
            <w:tcBorders>
              <w:top w:val="single" w:sz="4" w:space="0" w:color="auto"/>
              <w:left w:val="nil"/>
              <w:bottom w:val="single" w:sz="4" w:space="0" w:color="auto"/>
              <w:right w:val="single" w:sz="4" w:space="0" w:color="auto"/>
            </w:tcBorders>
            <w:shd w:val="clear" w:color="000000" w:fill="D9D9D9"/>
            <w:vAlign w:val="bottom"/>
            <w:hideMark/>
          </w:tcPr>
          <w:p w14:paraId="734D3E13" w14:textId="77777777" w:rsidR="00F8146A" w:rsidRPr="00A518C1" w:rsidRDefault="00F8146A" w:rsidP="00760A08">
            <w:pPr>
              <w:jc w:val="center"/>
              <w:rPr>
                <w:b/>
                <w:bCs/>
                <w:sz w:val="18"/>
                <w:szCs w:val="18"/>
                <w:lang w:eastAsia="en-GB"/>
              </w:rPr>
            </w:pPr>
            <w:r w:rsidRPr="00A518C1">
              <w:rPr>
                <w:b/>
                <w:bCs/>
                <w:sz w:val="18"/>
                <w:szCs w:val="18"/>
                <w:lang w:eastAsia="en-GB"/>
              </w:rPr>
              <w:t>Budget 2032-33 £'000</w:t>
            </w:r>
          </w:p>
        </w:tc>
        <w:tc>
          <w:tcPr>
            <w:tcW w:w="999" w:type="dxa"/>
            <w:tcBorders>
              <w:top w:val="single" w:sz="4" w:space="0" w:color="auto"/>
              <w:left w:val="nil"/>
              <w:bottom w:val="single" w:sz="4" w:space="0" w:color="auto"/>
              <w:right w:val="single" w:sz="4" w:space="0" w:color="auto"/>
            </w:tcBorders>
            <w:shd w:val="clear" w:color="000000" w:fill="D9D9D9"/>
          </w:tcPr>
          <w:p w14:paraId="755347A6" w14:textId="77777777" w:rsidR="00F8146A" w:rsidRPr="00A518C1" w:rsidRDefault="00F8146A" w:rsidP="00760A08">
            <w:pPr>
              <w:jc w:val="center"/>
              <w:rPr>
                <w:b/>
                <w:bCs/>
                <w:sz w:val="18"/>
                <w:szCs w:val="18"/>
                <w:lang w:eastAsia="en-GB"/>
              </w:rPr>
            </w:pPr>
          </w:p>
          <w:p w14:paraId="16F0A91D" w14:textId="77777777" w:rsidR="00F8146A" w:rsidRPr="00A518C1" w:rsidRDefault="00F8146A" w:rsidP="00760A08">
            <w:pPr>
              <w:jc w:val="center"/>
              <w:rPr>
                <w:b/>
                <w:bCs/>
                <w:sz w:val="18"/>
                <w:szCs w:val="18"/>
                <w:lang w:eastAsia="en-GB"/>
              </w:rPr>
            </w:pPr>
            <w:r w:rsidRPr="00A518C1">
              <w:rPr>
                <w:b/>
                <w:bCs/>
                <w:sz w:val="18"/>
                <w:szCs w:val="18"/>
                <w:lang w:eastAsia="en-GB"/>
              </w:rPr>
              <w:t>Budget 2033-34 £'000</w:t>
            </w:r>
          </w:p>
        </w:tc>
      </w:tr>
      <w:tr w:rsidR="00F8146A" w:rsidRPr="00A518C1" w14:paraId="22BC9275" w14:textId="77777777" w:rsidTr="00FB0656">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E9DD350" w14:textId="77777777" w:rsidR="00F8146A" w:rsidRPr="00A518C1" w:rsidRDefault="00F8146A" w:rsidP="00760A08">
            <w:pPr>
              <w:rPr>
                <w:sz w:val="18"/>
                <w:szCs w:val="18"/>
                <w:lang w:eastAsia="en-GB"/>
              </w:rPr>
            </w:pPr>
            <w:r w:rsidRPr="00A518C1">
              <w:rPr>
                <w:sz w:val="18"/>
                <w:szCs w:val="18"/>
                <w:lang w:eastAsia="en-GB"/>
              </w:rPr>
              <w:t xml:space="preserve">Capital Receipts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7C0888B"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043063A"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652AEB8"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89" w:type="dxa"/>
            <w:tcBorders>
              <w:top w:val="single" w:sz="4" w:space="0" w:color="auto"/>
              <w:left w:val="nil"/>
              <w:bottom w:val="single" w:sz="4" w:space="0" w:color="auto"/>
              <w:right w:val="single" w:sz="4" w:space="0" w:color="auto"/>
            </w:tcBorders>
            <w:shd w:val="clear" w:color="auto" w:fill="auto"/>
            <w:noWrap/>
            <w:vAlign w:val="bottom"/>
            <w:hideMark/>
          </w:tcPr>
          <w:p w14:paraId="0D05A5E8"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2CBA7FB0"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9C14494"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270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567099BC"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38C6B570"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3A2B51FE"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F8146A" w:rsidRPr="00A518C1">
              <w:rPr>
                <w:color w:val="000000"/>
                <w:sz w:val="18"/>
                <w:szCs w:val="18"/>
                <w:lang w:eastAsia="en-GB"/>
              </w:rPr>
              <w:t>10</w:t>
            </w:r>
          </w:p>
        </w:tc>
        <w:tc>
          <w:tcPr>
            <w:tcW w:w="999" w:type="dxa"/>
            <w:tcBorders>
              <w:top w:val="single" w:sz="4" w:space="0" w:color="auto"/>
              <w:left w:val="nil"/>
              <w:bottom w:val="single" w:sz="4" w:space="0" w:color="auto"/>
              <w:right w:val="single" w:sz="4" w:space="0" w:color="auto"/>
            </w:tcBorders>
          </w:tcPr>
          <w:p w14:paraId="2AF561FB" w14:textId="77777777" w:rsidR="00F8146A" w:rsidRPr="00A518C1" w:rsidRDefault="00E803CC" w:rsidP="00E803CC">
            <w:pPr>
              <w:jc w:val="right"/>
              <w:rPr>
                <w:color w:val="000000"/>
                <w:sz w:val="18"/>
                <w:szCs w:val="18"/>
                <w:lang w:eastAsia="en-GB"/>
              </w:rPr>
            </w:pPr>
            <w:r w:rsidRPr="00A518C1">
              <w:rPr>
                <w:color w:val="000000"/>
                <w:sz w:val="18"/>
                <w:szCs w:val="18"/>
                <w:lang w:eastAsia="en-GB"/>
              </w:rPr>
              <w:t>-</w:t>
            </w:r>
            <w:r w:rsidR="00C71009" w:rsidRPr="00A518C1">
              <w:rPr>
                <w:color w:val="000000"/>
                <w:sz w:val="18"/>
                <w:szCs w:val="18"/>
                <w:lang w:eastAsia="en-GB"/>
              </w:rPr>
              <w:t>10</w:t>
            </w:r>
          </w:p>
        </w:tc>
      </w:tr>
      <w:tr w:rsidR="00E803CC" w:rsidRPr="00A518C1" w14:paraId="1452A793" w14:textId="77777777" w:rsidTr="00E803CC">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374B55CA" w14:textId="77777777" w:rsidR="00E803CC" w:rsidRPr="00A518C1" w:rsidRDefault="00E803CC" w:rsidP="00E803CC">
            <w:pPr>
              <w:rPr>
                <w:sz w:val="18"/>
                <w:szCs w:val="18"/>
                <w:lang w:eastAsia="en-GB"/>
              </w:rPr>
            </w:pPr>
            <w:r w:rsidRPr="00A518C1">
              <w:rPr>
                <w:sz w:val="18"/>
                <w:szCs w:val="18"/>
                <w:lang w:eastAsia="en-GB"/>
              </w:rPr>
              <w:t>Borrowing</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0270491" w14:textId="77777777" w:rsidR="00E803CC" w:rsidRPr="00A518C1" w:rsidRDefault="00E803CC" w:rsidP="00E803CC">
            <w:pPr>
              <w:jc w:val="right"/>
              <w:rPr>
                <w:color w:val="000000"/>
                <w:sz w:val="18"/>
                <w:szCs w:val="18"/>
                <w:lang w:eastAsia="en-GB"/>
              </w:rPr>
            </w:pPr>
            <w:r w:rsidRPr="00A518C1">
              <w:rPr>
                <w:color w:val="000000"/>
                <w:sz w:val="20"/>
                <w:szCs w:val="20"/>
              </w:rPr>
              <w:t>8,008</w:t>
            </w:r>
          </w:p>
        </w:tc>
        <w:tc>
          <w:tcPr>
            <w:tcW w:w="999" w:type="dxa"/>
            <w:tcBorders>
              <w:top w:val="nil"/>
              <w:left w:val="nil"/>
              <w:bottom w:val="single" w:sz="4" w:space="0" w:color="auto"/>
              <w:right w:val="single" w:sz="4" w:space="0" w:color="auto"/>
            </w:tcBorders>
            <w:shd w:val="clear" w:color="auto" w:fill="auto"/>
            <w:noWrap/>
            <w:vAlign w:val="bottom"/>
            <w:hideMark/>
          </w:tcPr>
          <w:p w14:paraId="53E714E1" w14:textId="77777777" w:rsidR="00E803CC" w:rsidRPr="00A518C1" w:rsidRDefault="00E803CC" w:rsidP="00E803CC">
            <w:pPr>
              <w:jc w:val="right"/>
              <w:rPr>
                <w:color w:val="000000"/>
                <w:sz w:val="18"/>
                <w:szCs w:val="18"/>
                <w:lang w:eastAsia="en-GB"/>
              </w:rPr>
            </w:pPr>
            <w:r w:rsidRPr="00A518C1">
              <w:rPr>
                <w:color w:val="000000"/>
                <w:sz w:val="20"/>
                <w:szCs w:val="20"/>
              </w:rPr>
              <w:t>3,518</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6318CC49" w14:textId="77777777" w:rsidR="00E803CC" w:rsidRPr="00A518C1" w:rsidRDefault="00E803CC" w:rsidP="00E803CC">
            <w:pPr>
              <w:jc w:val="right"/>
              <w:rPr>
                <w:color w:val="000000"/>
                <w:sz w:val="18"/>
                <w:szCs w:val="18"/>
                <w:lang w:eastAsia="en-GB"/>
              </w:rPr>
            </w:pPr>
            <w:r w:rsidRPr="00A518C1">
              <w:rPr>
                <w:color w:val="000000"/>
                <w:sz w:val="20"/>
                <w:szCs w:val="20"/>
              </w:rPr>
              <w:t>4,805</w:t>
            </w:r>
          </w:p>
        </w:tc>
        <w:tc>
          <w:tcPr>
            <w:tcW w:w="989" w:type="dxa"/>
            <w:tcBorders>
              <w:top w:val="nil"/>
              <w:left w:val="nil"/>
              <w:bottom w:val="single" w:sz="4" w:space="0" w:color="auto"/>
              <w:right w:val="single" w:sz="4" w:space="0" w:color="auto"/>
            </w:tcBorders>
            <w:shd w:val="clear" w:color="auto" w:fill="auto"/>
            <w:noWrap/>
            <w:vAlign w:val="bottom"/>
            <w:hideMark/>
          </w:tcPr>
          <w:p w14:paraId="4961F079" w14:textId="77777777" w:rsidR="00E803CC" w:rsidRPr="00A518C1" w:rsidRDefault="00E803CC" w:rsidP="00E803CC">
            <w:pPr>
              <w:jc w:val="right"/>
              <w:rPr>
                <w:color w:val="000000"/>
                <w:sz w:val="18"/>
                <w:szCs w:val="18"/>
                <w:lang w:eastAsia="en-GB"/>
              </w:rPr>
            </w:pPr>
            <w:r w:rsidRPr="00A518C1">
              <w:rPr>
                <w:color w:val="000000"/>
                <w:sz w:val="20"/>
                <w:szCs w:val="20"/>
              </w:rPr>
              <w:t>4,301</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4D5337A2" w14:textId="77777777" w:rsidR="00E803CC" w:rsidRPr="00A518C1" w:rsidRDefault="00E803CC" w:rsidP="00E803CC">
            <w:pPr>
              <w:jc w:val="right"/>
              <w:rPr>
                <w:color w:val="000000"/>
                <w:sz w:val="18"/>
                <w:szCs w:val="18"/>
                <w:lang w:eastAsia="en-GB"/>
              </w:rPr>
            </w:pPr>
            <w:r w:rsidRPr="00A518C1">
              <w:rPr>
                <w:color w:val="000000"/>
                <w:sz w:val="20"/>
                <w:szCs w:val="20"/>
              </w:rPr>
              <w:t>5,721</w:t>
            </w:r>
          </w:p>
        </w:tc>
        <w:tc>
          <w:tcPr>
            <w:tcW w:w="999" w:type="dxa"/>
            <w:tcBorders>
              <w:top w:val="nil"/>
              <w:left w:val="nil"/>
              <w:bottom w:val="single" w:sz="4" w:space="0" w:color="auto"/>
              <w:right w:val="single" w:sz="4" w:space="0" w:color="auto"/>
            </w:tcBorders>
            <w:shd w:val="clear" w:color="auto" w:fill="auto"/>
            <w:noWrap/>
            <w:vAlign w:val="bottom"/>
            <w:hideMark/>
          </w:tcPr>
          <w:p w14:paraId="0C8A2E5A" w14:textId="77777777" w:rsidR="00E803CC" w:rsidRPr="00A518C1" w:rsidRDefault="00E803CC" w:rsidP="00E803CC">
            <w:pPr>
              <w:jc w:val="right"/>
              <w:rPr>
                <w:color w:val="000000"/>
                <w:sz w:val="18"/>
                <w:szCs w:val="18"/>
                <w:lang w:eastAsia="en-GB"/>
              </w:rPr>
            </w:pPr>
            <w:r w:rsidRPr="00A518C1">
              <w:rPr>
                <w:color w:val="000000"/>
                <w:sz w:val="20"/>
                <w:szCs w:val="20"/>
              </w:rPr>
              <w:t>2,639</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2C20E6C6" w14:textId="77777777" w:rsidR="00E803CC" w:rsidRPr="00A518C1" w:rsidRDefault="00E803CC" w:rsidP="00E803CC">
            <w:pPr>
              <w:jc w:val="right"/>
              <w:rPr>
                <w:color w:val="000000"/>
                <w:sz w:val="18"/>
                <w:szCs w:val="18"/>
                <w:lang w:eastAsia="en-GB"/>
              </w:rPr>
            </w:pPr>
            <w:r w:rsidRPr="00A518C1">
              <w:rPr>
                <w:color w:val="000000"/>
                <w:sz w:val="20"/>
                <w:szCs w:val="20"/>
              </w:rPr>
              <w:t>2,269</w:t>
            </w:r>
          </w:p>
        </w:tc>
        <w:tc>
          <w:tcPr>
            <w:tcW w:w="999" w:type="dxa"/>
            <w:tcBorders>
              <w:top w:val="nil"/>
              <w:left w:val="nil"/>
              <w:bottom w:val="single" w:sz="4" w:space="0" w:color="auto"/>
              <w:right w:val="single" w:sz="4" w:space="0" w:color="auto"/>
            </w:tcBorders>
            <w:shd w:val="clear" w:color="auto" w:fill="auto"/>
            <w:noWrap/>
            <w:vAlign w:val="bottom"/>
            <w:hideMark/>
          </w:tcPr>
          <w:p w14:paraId="0541F6A0" w14:textId="77777777" w:rsidR="00E803CC" w:rsidRPr="00A518C1" w:rsidRDefault="00E803CC" w:rsidP="00E803CC">
            <w:pPr>
              <w:jc w:val="right"/>
              <w:rPr>
                <w:color w:val="000000"/>
                <w:sz w:val="18"/>
                <w:szCs w:val="18"/>
                <w:lang w:eastAsia="en-GB"/>
              </w:rPr>
            </w:pPr>
            <w:r w:rsidRPr="00A518C1">
              <w:rPr>
                <w:color w:val="000000"/>
                <w:sz w:val="20"/>
                <w:szCs w:val="20"/>
              </w:rPr>
              <w:t>2,688</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E9F108C" w14:textId="77777777" w:rsidR="00E803CC" w:rsidRPr="00A518C1" w:rsidRDefault="00E803CC" w:rsidP="00E803CC">
            <w:pPr>
              <w:jc w:val="right"/>
              <w:rPr>
                <w:color w:val="000000"/>
                <w:sz w:val="18"/>
                <w:szCs w:val="18"/>
                <w:lang w:eastAsia="en-GB"/>
              </w:rPr>
            </w:pPr>
            <w:r w:rsidRPr="00A518C1">
              <w:rPr>
                <w:color w:val="000000"/>
                <w:sz w:val="20"/>
                <w:szCs w:val="20"/>
              </w:rPr>
              <w:t>1,909</w:t>
            </w:r>
          </w:p>
        </w:tc>
        <w:tc>
          <w:tcPr>
            <w:tcW w:w="999" w:type="dxa"/>
            <w:tcBorders>
              <w:top w:val="single" w:sz="4" w:space="0" w:color="auto"/>
              <w:left w:val="nil"/>
              <w:bottom w:val="single" w:sz="4" w:space="0" w:color="auto"/>
              <w:right w:val="single" w:sz="4" w:space="0" w:color="auto"/>
            </w:tcBorders>
            <w:vAlign w:val="bottom"/>
          </w:tcPr>
          <w:p w14:paraId="474A9C15" w14:textId="77777777" w:rsidR="00E803CC" w:rsidRPr="00A518C1" w:rsidRDefault="00E803CC" w:rsidP="00E803CC">
            <w:pPr>
              <w:jc w:val="right"/>
              <w:rPr>
                <w:color w:val="000000"/>
                <w:sz w:val="18"/>
                <w:szCs w:val="18"/>
                <w:lang w:eastAsia="en-GB"/>
              </w:rPr>
            </w:pPr>
            <w:r w:rsidRPr="00A518C1">
              <w:rPr>
                <w:color w:val="000000"/>
                <w:sz w:val="20"/>
                <w:szCs w:val="20"/>
              </w:rPr>
              <w:t>3,142</w:t>
            </w:r>
          </w:p>
        </w:tc>
      </w:tr>
      <w:tr w:rsidR="00F8146A" w:rsidRPr="00A518C1" w14:paraId="59C28664" w14:textId="77777777" w:rsidTr="00E803CC">
        <w:trPr>
          <w:trHeight w:val="25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41F372FE" w14:textId="77777777" w:rsidR="00F8146A" w:rsidRPr="00A518C1" w:rsidRDefault="00F8146A" w:rsidP="00760A08">
            <w:pPr>
              <w:rPr>
                <w:sz w:val="18"/>
                <w:szCs w:val="18"/>
                <w:lang w:eastAsia="en-GB"/>
              </w:rPr>
            </w:pPr>
            <w:r w:rsidRPr="00A518C1">
              <w:rPr>
                <w:sz w:val="18"/>
                <w:szCs w:val="18"/>
                <w:lang w:eastAsia="en-GB"/>
              </w:rPr>
              <w:t>Revenue / Earmarked Reserves</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338F43C7"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r w:rsidR="00E803CC" w:rsidRPr="00A518C1">
              <w:rPr>
                <w:color w:val="000000"/>
                <w:sz w:val="18"/>
                <w:szCs w:val="18"/>
                <w:lang w:eastAsia="en-GB"/>
              </w:rPr>
              <w:t>-</w:t>
            </w:r>
            <w:r w:rsidR="001C0C6D" w:rsidRPr="00A518C1">
              <w:rPr>
                <w:color w:val="000000"/>
                <w:sz w:val="18"/>
                <w:szCs w:val="18"/>
                <w:lang w:eastAsia="en-GB"/>
              </w:rPr>
              <w:t>617</w:t>
            </w:r>
          </w:p>
        </w:tc>
        <w:tc>
          <w:tcPr>
            <w:tcW w:w="999" w:type="dxa"/>
            <w:tcBorders>
              <w:top w:val="nil"/>
              <w:left w:val="nil"/>
              <w:bottom w:val="single" w:sz="4" w:space="0" w:color="auto"/>
              <w:right w:val="single" w:sz="4" w:space="0" w:color="auto"/>
            </w:tcBorders>
            <w:shd w:val="clear" w:color="auto" w:fill="auto"/>
            <w:noWrap/>
            <w:vAlign w:val="bottom"/>
            <w:hideMark/>
          </w:tcPr>
          <w:p w14:paraId="1A280A67"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0D23D47B"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89" w:type="dxa"/>
            <w:tcBorders>
              <w:top w:val="nil"/>
              <w:left w:val="nil"/>
              <w:bottom w:val="single" w:sz="4" w:space="0" w:color="auto"/>
              <w:right w:val="single" w:sz="4" w:space="0" w:color="auto"/>
            </w:tcBorders>
            <w:shd w:val="clear" w:color="auto" w:fill="auto"/>
            <w:noWrap/>
            <w:vAlign w:val="bottom"/>
            <w:hideMark/>
          </w:tcPr>
          <w:p w14:paraId="329B3BF7"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08583EF0"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3C732640"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288F2D68"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nil"/>
              <w:left w:val="nil"/>
              <w:bottom w:val="single" w:sz="4" w:space="0" w:color="auto"/>
              <w:right w:val="single" w:sz="4" w:space="0" w:color="auto"/>
            </w:tcBorders>
            <w:shd w:val="clear" w:color="auto" w:fill="auto"/>
            <w:noWrap/>
            <w:vAlign w:val="bottom"/>
            <w:hideMark/>
          </w:tcPr>
          <w:p w14:paraId="17CDC58D"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4C2072BC" w14:textId="77777777" w:rsidR="00F8146A" w:rsidRPr="00A518C1" w:rsidRDefault="00F8146A" w:rsidP="00E803CC">
            <w:pPr>
              <w:jc w:val="right"/>
              <w:rPr>
                <w:color w:val="000000"/>
                <w:sz w:val="18"/>
                <w:szCs w:val="18"/>
                <w:lang w:eastAsia="en-GB"/>
              </w:rPr>
            </w:pPr>
            <w:r w:rsidRPr="00A518C1">
              <w:rPr>
                <w:color w:val="000000"/>
                <w:sz w:val="18"/>
                <w:szCs w:val="18"/>
                <w:lang w:eastAsia="en-GB"/>
              </w:rPr>
              <w:t> </w:t>
            </w:r>
          </w:p>
        </w:tc>
        <w:tc>
          <w:tcPr>
            <w:tcW w:w="999" w:type="dxa"/>
            <w:tcBorders>
              <w:top w:val="single" w:sz="4" w:space="0" w:color="auto"/>
              <w:left w:val="nil"/>
              <w:bottom w:val="single" w:sz="4" w:space="0" w:color="auto"/>
              <w:right w:val="single" w:sz="4" w:space="0" w:color="auto"/>
            </w:tcBorders>
          </w:tcPr>
          <w:p w14:paraId="13DE7F33" w14:textId="77777777" w:rsidR="00F8146A" w:rsidRPr="00A518C1" w:rsidRDefault="00F8146A" w:rsidP="00E803CC">
            <w:pPr>
              <w:jc w:val="right"/>
              <w:rPr>
                <w:color w:val="000000"/>
                <w:sz w:val="18"/>
                <w:szCs w:val="18"/>
                <w:lang w:eastAsia="en-GB"/>
              </w:rPr>
            </w:pPr>
          </w:p>
        </w:tc>
      </w:tr>
      <w:tr w:rsidR="00E803CC" w:rsidRPr="00A518C1" w14:paraId="7490FA2C" w14:textId="77777777" w:rsidTr="00E803CC">
        <w:trPr>
          <w:trHeight w:val="525"/>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16AA9361" w14:textId="77777777" w:rsidR="00E803CC" w:rsidRPr="00A518C1" w:rsidRDefault="00E803CC" w:rsidP="00E803CC">
            <w:pPr>
              <w:rPr>
                <w:b/>
                <w:bCs/>
                <w:sz w:val="18"/>
                <w:szCs w:val="18"/>
                <w:lang w:eastAsia="en-GB"/>
              </w:rPr>
            </w:pPr>
            <w:r w:rsidRPr="00A518C1">
              <w:rPr>
                <w:b/>
                <w:bCs/>
                <w:sz w:val="18"/>
                <w:szCs w:val="18"/>
                <w:lang w:eastAsia="en-GB"/>
              </w:rPr>
              <w:t>TOTAL</w:t>
            </w:r>
          </w:p>
        </w:tc>
        <w:tc>
          <w:tcPr>
            <w:tcW w:w="999" w:type="dxa"/>
            <w:tcBorders>
              <w:top w:val="single" w:sz="4" w:space="0" w:color="auto"/>
              <w:left w:val="nil"/>
              <w:bottom w:val="single" w:sz="4" w:space="0" w:color="auto"/>
              <w:right w:val="single" w:sz="4" w:space="0" w:color="auto"/>
            </w:tcBorders>
            <w:shd w:val="clear" w:color="000000" w:fill="FFFFFF"/>
            <w:noWrap/>
            <w:vAlign w:val="bottom"/>
            <w:hideMark/>
          </w:tcPr>
          <w:p w14:paraId="28E4BD0B" w14:textId="77777777" w:rsidR="00E803CC" w:rsidRPr="00A518C1" w:rsidRDefault="00E803CC" w:rsidP="00E803CC">
            <w:pPr>
              <w:jc w:val="right"/>
              <w:rPr>
                <w:b/>
                <w:bCs/>
                <w:color w:val="000000"/>
                <w:sz w:val="20"/>
                <w:szCs w:val="20"/>
                <w:lang w:eastAsia="en-GB"/>
              </w:rPr>
            </w:pPr>
            <w:r w:rsidRPr="00A518C1">
              <w:rPr>
                <w:b/>
                <w:bCs/>
                <w:color w:val="000000"/>
                <w:sz w:val="20"/>
                <w:szCs w:val="20"/>
              </w:rPr>
              <w:t>7,381</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350970" w14:textId="77777777" w:rsidR="00E803CC" w:rsidRPr="00A518C1" w:rsidRDefault="00E803CC" w:rsidP="00E803CC">
            <w:pPr>
              <w:jc w:val="right"/>
              <w:rPr>
                <w:b/>
                <w:bCs/>
                <w:color w:val="000000"/>
                <w:sz w:val="20"/>
                <w:szCs w:val="20"/>
                <w:lang w:eastAsia="en-GB"/>
              </w:rPr>
            </w:pPr>
            <w:r w:rsidRPr="00A518C1">
              <w:rPr>
                <w:b/>
                <w:bCs/>
                <w:color w:val="000000"/>
                <w:sz w:val="20"/>
                <w:szCs w:val="20"/>
              </w:rPr>
              <w:t>3,508</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8019B" w14:textId="77777777" w:rsidR="00E803CC" w:rsidRPr="00A518C1" w:rsidRDefault="00E803CC" w:rsidP="00E803CC">
            <w:pPr>
              <w:jc w:val="right"/>
              <w:rPr>
                <w:b/>
                <w:bCs/>
                <w:color w:val="000000"/>
                <w:sz w:val="20"/>
                <w:szCs w:val="20"/>
                <w:lang w:eastAsia="en-GB"/>
              </w:rPr>
            </w:pPr>
            <w:r w:rsidRPr="00A518C1">
              <w:rPr>
                <w:b/>
                <w:bCs/>
                <w:color w:val="000000"/>
                <w:sz w:val="20"/>
                <w:szCs w:val="20"/>
              </w:rPr>
              <w:t>4,595</w:t>
            </w: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224AB6" w14:textId="77777777" w:rsidR="00E803CC" w:rsidRPr="00A518C1" w:rsidRDefault="00E803CC" w:rsidP="00E803CC">
            <w:pPr>
              <w:jc w:val="right"/>
              <w:rPr>
                <w:b/>
                <w:bCs/>
                <w:color w:val="000000"/>
                <w:sz w:val="20"/>
                <w:szCs w:val="20"/>
                <w:lang w:eastAsia="en-GB"/>
              </w:rPr>
            </w:pPr>
            <w:r w:rsidRPr="00A518C1">
              <w:rPr>
                <w:b/>
                <w:bCs/>
                <w:color w:val="000000"/>
                <w:sz w:val="20"/>
                <w:szCs w:val="20"/>
              </w:rPr>
              <w:t>4,191</w:t>
            </w: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98F2D2" w14:textId="77777777" w:rsidR="00E803CC" w:rsidRPr="00A518C1" w:rsidRDefault="00E803CC" w:rsidP="00E803CC">
            <w:pPr>
              <w:jc w:val="right"/>
              <w:rPr>
                <w:b/>
                <w:bCs/>
                <w:color w:val="000000"/>
                <w:sz w:val="20"/>
                <w:szCs w:val="20"/>
                <w:lang w:eastAsia="en-GB"/>
              </w:rPr>
            </w:pPr>
            <w:r w:rsidRPr="00A518C1">
              <w:rPr>
                <w:b/>
                <w:bCs/>
                <w:color w:val="000000"/>
                <w:sz w:val="20"/>
                <w:szCs w:val="20"/>
              </w:rPr>
              <w:t>5,731</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83FCC" w14:textId="77777777" w:rsidR="00E803CC" w:rsidRPr="00A518C1" w:rsidRDefault="00E803CC" w:rsidP="00E803CC">
            <w:pPr>
              <w:jc w:val="right"/>
              <w:rPr>
                <w:b/>
                <w:bCs/>
                <w:color w:val="000000"/>
                <w:sz w:val="20"/>
                <w:szCs w:val="20"/>
                <w:lang w:eastAsia="en-GB"/>
              </w:rPr>
            </w:pPr>
            <w:r w:rsidRPr="00A518C1">
              <w:rPr>
                <w:b/>
                <w:bCs/>
                <w:color w:val="000000"/>
                <w:sz w:val="20"/>
                <w:szCs w:val="20"/>
              </w:rPr>
              <w:t>2,129</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46953" w14:textId="77777777" w:rsidR="00E803CC" w:rsidRPr="00A518C1" w:rsidRDefault="00E803CC" w:rsidP="00E803CC">
            <w:pPr>
              <w:jc w:val="right"/>
              <w:rPr>
                <w:b/>
                <w:bCs/>
                <w:color w:val="000000"/>
                <w:sz w:val="20"/>
                <w:szCs w:val="20"/>
                <w:lang w:eastAsia="en-GB"/>
              </w:rPr>
            </w:pPr>
            <w:r w:rsidRPr="00A518C1">
              <w:rPr>
                <w:b/>
                <w:bCs/>
                <w:color w:val="000000"/>
                <w:sz w:val="20"/>
                <w:szCs w:val="20"/>
              </w:rPr>
              <w:t>2,259</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696481" w14:textId="77777777" w:rsidR="00E803CC" w:rsidRPr="00A518C1" w:rsidRDefault="00E803CC" w:rsidP="00E803CC">
            <w:pPr>
              <w:jc w:val="right"/>
              <w:rPr>
                <w:b/>
                <w:bCs/>
                <w:color w:val="000000"/>
                <w:sz w:val="20"/>
                <w:szCs w:val="20"/>
                <w:lang w:eastAsia="en-GB"/>
              </w:rPr>
            </w:pPr>
            <w:r w:rsidRPr="00A518C1">
              <w:rPr>
                <w:b/>
                <w:bCs/>
                <w:color w:val="000000"/>
                <w:sz w:val="20"/>
                <w:szCs w:val="20"/>
              </w:rPr>
              <w:t>2,678</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416A0D" w14:textId="77777777" w:rsidR="00E803CC" w:rsidRPr="00A518C1" w:rsidRDefault="00E803CC" w:rsidP="00E803CC">
            <w:pPr>
              <w:jc w:val="right"/>
              <w:rPr>
                <w:b/>
                <w:bCs/>
                <w:color w:val="000000"/>
                <w:sz w:val="20"/>
                <w:szCs w:val="20"/>
                <w:lang w:eastAsia="en-GB"/>
              </w:rPr>
            </w:pPr>
            <w:r w:rsidRPr="00A518C1">
              <w:rPr>
                <w:b/>
                <w:bCs/>
                <w:color w:val="000000"/>
                <w:sz w:val="20"/>
                <w:szCs w:val="20"/>
              </w:rPr>
              <w:t>1,899</w:t>
            </w:r>
          </w:p>
        </w:tc>
        <w:tc>
          <w:tcPr>
            <w:tcW w:w="999" w:type="dxa"/>
            <w:tcBorders>
              <w:top w:val="single" w:sz="4" w:space="0" w:color="auto"/>
              <w:left w:val="single" w:sz="4" w:space="0" w:color="auto"/>
              <w:bottom w:val="single" w:sz="4" w:space="0" w:color="auto"/>
              <w:right w:val="single" w:sz="4" w:space="0" w:color="auto"/>
            </w:tcBorders>
            <w:shd w:val="clear" w:color="000000" w:fill="FFFFFF"/>
            <w:vAlign w:val="bottom"/>
          </w:tcPr>
          <w:p w14:paraId="3E8E4F9C" w14:textId="77777777" w:rsidR="00E803CC" w:rsidRPr="00A518C1" w:rsidRDefault="00E803CC" w:rsidP="00E803CC">
            <w:pPr>
              <w:jc w:val="right"/>
              <w:rPr>
                <w:b/>
                <w:bCs/>
                <w:color w:val="000000"/>
                <w:sz w:val="20"/>
                <w:szCs w:val="20"/>
                <w:lang w:eastAsia="en-GB"/>
              </w:rPr>
            </w:pPr>
            <w:r w:rsidRPr="00A518C1">
              <w:rPr>
                <w:b/>
                <w:bCs/>
                <w:color w:val="000000"/>
                <w:sz w:val="20"/>
                <w:szCs w:val="20"/>
              </w:rPr>
              <w:t>3,132</w:t>
            </w:r>
          </w:p>
        </w:tc>
      </w:tr>
      <w:tr w:rsidR="00E803CC" w:rsidRPr="00A518C1" w14:paraId="65A898CE" w14:textId="77777777" w:rsidTr="00E803CC">
        <w:trPr>
          <w:trHeight w:val="270"/>
        </w:trPr>
        <w:tc>
          <w:tcPr>
            <w:tcW w:w="3669" w:type="dxa"/>
            <w:tcBorders>
              <w:top w:val="nil"/>
              <w:left w:val="single" w:sz="4" w:space="0" w:color="auto"/>
              <w:bottom w:val="single" w:sz="4" w:space="0" w:color="auto"/>
              <w:right w:val="single" w:sz="4" w:space="0" w:color="auto"/>
            </w:tcBorders>
            <w:shd w:val="clear" w:color="auto" w:fill="auto"/>
            <w:noWrap/>
            <w:vAlign w:val="bottom"/>
            <w:hideMark/>
          </w:tcPr>
          <w:p w14:paraId="78DA5667" w14:textId="77777777" w:rsidR="00E803CC" w:rsidRPr="00A518C1" w:rsidRDefault="00E803CC" w:rsidP="00E803CC">
            <w:pPr>
              <w:rPr>
                <w:sz w:val="18"/>
                <w:szCs w:val="18"/>
                <w:lang w:eastAsia="en-GB"/>
              </w:rPr>
            </w:pPr>
            <w:r w:rsidRPr="00A518C1">
              <w:rPr>
                <w:sz w:val="18"/>
                <w:szCs w:val="18"/>
                <w:lang w:eastAsia="en-GB"/>
              </w:rPr>
              <w:t>Debt Cost Ratio</w:t>
            </w:r>
          </w:p>
        </w:tc>
        <w:tc>
          <w:tcPr>
            <w:tcW w:w="999" w:type="dxa"/>
            <w:tcBorders>
              <w:top w:val="single" w:sz="4" w:space="0" w:color="auto"/>
              <w:left w:val="nil"/>
              <w:bottom w:val="single" w:sz="4" w:space="0" w:color="auto"/>
              <w:right w:val="single" w:sz="4" w:space="0" w:color="auto"/>
            </w:tcBorders>
            <w:shd w:val="clear" w:color="000000" w:fill="FFFFFF"/>
            <w:noWrap/>
            <w:vAlign w:val="bottom"/>
            <w:hideMark/>
          </w:tcPr>
          <w:p w14:paraId="6B31A753" w14:textId="77777777" w:rsidR="00E803CC" w:rsidRPr="00A518C1" w:rsidRDefault="00E803CC" w:rsidP="00E803CC">
            <w:pPr>
              <w:jc w:val="right"/>
              <w:rPr>
                <w:b/>
                <w:bCs/>
                <w:color w:val="000000"/>
                <w:sz w:val="20"/>
                <w:szCs w:val="20"/>
                <w:lang w:eastAsia="en-GB"/>
              </w:rPr>
            </w:pPr>
            <w:r w:rsidRPr="00A518C1">
              <w:rPr>
                <w:color w:val="000000"/>
                <w:sz w:val="20"/>
                <w:szCs w:val="20"/>
              </w:rPr>
              <w:t>5.67%</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ED095F" w14:textId="77777777" w:rsidR="00E803CC" w:rsidRPr="00A518C1" w:rsidRDefault="00E803CC" w:rsidP="00E803CC">
            <w:pPr>
              <w:jc w:val="right"/>
              <w:rPr>
                <w:b/>
                <w:bCs/>
                <w:color w:val="000000"/>
                <w:sz w:val="20"/>
                <w:szCs w:val="20"/>
                <w:lang w:eastAsia="en-GB"/>
              </w:rPr>
            </w:pPr>
            <w:r w:rsidRPr="00A518C1">
              <w:rPr>
                <w:color w:val="000000"/>
                <w:sz w:val="20"/>
                <w:szCs w:val="20"/>
              </w:rPr>
              <w:t>6.86%</w:t>
            </w:r>
          </w:p>
        </w:tc>
        <w:tc>
          <w:tcPr>
            <w:tcW w:w="9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8D62D8" w14:textId="77777777" w:rsidR="00E803CC" w:rsidRPr="00A518C1" w:rsidRDefault="00E803CC" w:rsidP="00E803CC">
            <w:pPr>
              <w:jc w:val="right"/>
              <w:rPr>
                <w:b/>
                <w:bCs/>
                <w:color w:val="000000"/>
                <w:sz w:val="20"/>
                <w:szCs w:val="20"/>
                <w:lang w:eastAsia="en-GB"/>
              </w:rPr>
            </w:pPr>
            <w:r w:rsidRPr="00A518C1">
              <w:rPr>
                <w:color w:val="000000"/>
                <w:sz w:val="20"/>
                <w:szCs w:val="20"/>
              </w:rPr>
              <w:t>7.28%</w:t>
            </w:r>
          </w:p>
        </w:tc>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15D083" w14:textId="77777777" w:rsidR="00E803CC" w:rsidRPr="00A518C1" w:rsidRDefault="00E803CC" w:rsidP="00E803CC">
            <w:pPr>
              <w:jc w:val="right"/>
              <w:rPr>
                <w:b/>
                <w:bCs/>
                <w:color w:val="000000"/>
                <w:sz w:val="20"/>
                <w:szCs w:val="20"/>
                <w:lang w:eastAsia="en-GB"/>
              </w:rPr>
            </w:pPr>
            <w:r w:rsidRPr="00A518C1">
              <w:rPr>
                <w:color w:val="000000"/>
                <w:sz w:val="20"/>
                <w:szCs w:val="20"/>
              </w:rPr>
              <w:t>7.79%</w:t>
            </w:r>
          </w:p>
        </w:tc>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ECF579" w14:textId="77777777" w:rsidR="00E803CC" w:rsidRPr="00A518C1" w:rsidRDefault="00E803CC" w:rsidP="00E803CC">
            <w:pPr>
              <w:jc w:val="right"/>
              <w:rPr>
                <w:b/>
                <w:bCs/>
                <w:color w:val="000000"/>
                <w:sz w:val="20"/>
                <w:szCs w:val="20"/>
                <w:lang w:eastAsia="en-GB"/>
              </w:rPr>
            </w:pPr>
            <w:r w:rsidRPr="00A518C1">
              <w:rPr>
                <w:color w:val="000000"/>
                <w:sz w:val="20"/>
                <w:szCs w:val="20"/>
              </w:rPr>
              <w:t>8.26%</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21287" w14:textId="77777777" w:rsidR="00E803CC" w:rsidRPr="00A518C1" w:rsidRDefault="00E803CC" w:rsidP="00E803CC">
            <w:pPr>
              <w:jc w:val="right"/>
              <w:rPr>
                <w:b/>
                <w:bCs/>
                <w:color w:val="000000"/>
                <w:sz w:val="20"/>
                <w:szCs w:val="20"/>
                <w:lang w:eastAsia="en-GB"/>
              </w:rPr>
            </w:pPr>
            <w:r w:rsidRPr="00A518C1">
              <w:rPr>
                <w:color w:val="000000"/>
                <w:sz w:val="20"/>
                <w:szCs w:val="20"/>
              </w:rPr>
              <w:t>8.66%</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8A47" w14:textId="77777777" w:rsidR="00E803CC" w:rsidRPr="00A518C1" w:rsidRDefault="00E803CC" w:rsidP="00E803CC">
            <w:pPr>
              <w:jc w:val="right"/>
              <w:rPr>
                <w:b/>
                <w:bCs/>
                <w:color w:val="000000"/>
                <w:sz w:val="20"/>
                <w:szCs w:val="20"/>
                <w:lang w:eastAsia="en-GB"/>
              </w:rPr>
            </w:pPr>
            <w:r w:rsidRPr="00A518C1">
              <w:rPr>
                <w:color w:val="000000"/>
                <w:sz w:val="20"/>
                <w:szCs w:val="20"/>
              </w:rPr>
              <w:t>8.41%</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9956" w14:textId="77777777" w:rsidR="00E803CC" w:rsidRPr="00A518C1" w:rsidRDefault="00E803CC" w:rsidP="00E803CC">
            <w:pPr>
              <w:jc w:val="right"/>
              <w:rPr>
                <w:b/>
                <w:bCs/>
                <w:color w:val="000000"/>
                <w:sz w:val="20"/>
                <w:szCs w:val="20"/>
                <w:lang w:eastAsia="en-GB"/>
              </w:rPr>
            </w:pPr>
            <w:r w:rsidRPr="00A518C1">
              <w:rPr>
                <w:color w:val="000000"/>
                <w:sz w:val="20"/>
                <w:szCs w:val="20"/>
              </w:rPr>
              <w:t>8.27%</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6662" w14:textId="77777777" w:rsidR="00E803CC" w:rsidRPr="00A518C1" w:rsidRDefault="00E803CC" w:rsidP="00E803CC">
            <w:pPr>
              <w:jc w:val="right"/>
              <w:rPr>
                <w:b/>
                <w:bCs/>
                <w:color w:val="000000"/>
                <w:sz w:val="20"/>
                <w:szCs w:val="20"/>
                <w:lang w:eastAsia="en-GB"/>
              </w:rPr>
            </w:pPr>
            <w:r w:rsidRPr="00A518C1">
              <w:rPr>
                <w:color w:val="000000"/>
                <w:sz w:val="20"/>
                <w:szCs w:val="20"/>
              </w:rPr>
              <w:t>8.12%</w:t>
            </w:r>
          </w:p>
        </w:tc>
        <w:tc>
          <w:tcPr>
            <w:tcW w:w="999" w:type="dxa"/>
            <w:tcBorders>
              <w:top w:val="single" w:sz="4" w:space="0" w:color="auto"/>
              <w:left w:val="single" w:sz="4" w:space="0" w:color="auto"/>
              <w:bottom w:val="single" w:sz="4" w:space="0" w:color="auto"/>
              <w:right w:val="single" w:sz="4" w:space="0" w:color="auto"/>
            </w:tcBorders>
            <w:vAlign w:val="bottom"/>
          </w:tcPr>
          <w:p w14:paraId="32EDBE41" w14:textId="77777777" w:rsidR="00E803CC" w:rsidRPr="00A518C1" w:rsidRDefault="00793318" w:rsidP="00E803CC">
            <w:pPr>
              <w:jc w:val="right"/>
              <w:rPr>
                <w:b/>
                <w:bCs/>
                <w:color w:val="000000"/>
                <w:sz w:val="20"/>
                <w:szCs w:val="20"/>
                <w:lang w:eastAsia="en-GB"/>
              </w:rPr>
            </w:pPr>
            <w:r>
              <w:rPr>
                <w:color w:val="000000"/>
                <w:sz w:val="20"/>
                <w:szCs w:val="20"/>
              </w:rPr>
              <w:t>7.93%</w:t>
            </w:r>
            <w:r w:rsidR="00E803CC" w:rsidRPr="00A518C1">
              <w:rPr>
                <w:color w:val="000000"/>
                <w:sz w:val="20"/>
                <w:szCs w:val="20"/>
              </w:rPr>
              <w:t> </w:t>
            </w:r>
          </w:p>
        </w:tc>
      </w:tr>
    </w:tbl>
    <w:p w14:paraId="0FFB04D5" w14:textId="77777777" w:rsidR="00760A08" w:rsidRPr="00E05E60" w:rsidRDefault="00760A08" w:rsidP="00E43F68">
      <w:pPr>
        <w:rPr>
          <w:b/>
          <w:sz w:val="20"/>
          <w:szCs w:val="20"/>
        </w:rPr>
        <w:sectPr w:rsidR="00760A08" w:rsidRPr="00E05E60" w:rsidSect="00E3312E">
          <w:pgSz w:w="16838" w:h="11906" w:orient="landscape"/>
          <w:pgMar w:top="1134" w:right="1134" w:bottom="1134" w:left="1418" w:header="567" w:footer="567" w:gutter="0"/>
          <w:cols w:space="720"/>
        </w:sectPr>
      </w:pPr>
    </w:p>
    <w:p w14:paraId="2BF52BBB" w14:textId="77777777" w:rsidR="00DB08E0" w:rsidRPr="00DB08E0" w:rsidRDefault="00DB08E0" w:rsidP="00DB08E0">
      <w:pPr>
        <w:jc w:val="right"/>
        <w:rPr>
          <w:b/>
          <w:bCs/>
          <w:sz w:val="24"/>
          <w:szCs w:val="24"/>
        </w:rPr>
      </w:pPr>
      <w:r w:rsidRPr="00E05E60">
        <w:rPr>
          <w:b/>
          <w:bCs/>
          <w:sz w:val="24"/>
          <w:szCs w:val="24"/>
        </w:rPr>
        <w:lastRenderedPageBreak/>
        <w:t xml:space="preserve">APPENDIX </w:t>
      </w:r>
      <w:r w:rsidR="007A6D02">
        <w:rPr>
          <w:b/>
          <w:bCs/>
          <w:sz w:val="24"/>
          <w:szCs w:val="24"/>
        </w:rPr>
        <w:t>3</w:t>
      </w:r>
    </w:p>
    <w:p w14:paraId="779B824B" w14:textId="77777777" w:rsidR="00DB08E0" w:rsidRPr="00DB08E0" w:rsidRDefault="00DB08E0" w:rsidP="00DB08E0">
      <w:pPr>
        <w:rPr>
          <w:b/>
          <w:bCs/>
          <w:sz w:val="24"/>
          <w:szCs w:val="24"/>
        </w:rPr>
      </w:pPr>
    </w:p>
    <w:p w14:paraId="23E25D86" w14:textId="77777777" w:rsidR="00DB08E0" w:rsidRPr="00DB08E0" w:rsidRDefault="00DB08E0" w:rsidP="00DB08E0">
      <w:pPr>
        <w:rPr>
          <w:b/>
          <w:bCs/>
          <w:sz w:val="24"/>
          <w:szCs w:val="24"/>
        </w:rPr>
      </w:pPr>
    </w:p>
    <w:p w14:paraId="3E2AB545" w14:textId="77777777" w:rsidR="00DB08E0" w:rsidRPr="00DB08E0" w:rsidRDefault="00DB08E0" w:rsidP="00DB08E0">
      <w:pPr>
        <w:rPr>
          <w:b/>
          <w:bCs/>
          <w:sz w:val="24"/>
          <w:szCs w:val="24"/>
        </w:rPr>
      </w:pPr>
    </w:p>
    <w:p w14:paraId="0778FEDF" w14:textId="77777777" w:rsidR="00DB08E0" w:rsidRPr="00DB08E0" w:rsidRDefault="00DB08E0" w:rsidP="00DB08E0">
      <w:pPr>
        <w:rPr>
          <w:b/>
          <w:bCs/>
          <w:sz w:val="24"/>
          <w:szCs w:val="24"/>
        </w:rPr>
      </w:pPr>
    </w:p>
    <w:p w14:paraId="47D66C94" w14:textId="77777777" w:rsidR="00DB08E0" w:rsidRPr="00DB08E0" w:rsidRDefault="00DB08E0" w:rsidP="00DB08E0">
      <w:pPr>
        <w:rPr>
          <w:b/>
          <w:bCs/>
          <w:sz w:val="24"/>
          <w:szCs w:val="24"/>
        </w:rPr>
      </w:pPr>
    </w:p>
    <w:p w14:paraId="0810531E" w14:textId="77777777" w:rsidR="00DB08E0" w:rsidRPr="00DB08E0" w:rsidRDefault="00246C18" w:rsidP="00DB08E0">
      <w:pPr>
        <w:spacing w:line="280" w:lineRule="atLeast"/>
        <w:jc w:val="right"/>
        <w:rPr>
          <w:b/>
          <w:kern w:val="28"/>
          <w:sz w:val="24"/>
        </w:rPr>
      </w:pPr>
      <w:r>
        <w:rPr>
          <w:noProof/>
        </w:rPr>
        <mc:AlternateContent>
          <mc:Choice Requires="wps">
            <w:drawing>
              <wp:anchor distT="0" distB="0" distL="114300" distR="114300" simplePos="0" relativeHeight="251659264" behindDoc="0" locked="0" layoutInCell="1" allowOverlap="1" wp14:anchorId="7D55744E" wp14:editId="525BE2B3">
                <wp:simplePos x="0" y="0"/>
                <wp:positionH relativeFrom="column">
                  <wp:posOffset>-291465</wp:posOffset>
                </wp:positionH>
                <wp:positionV relativeFrom="paragraph">
                  <wp:posOffset>-201930</wp:posOffset>
                </wp:positionV>
                <wp:extent cx="2407920" cy="702310"/>
                <wp:effectExtent l="0" t="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0792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214CF" w14:textId="77777777" w:rsidR="00780D79" w:rsidRPr="00201464" w:rsidRDefault="00246C18" w:rsidP="00DB08E0">
                            <w:pPr>
                              <w:pStyle w:val="Style1"/>
                              <w:jc w:val="right"/>
                            </w:pPr>
                            <w:r w:rsidRPr="002D0526">
                              <w:rPr>
                                <w:noProof/>
                                <w:lang w:eastAsia="en-GB"/>
                              </w:rPr>
                              <w:drawing>
                                <wp:inline distT="0" distB="0" distL="0" distR="0" wp14:anchorId="04B18DC8" wp14:editId="2A98ECC7">
                                  <wp:extent cx="2222500" cy="609600"/>
                                  <wp:effectExtent l="0" t="0" r="0" b="0"/>
                                  <wp:docPr id="1" name="Picture 7" descr="logo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py"/>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609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55744E" id="Text Box 2" o:spid="_x0000_s1029" type="#_x0000_t202" style="position:absolute;left:0;text-align:left;margin-left:-22.95pt;margin-top:-15.9pt;width:189.6pt;height:55.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" filled="f" stroked="f">
                <v:path arrowok="t"/>
                <v:textbox style="mso-fit-shape-to-text:t">
                  <w:txbxContent>
                    <w:p w14:paraId="6B6214CF" w14:textId="77777777" w:rsidR="00780D79" w:rsidRPr="00201464" w:rsidRDefault="00246C18" w:rsidP="00DB08E0">
                      <w:pPr>
                        <w:pStyle w:val="Style1"/>
                        <w:jc w:val="right"/>
                      </w:pPr>
                      <w:r w:rsidRPr="002D0526">
                        <w:rPr>
                          <w:noProof/>
                          <w:lang w:eastAsia="en-GB"/>
                        </w:rPr>
                        <w:drawing>
                          <wp:inline distT="0" distB="0" distL="0" distR="0" wp14:anchorId="04B18DC8" wp14:editId="2A98ECC7">
                            <wp:extent cx="2222500" cy="609600"/>
                            <wp:effectExtent l="0" t="0" r="0" b="0"/>
                            <wp:docPr id="1" name="Picture 7" descr="logo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logo copy"/>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2500" cy="609600"/>
                                    </a:xfrm>
                                    <a:prstGeom prst="rect">
                                      <a:avLst/>
                                    </a:prstGeom>
                                    <a:noFill/>
                                    <a:ln>
                                      <a:noFill/>
                                    </a:ln>
                                  </pic:spPr>
                                </pic:pic>
                              </a:graphicData>
                            </a:graphic>
                          </wp:inline>
                        </w:drawing>
                      </w:r>
                    </w:p>
                  </w:txbxContent>
                </v:textbox>
                <w10:wrap type="square"/>
              </v:shape>
            </w:pict>
          </mc:Fallback>
        </mc:AlternateContent>
      </w:r>
    </w:p>
    <w:p w14:paraId="75516835" w14:textId="77777777" w:rsidR="00DB08E0" w:rsidRPr="00DB08E0" w:rsidRDefault="00DB08E0" w:rsidP="00DB08E0">
      <w:pPr>
        <w:jc w:val="both"/>
        <w:rPr>
          <w:b/>
          <w:sz w:val="24"/>
        </w:rPr>
      </w:pPr>
    </w:p>
    <w:p w14:paraId="4F17AFF1" w14:textId="77777777" w:rsidR="00DB08E0" w:rsidRPr="00DB08E0" w:rsidRDefault="00DB08E0" w:rsidP="00DB08E0">
      <w:pPr>
        <w:jc w:val="both"/>
        <w:rPr>
          <w:b/>
          <w:sz w:val="24"/>
        </w:rPr>
      </w:pPr>
    </w:p>
    <w:p w14:paraId="5AC57F99" w14:textId="77777777" w:rsidR="00DB08E0" w:rsidRPr="00DB08E0" w:rsidRDefault="00DB08E0" w:rsidP="00DB08E0">
      <w:pPr>
        <w:jc w:val="both"/>
        <w:rPr>
          <w:b/>
          <w:sz w:val="24"/>
        </w:rPr>
      </w:pPr>
    </w:p>
    <w:p w14:paraId="65BD029F" w14:textId="77777777" w:rsidR="00DB08E0" w:rsidRPr="00DB08E0" w:rsidRDefault="00DB08E0" w:rsidP="00DB08E0">
      <w:pPr>
        <w:jc w:val="both"/>
        <w:rPr>
          <w:b/>
          <w:sz w:val="24"/>
        </w:rPr>
      </w:pPr>
    </w:p>
    <w:p w14:paraId="1F1A7923" w14:textId="77777777" w:rsidR="00DB08E0" w:rsidRPr="00DB08E0" w:rsidRDefault="00DB08E0" w:rsidP="00DB08E0">
      <w:pPr>
        <w:jc w:val="both"/>
        <w:rPr>
          <w:b/>
          <w:sz w:val="24"/>
        </w:rPr>
      </w:pPr>
    </w:p>
    <w:p w14:paraId="55A5F25B" w14:textId="77777777" w:rsidR="00DB08E0" w:rsidRPr="00DB08E0" w:rsidRDefault="00DB08E0" w:rsidP="00DB08E0">
      <w:pPr>
        <w:jc w:val="both"/>
        <w:rPr>
          <w:b/>
          <w:sz w:val="24"/>
        </w:rPr>
      </w:pPr>
    </w:p>
    <w:p w14:paraId="5A4F6134" w14:textId="77777777" w:rsidR="00DB08E0" w:rsidRPr="00DB08E0" w:rsidRDefault="00DB08E0" w:rsidP="00DB08E0">
      <w:pPr>
        <w:jc w:val="both"/>
        <w:rPr>
          <w:b/>
          <w:sz w:val="24"/>
        </w:rPr>
      </w:pPr>
    </w:p>
    <w:p w14:paraId="3250E10E" w14:textId="77777777" w:rsidR="00DB08E0" w:rsidRPr="00DB08E0" w:rsidRDefault="00DB08E0" w:rsidP="00DB08E0">
      <w:pPr>
        <w:jc w:val="both"/>
        <w:rPr>
          <w:b/>
          <w:sz w:val="24"/>
        </w:rPr>
      </w:pPr>
    </w:p>
    <w:p w14:paraId="63D6B5C4" w14:textId="77777777" w:rsidR="00DB08E0" w:rsidRPr="00DB08E0" w:rsidRDefault="00DB08E0" w:rsidP="00DB08E0">
      <w:pPr>
        <w:jc w:val="both"/>
        <w:rPr>
          <w:b/>
          <w:sz w:val="24"/>
        </w:rPr>
      </w:pPr>
    </w:p>
    <w:p w14:paraId="3F081EAF" w14:textId="77777777" w:rsidR="00DB08E0" w:rsidRPr="00DB08E0" w:rsidRDefault="00246C18" w:rsidP="00DB08E0">
      <w:pPr>
        <w:jc w:val="both"/>
        <w:rPr>
          <w:b/>
          <w:sz w:val="24"/>
        </w:rPr>
      </w:pPr>
      <w:r>
        <w:rPr>
          <w:noProof/>
        </w:rPr>
        <mc:AlternateContent>
          <mc:Choice Requires="wps">
            <w:drawing>
              <wp:anchor distT="0" distB="0" distL="114300" distR="114300" simplePos="0" relativeHeight="251660288" behindDoc="0" locked="0" layoutInCell="1" allowOverlap="1" wp14:anchorId="2A14CB5D" wp14:editId="7ACA7C8F">
                <wp:simplePos x="0" y="0"/>
                <wp:positionH relativeFrom="column">
                  <wp:posOffset>-209550</wp:posOffset>
                </wp:positionH>
                <wp:positionV relativeFrom="paragraph">
                  <wp:posOffset>150495</wp:posOffset>
                </wp:positionV>
                <wp:extent cx="6079490" cy="2859405"/>
                <wp:effectExtent l="0" t="0" r="0" b="0"/>
                <wp:wrapNone/>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79490" cy="285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0FD22" w14:textId="77777777" w:rsidR="00780D79" w:rsidRPr="005F50B2" w:rsidRDefault="00780D79" w:rsidP="005F50B2">
                            <w:pPr>
                              <w:jc w:val="center"/>
                              <w:rPr>
                                <w:b/>
                                <w:sz w:val="80"/>
                                <w:szCs w:val="80"/>
                              </w:rPr>
                            </w:pPr>
                            <w:r w:rsidRPr="005F50B2">
                              <w:rPr>
                                <w:b/>
                                <w:sz w:val="80"/>
                                <w:szCs w:val="80"/>
                              </w:rPr>
                              <w:t>RESERVES STRATEGY</w:t>
                            </w:r>
                          </w:p>
                          <w:p w14:paraId="2C1BC2D7" w14:textId="77777777" w:rsidR="00780D79" w:rsidRPr="005F50B2" w:rsidRDefault="00780D79" w:rsidP="005F50B2">
                            <w:pPr>
                              <w:jc w:val="center"/>
                              <w:rPr>
                                <w:b/>
                                <w:sz w:val="80"/>
                                <w:szCs w:val="80"/>
                              </w:rPr>
                            </w:pPr>
                          </w:p>
                          <w:p w14:paraId="400E8281" w14:textId="77777777" w:rsidR="00780D79" w:rsidRPr="00EC3F89" w:rsidRDefault="004B6C98" w:rsidP="005F50B2">
                            <w:pPr>
                              <w:jc w:val="center"/>
                              <w:rPr>
                                <w:b/>
                                <w:sz w:val="70"/>
                                <w:szCs w:val="70"/>
                              </w:rPr>
                            </w:pPr>
                            <w:r w:rsidRPr="005F50B2">
                              <w:rPr>
                                <w:b/>
                                <w:sz w:val="70"/>
                                <w:szCs w:val="70"/>
                              </w:rPr>
                              <w:t>2024/25</w:t>
                            </w:r>
                            <w:r w:rsidR="00780D79" w:rsidRPr="005F50B2">
                              <w:rPr>
                                <w:b/>
                                <w:sz w:val="70"/>
                                <w:szCs w:val="70"/>
                              </w:rPr>
                              <w:t xml:space="preserve"> to </w:t>
                            </w:r>
                            <w:r w:rsidRPr="005F50B2">
                              <w:rPr>
                                <w:b/>
                                <w:sz w:val="70"/>
                                <w:szCs w:val="70"/>
                              </w:rPr>
                              <w:t>2027/28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CB5D" id="_x0000_s1030" type="#_x0000_t202" style="position:absolute;left:0;text-align:left;margin-left:-16.5pt;margin-top:11.85pt;width:478.7pt;height:22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" filled="f" stroked="f">
                <v:path arrowok="t"/>
                <v:textbox>
                  <w:txbxContent>
                    <w:p w14:paraId="25A0FD22" w14:textId="77777777" w:rsidR="00780D79" w:rsidRPr="005F50B2" w:rsidRDefault="00780D79" w:rsidP="005F50B2">
                      <w:pPr>
                        <w:jc w:val="center"/>
                        <w:rPr>
                          <w:b/>
                          <w:sz w:val="80"/>
                          <w:szCs w:val="80"/>
                        </w:rPr>
                      </w:pPr>
                      <w:r w:rsidRPr="005F50B2">
                        <w:rPr>
                          <w:b/>
                          <w:sz w:val="80"/>
                          <w:szCs w:val="80"/>
                        </w:rPr>
                        <w:t>RESERVES STRATEGY</w:t>
                      </w:r>
                    </w:p>
                    <w:p w14:paraId="2C1BC2D7" w14:textId="77777777" w:rsidR="00780D79" w:rsidRPr="005F50B2" w:rsidRDefault="00780D79" w:rsidP="005F50B2">
                      <w:pPr>
                        <w:jc w:val="center"/>
                        <w:rPr>
                          <w:b/>
                          <w:sz w:val="80"/>
                          <w:szCs w:val="80"/>
                        </w:rPr>
                      </w:pPr>
                    </w:p>
                    <w:p w14:paraId="400E8281" w14:textId="77777777" w:rsidR="00780D79" w:rsidRPr="00EC3F89" w:rsidRDefault="004B6C98" w:rsidP="005F50B2">
                      <w:pPr>
                        <w:jc w:val="center"/>
                        <w:rPr>
                          <w:b/>
                          <w:sz w:val="70"/>
                          <w:szCs w:val="70"/>
                        </w:rPr>
                      </w:pPr>
                      <w:r w:rsidRPr="005F50B2">
                        <w:rPr>
                          <w:b/>
                          <w:sz w:val="70"/>
                          <w:szCs w:val="70"/>
                        </w:rPr>
                        <w:t>2024/25</w:t>
                      </w:r>
                      <w:r w:rsidR="00780D79" w:rsidRPr="005F50B2">
                        <w:rPr>
                          <w:b/>
                          <w:sz w:val="70"/>
                          <w:szCs w:val="70"/>
                        </w:rPr>
                        <w:t xml:space="preserve"> to </w:t>
                      </w:r>
                      <w:r w:rsidRPr="005F50B2">
                        <w:rPr>
                          <w:b/>
                          <w:sz w:val="70"/>
                          <w:szCs w:val="70"/>
                        </w:rPr>
                        <w:t>2027/28</w:t>
                      </w:r>
                    </w:p>
                  </w:txbxContent>
                </v:textbox>
              </v:shape>
            </w:pict>
          </mc:Fallback>
        </mc:AlternateContent>
      </w:r>
    </w:p>
    <w:p w14:paraId="358DEA6E" w14:textId="77777777" w:rsidR="00DB08E0" w:rsidRPr="00DB08E0" w:rsidRDefault="00DB08E0" w:rsidP="00DB08E0">
      <w:pPr>
        <w:jc w:val="both"/>
        <w:rPr>
          <w:b/>
          <w:sz w:val="24"/>
        </w:rPr>
      </w:pPr>
    </w:p>
    <w:p w14:paraId="2067430C" w14:textId="77777777" w:rsidR="00DB08E0" w:rsidRPr="00DB08E0" w:rsidRDefault="00DB08E0" w:rsidP="00DB08E0">
      <w:pPr>
        <w:jc w:val="both"/>
        <w:rPr>
          <w:b/>
          <w:sz w:val="24"/>
        </w:rPr>
      </w:pPr>
    </w:p>
    <w:p w14:paraId="3483E8F8" w14:textId="77777777" w:rsidR="00DB08E0" w:rsidRPr="00DB08E0" w:rsidRDefault="00DB08E0" w:rsidP="00DB08E0">
      <w:pPr>
        <w:jc w:val="both"/>
        <w:rPr>
          <w:b/>
          <w:sz w:val="24"/>
        </w:rPr>
      </w:pPr>
    </w:p>
    <w:p w14:paraId="438D421E" w14:textId="77777777" w:rsidR="00DB08E0" w:rsidRPr="00DB08E0" w:rsidRDefault="00DB08E0" w:rsidP="00DB08E0">
      <w:pPr>
        <w:jc w:val="both"/>
        <w:rPr>
          <w:b/>
          <w:sz w:val="24"/>
        </w:rPr>
      </w:pPr>
    </w:p>
    <w:p w14:paraId="1D2E5271" w14:textId="77777777" w:rsidR="00DB08E0" w:rsidRPr="00DB08E0" w:rsidRDefault="00DB08E0" w:rsidP="00DB08E0">
      <w:pPr>
        <w:jc w:val="both"/>
        <w:rPr>
          <w:b/>
          <w:sz w:val="24"/>
        </w:rPr>
      </w:pPr>
    </w:p>
    <w:p w14:paraId="151D6EDA" w14:textId="77777777" w:rsidR="00DB08E0" w:rsidRPr="00DB08E0" w:rsidRDefault="00DB08E0" w:rsidP="00DB08E0">
      <w:pPr>
        <w:jc w:val="both"/>
        <w:rPr>
          <w:b/>
          <w:sz w:val="24"/>
        </w:rPr>
      </w:pPr>
    </w:p>
    <w:p w14:paraId="253264B5" w14:textId="77777777" w:rsidR="00DB08E0" w:rsidRPr="00DB08E0" w:rsidRDefault="00DB08E0" w:rsidP="00DB08E0">
      <w:pPr>
        <w:jc w:val="both"/>
        <w:rPr>
          <w:b/>
          <w:sz w:val="24"/>
        </w:rPr>
      </w:pPr>
    </w:p>
    <w:p w14:paraId="194E407C" w14:textId="77777777" w:rsidR="00DB08E0" w:rsidRPr="00DB08E0" w:rsidRDefault="00DB08E0" w:rsidP="00DB08E0">
      <w:pPr>
        <w:jc w:val="both"/>
        <w:rPr>
          <w:b/>
          <w:sz w:val="24"/>
        </w:rPr>
      </w:pPr>
    </w:p>
    <w:p w14:paraId="6A0C8885" w14:textId="77777777" w:rsidR="00DB08E0" w:rsidRPr="00DB08E0" w:rsidRDefault="00DB08E0" w:rsidP="00DB08E0">
      <w:pPr>
        <w:jc w:val="both"/>
        <w:rPr>
          <w:b/>
          <w:sz w:val="24"/>
        </w:rPr>
      </w:pPr>
    </w:p>
    <w:p w14:paraId="7DDE4E59" w14:textId="77777777" w:rsidR="00DB08E0" w:rsidRPr="00DB08E0" w:rsidRDefault="00DB08E0" w:rsidP="00DB08E0">
      <w:pPr>
        <w:jc w:val="both"/>
        <w:rPr>
          <w:b/>
          <w:sz w:val="24"/>
        </w:rPr>
      </w:pPr>
    </w:p>
    <w:p w14:paraId="5470AC15" w14:textId="77777777" w:rsidR="00DB08E0" w:rsidRPr="00DB08E0" w:rsidRDefault="00DB08E0" w:rsidP="00DB08E0">
      <w:pPr>
        <w:jc w:val="both"/>
        <w:rPr>
          <w:b/>
          <w:sz w:val="24"/>
        </w:rPr>
      </w:pPr>
    </w:p>
    <w:p w14:paraId="0186964C" w14:textId="77777777" w:rsidR="00DB08E0" w:rsidRPr="00DB08E0" w:rsidRDefault="00DB08E0" w:rsidP="00DB08E0">
      <w:pPr>
        <w:jc w:val="both"/>
        <w:rPr>
          <w:b/>
          <w:sz w:val="24"/>
        </w:rPr>
      </w:pPr>
    </w:p>
    <w:p w14:paraId="23408DF8" w14:textId="77777777" w:rsidR="00DB08E0" w:rsidRPr="00DB08E0" w:rsidRDefault="00DB08E0" w:rsidP="00DB08E0">
      <w:pPr>
        <w:jc w:val="both"/>
        <w:rPr>
          <w:b/>
          <w:sz w:val="24"/>
        </w:rPr>
      </w:pPr>
    </w:p>
    <w:p w14:paraId="7E932AF3" w14:textId="77777777" w:rsidR="00DB08E0" w:rsidRPr="00DB08E0" w:rsidRDefault="00DB08E0" w:rsidP="00DB08E0">
      <w:pPr>
        <w:jc w:val="both"/>
        <w:rPr>
          <w:b/>
          <w:sz w:val="24"/>
        </w:rPr>
      </w:pPr>
    </w:p>
    <w:p w14:paraId="6EE39909" w14:textId="77777777" w:rsidR="00DB08E0" w:rsidRPr="00DB08E0" w:rsidRDefault="00DB08E0" w:rsidP="00DB08E0">
      <w:pPr>
        <w:jc w:val="both"/>
        <w:rPr>
          <w:b/>
          <w:sz w:val="24"/>
        </w:rPr>
      </w:pPr>
    </w:p>
    <w:p w14:paraId="2C72CDF4" w14:textId="77777777" w:rsidR="00DB08E0" w:rsidRPr="00DB08E0" w:rsidRDefault="00DB08E0" w:rsidP="00DB08E0">
      <w:pPr>
        <w:jc w:val="both"/>
        <w:rPr>
          <w:b/>
          <w:sz w:val="24"/>
        </w:rPr>
      </w:pPr>
    </w:p>
    <w:p w14:paraId="4B53E1D5" w14:textId="77777777" w:rsidR="00DB08E0" w:rsidRPr="00DB08E0" w:rsidRDefault="00DB08E0" w:rsidP="00DB08E0">
      <w:pPr>
        <w:jc w:val="both"/>
        <w:rPr>
          <w:b/>
          <w:sz w:val="24"/>
        </w:rPr>
      </w:pPr>
    </w:p>
    <w:p w14:paraId="6C0B7A33" w14:textId="77777777" w:rsidR="00DB08E0" w:rsidRPr="00DB08E0" w:rsidRDefault="00DB08E0" w:rsidP="00DB08E0">
      <w:pPr>
        <w:jc w:val="both"/>
        <w:rPr>
          <w:b/>
          <w:sz w:val="24"/>
        </w:rPr>
      </w:pPr>
    </w:p>
    <w:p w14:paraId="0F5BDDDB" w14:textId="77777777" w:rsidR="00DB08E0" w:rsidRPr="00DB08E0" w:rsidRDefault="00DB08E0" w:rsidP="00DB08E0">
      <w:pPr>
        <w:jc w:val="both"/>
        <w:rPr>
          <w:b/>
          <w:sz w:val="24"/>
        </w:rPr>
      </w:pPr>
    </w:p>
    <w:p w14:paraId="525AE09E" w14:textId="77777777" w:rsidR="00DB08E0" w:rsidRPr="00DB08E0" w:rsidRDefault="00DB08E0" w:rsidP="00DB08E0">
      <w:pPr>
        <w:rPr>
          <w:b/>
          <w:sz w:val="28"/>
        </w:rPr>
      </w:pPr>
      <w:r w:rsidRPr="00DB08E0">
        <w:rPr>
          <w:b/>
          <w:sz w:val="28"/>
        </w:rPr>
        <w:br w:type="page"/>
      </w:r>
    </w:p>
    <w:p w14:paraId="0367E0DF" w14:textId="77777777" w:rsidR="00DB08E0" w:rsidRPr="00E05E60" w:rsidRDefault="00DB08E0" w:rsidP="00DB08E0">
      <w:pPr>
        <w:jc w:val="center"/>
        <w:rPr>
          <w:b/>
          <w:sz w:val="28"/>
        </w:rPr>
      </w:pPr>
      <w:r w:rsidRPr="00E05E60">
        <w:rPr>
          <w:b/>
          <w:sz w:val="28"/>
        </w:rPr>
        <w:lastRenderedPageBreak/>
        <w:t>TABLE OF CONTENTS</w:t>
      </w:r>
    </w:p>
    <w:p w14:paraId="432A8BD3" w14:textId="77777777" w:rsidR="00DB08E0" w:rsidRPr="00E05E60" w:rsidRDefault="00DB08E0" w:rsidP="00DB08E0">
      <w:pPr>
        <w:rPr>
          <w:b/>
          <w:sz w:val="28"/>
        </w:rPr>
      </w:pPr>
    </w:p>
    <w:p w14:paraId="5242FC10" w14:textId="77777777" w:rsidR="00DB08E0" w:rsidRPr="00E05E60" w:rsidRDefault="00DB08E0" w:rsidP="00DB08E0">
      <w:pPr>
        <w:rPr>
          <w:b/>
          <w:sz w:val="28"/>
        </w:rPr>
      </w:pPr>
    </w:p>
    <w:p w14:paraId="6ECCC68E" w14:textId="77777777" w:rsidR="00DB08E0" w:rsidRPr="00E05E60" w:rsidRDefault="00DB08E0" w:rsidP="00DB08E0">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DB08E0" w:rsidRPr="00E05E60" w14:paraId="4DAD1FD1" w14:textId="77777777" w:rsidTr="00EC209C">
        <w:tc>
          <w:tcPr>
            <w:tcW w:w="1980" w:type="dxa"/>
            <w:shd w:val="clear" w:color="auto" w:fill="auto"/>
          </w:tcPr>
          <w:p w14:paraId="40EA2022" w14:textId="77777777" w:rsidR="00DB08E0" w:rsidRPr="00E05E60" w:rsidRDefault="00DB08E0" w:rsidP="00EC209C">
            <w:pPr>
              <w:spacing w:before="360" w:after="360"/>
              <w:rPr>
                <w:rFonts w:eastAsia="Calibri"/>
                <w:b/>
                <w:sz w:val="24"/>
                <w:szCs w:val="24"/>
              </w:rPr>
            </w:pPr>
            <w:r w:rsidRPr="00E05E60">
              <w:rPr>
                <w:rFonts w:eastAsia="Calibri"/>
                <w:b/>
                <w:sz w:val="24"/>
                <w:szCs w:val="24"/>
              </w:rPr>
              <w:t>Section 1</w:t>
            </w:r>
          </w:p>
        </w:tc>
        <w:tc>
          <w:tcPr>
            <w:tcW w:w="7036" w:type="dxa"/>
            <w:shd w:val="clear" w:color="auto" w:fill="auto"/>
          </w:tcPr>
          <w:p w14:paraId="70DF9D94" w14:textId="77777777" w:rsidR="00DB08E0" w:rsidRPr="00E05E60" w:rsidRDefault="00DB08E0" w:rsidP="00EC209C">
            <w:pPr>
              <w:spacing w:before="360" w:after="360"/>
              <w:rPr>
                <w:rFonts w:eastAsia="Calibri"/>
                <w:sz w:val="24"/>
                <w:szCs w:val="24"/>
              </w:rPr>
            </w:pPr>
            <w:r w:rsidRPr="00E05E60">
              <w:rPr>
                <w:rFonts w:eastAsia="Calibri"/>
                <w:sz w:val="24"/>
                <w:szCs w:val="24"/>
              </w:rPr>
              <w:t>Introduction and Background</w:t>
            </w:r>
          </w:p>
        </w:tc>
      </w:tr>
      <w:tr w:rsidR="00DB08E0" w:rsidRPr="00E05E60" w14:paraId="7D591391" w14:textId="77777777" w:rsidTr="00EC209C">
        <w:tc>
          <w:tcPr>
            <w:tcW w:w="1980" w:type="dxa"/>
            <w:shd w:val="clear" w:color="auto" w:fill="auto"/>
          </w:tcPr>
          <w:p w14:paraId="05AA61E2" w14:textId="77777777" w:rsidR="00DB08E0" w:rsidRPr="00E05E60" w:rsidRDefault="00DB08E0" w:rsidP="00EC209C">
            <w:pPr>
              <w:spacing w:before="360" w:after="360"/>
              <w:rPr>
                <w:rFonts w:eastAsia="Calibri"/>
                <w:b/>
                <w:sz w:val="24"/>
                <w:szCs w:val="24"/>
              </w:rPr>
            </w:pPr>
            <w:r w:rsidRPr="00E05E60">
              <w:rPr>
                <w:rFonts w:eastAsia="Calibri"/>
                <w:b/>
                <w:sz w:val="24"/>
                <w:szCs w:val="24"/>
              </w:rPr>
              <w:t>Section 2</w:t>
            </w:r>
          </w:p>
        </w:tc>
        <w:tc>
          <w:tcPr>
            <w:tcW w:w="7036" w:type="dxa"/>
            <w:shd w:val="clear" w:color="auto" w:fill="auto"/>
          </w:tcPr>
          <w:p w14:paraId="7479BD1E" w14:textId="77777777" w:rsidR="00DB08E0" w:rsidRPr="00E05E60" w:rsidRDefault="00DB08E0" w:rsidP="00EC209C">
            <w:pPr>
              <w:autoSpaceDE w:val="0"/>
              <w:autoSpaceDN w:val="0"/>
              <w:adjustRightInd w:val="0"/>
              <w:spacing w:before="360" w:after="360"/>
              <w:rPr>
                <w:rFonts w:eastAsia="Calibri"/>
                <w:sz w:val="24"/>
                <w:szCs w:val="24"/>
              </w:rPr>
            </w:pPr>
            <w:r w:rsidRPr="00E05E60">
              <w:rPr>
                <w:rFonts w:eastAsia="Calibri"/>
                <w:bCs/>
                <w:sz w:val="24"/>
                <w:szCs w:val="24"/>
              </w:rPr>
              <w:t xml:space="preserve">Risk Assessment to Determine the Adequacy of the General Reserve </w:t>
            </w:r>
          </w:p>
        </w:tc>
      </w:tr>
      <w:tr w:rsidR="00DB08E0" w:rsidRPr="00E05E60" w14:paraId="1C48C650" w14:textId="77777777" w:rsidTr="00EC209C">
        <w:tc>
          <w:tcPr>
            <w:tcW w:w="1980" w:type="dxa"/>
            <w:shd w:val="clear" w:color="auto" w:fill="auto"/>
          </w:tcPr>
          <w:p w14:paraId="5D50A2A0" w14:textId="77777777" w:rsidR="00DB08E0" w:rsidRPr="00E05E60" w:rsidRDefault="00DB08E0" w:rsidP="00EC209C">
            <w:pPr>
              <w:spacing w:before="360" w:after="360"/>
              <w:rPr>
                <w:rFonts w:eastAsia="Calibri"/>
                <w:b/>
                <w:sz w:val="24"/>
                <w:szCs w:val="24"/>
              </w:rPr>
            </w:pPr>
            <w:r w:rsidRPr="00E05E60">
              <w:rPr>
                <w:rFonts w:eastAsia="Calibri"/>
                <w:b/>
                <w:sz w:val="24"/>
                <w:szCs w:val="24"/>
              </w:rPr>
              <w:t>Section 3</w:t>
            </w:r>
          </w:p>
        </w:tc>
        <w:tc>
          <w:tcPr>
            <w:tcW w:w="7036" w:type="dxa"/>
            <w:shd w:val="clear" w:color="auto" w:fill="auto"/>
          </w:tcPr>
          <w:p w14:paraId="797BC530" w14:textId="77777777" w:rsidR="00DB08E0" w:rsidRPr="00E05E60" w:rsidRDefault="00DB08E0" w:rsidP="00EC209C">
            <w:pPr>
              <w:spacing w:before="360" w:after="360"/>
              <w:rPr>
                <w:rFonts w:eastAsia="Calibri"/>
                <w:sz w:val="24"/>
                <w:szCs w:val="24"/>
              </w:rPr>
            </w:pPr>
            <w:r w:rsidRPr="00E05E60">
              <w:rPr>
                <w:rFonts w:eastAsia="Calibri"/>
                <w:sz w:val="24"/>
                <w:szCs w:val="24"/>
              </w:rPr>
              <w:t>Annual Review of Earmarked Reserves</w:t>
            </w:r>
          </w:p>
        </w:tc>
      </w:tr>
      <w:tr w:rsidR="00DB08E0" w:rsidRPr="00E05E60" w14:paraId="7A7082BC" w14:textId="77777777" w:rsidTr="00EC209C">
        <w:tc>
          <w:tcPr>
            <w:tcW w:w="1980" w:type="dxa"/>
            <w:shd w:val="clear" w:color="auto" w:fill="auto"/>
          </w:tcPr>
          <w:p w14:paraId="2EECB8EA" w14:textId="77777777" w:rsidR="00DB08E0" w:rsidRPr="00E05E60" w:rsidRDefault="00DB08E0" w:rsidP="00EC209C">
            <w:pPr>
              <w:spacing w:before="360" w:after="360"/>
              <w:rPr>
                <w:rFonts w:eastAsia="Calibri"/>
                <w:b/>
                <w:sz w:val="24"/>
                <w:szCs w:val="24"/>
              </w:rPr>
            </w:pPr>
            <w:r w:rsidRPr="00E05E60">
              <w:rPr>
                <w:rFonts w:eastAsia="Calibri"/>
                <w:b/>
                <w:sz w:val="24"/>
                <w:szCs w:val="24"/>
              </w:rPr>
              <w:t>Section 4</w:t>
            </w:r>
          </w:p>
        </w:tc>
        <w:tc>
          <w:tcPr>
            <w:tcW w:w="7036" w:type="dxa"/>
            <w:shd w:val="clear" w:color="auto" w:fill="auto"/>
          </w:tcPr>
          <w:p w14:paraId="4A7EB848" w14:textId="77777777" w:rsidR="00DB08E0" w:rsidRPr="00E05E60" w:rsidRDefault="00DB08E0" w:rsidP="00EC209C">
            <w:pPr>
              <w:spacing w:before="360" w:after="360"/>
              <w:rPr>
                <w:rFonts w:eastAsia="Calibri"/>
                <w:sz w:val="24"/>
                <w:szCs w:val="24"/>
              </w:rPr>
            </w:pPr>
            <w:r w:rsidRPr="00E05E60">
              <w:rPr>
                <w:rFonts w:eastAsia="Calibri"/>
                <w:sz w:val="24"/>
                <w:szCs w:val="24"/>
              </w:rPr>
              <w:t>Summary</w:t>
            </w:r>
          </w:p>
        </w:tc>
      </w:tr>
      <w:tr w:rsidR="00DB08E0" w:rsidRPr="00E05E60" w14:paraId="6B4011D4" w14:textId="77777777" w:rsidTr="00EC209C">
        <w:tc>
          <w:tcPr>
            <w:tcW w:w="1980" w:type="dxa"/>
            <w:shd w:val="clear" w:color="auto" w:fill="auto"/>
          </w:tcPr>
          <w:p w14:paraId="49546BAB" w14:textId="77777777" w:rsidR="00DB08E0" w:rsidRPr="00E05E60" w:rsidRDefault="00DB08E0" w:rsidP="00EC209C">
            <w:pPr>
              <w:spacing w:before="360" w:after="360"/>
              <w:rPr>
                <w:rFonts w:eastAsia="Calibri"/>
                <w:b/>
                <w:sz w:val="24"/>
                <w:szCs w:val="24"/>
              </w:rPr>
            </w:pPr>
            <w:r w:rsidRPr="00E05E60">
              <w:rPr>
                <w:rFonts w:eastAsia="Calibri"/>
                <w:b/>
                <w:sz w:val="24"/>
                <w:szCs w:val="24"/>
              </w:rPr>
              <w:t>Appendix A</w:t>
            </w:r>
          </w:p>
        </w:tc>
        <w:tc>
          <w:tcPr>
            <w:tcW w:w="7036" w:type="dxa"/>
            <w:shd w:val="clear" w:color="auto" w:fill="auto"/>
          </w:tcPr>
          <w:p w14:paraId="46B36540" w14:textId="77777777" w:rsidR="00DB08E0" w:rsidRPr="00E05E60" w:rsidRDefault="004B6C98" w:rsidP="00EC209C">
            <w:pPr>
              <w:spacing w:before="360" w:after="360"/>
              <w:rPr>
                <w:rFonts w:eastAsia="Calibri"/>
                <w:sz w:val="24"/>
                <w:szCs w:val="24"/>
              </w:rPr>
            </w:pPr>
            <w:r>
              <w:rPr>
                <w:rFonts w:eastAsia="Calibri"/>
                <w:sz w:val="24"/>
                <w:szCs w:val="24"/>
              </w:rPr>
              <w:t>2024/25</w:t>
            </w:r>
            <w:r w:rsidR="00DB08E0" w:rsidRPr="00E05E60">
              <w:rPr>
                <w:rFonts w:eastAsia="Calibri"/>
                <w:sz w:val="24"/>
                <w:szCs w:val="24"/>
              </w:rPr>
              <w:t xml:space="preserve"> Risk Assessment of General Fund Reserve</w:t>
            </w:r>
          </w:p>
        </w:tc>
      </w:tr>
      <w:tr w:rsidR="00DB08E0" w:rsidRPr="00E05E60" w14:paraId="6A57C1EB" w14:textId="77777777" w:rsidTr="00EC209C">
        <w:tc>
          <w:tcPr>
            <w:tcW w:w="1980" w:type="dxa"/>
            <w:shd w:val="clear" w:color="auto" w:fill="auto"/>
          </w:tcPr>
          <w:p w14:paraId="13F8DA18" w14:textId="77777777" w:rsidR="00DB08E0" w:rsidRPr="00E05E60" w:rsidRDefault="00DB08E0" w:rsidP="00EC209C">
            <w:pPr>
              <w:spacing w:before="360" w:after="360"/>
              <w:rPr>
                <w:rFonts w:eastAsia="Calibri"/>
                <w:b/>
                <w:sz w:val="24"/>
                <w:szCs w:val="24"/>
              </w:rPr>
            </w:pPr>
            <w:r w:rsidRPr="00E05E60">
              <w:rPr>
                <w:rFonts w:eastAsia="Calibri"/>
                <w:b/>
                <w:sz w:val="24"/>
                <w:szCs w:val="24"/>
              </w:rPr>
              <w:t>Appendix B</w:t>
            </w:r>
          </w:p>
        </w:tc>
        <w:tc>
          <w:tcPr>
            <w:tcW w:w="7036" w:type="dxa"/>
            <w:shd w:val="clear" w:color="auto" w:fill="auto"/>
          </w:tcPr>
          <w:p w14:paraId="4CD389BC" w14:textId="77777777" w:rsidR="00DB08E0" w:rsidRPr="00E05E60" w:rsidRDefault="00DB08E0" w:rsidP="00EC209C">
            <w:pPr>
              <w:spacing w:before="360" w:after="360"/>
              <w:rPr>
                <w:rFonts w:eastAsia="Calibri"/>
                <w:sz w:val="24"/>
                <w:szCs w:val="24"/>
              </w:rPr>
            </w:pPr>
            <w:r w:rsidRPr="00E05E60">
              <w:rPr>
                <w:rFonts w:eastAsia="Calibri"/>
                <w:sz w:val="24"/>
                <w:szCs w:val="24"/>
              </w:rPr>
              <w:t>Earmarked Reserves</w:t>
            </w:r>
          </w:p>
        </w:tc>
      </w:tr>
      <w:tr w:rsidR="00922359" w:rsidRPr="00E05E60" w14:paraId="7CC60257" w14:textId="77777777" w:rsidTr="00EC209C">
        <w:tc>
          <w:tcPr>
            <w:tcW w:w="1980" w:type="dxa"/>
            <w:shd w:val="clear" w:color="auto" w:fill="auto"/>
          </w:tcPr>
          <w:p w14:paraId="43B73F4B" w14:textId="77777777" w:rsidR="00922359" w:rsidRPr="00E05E60" w:rsidRDefault="00922359" w:rsidP="00EC209C">
            <w:pPr>
              <w:spacing w:before="360" w:after="360"/>
              <w:rPr>
                <w:rFonts w:eastAsia="Calibri"/>
                <w:b/>
                <w:sz w:val="24"/>
                <w:szCs w:val="24"/>
              </w:rPr>
            </w:pPr>
            <w:r w:rsidRPr="00E05E60">
              <w:rPr>
                <w:rFonts w:eastAsia="Calibri"/>
                <w:b/>
                <w:sz w:val="24"/>
                <w:szCs w:val="24"/>
              </w:rPr>
              <w:t>Appendix C</w:t>
            </w:r>
          </w:p>
        </w:tc>
        <w:tc>
          <w:tcPr>
            <w:tcW w:w="7036" w:type="dxa"/>
            <w:shd w:val="clear" w:color="auto" w:fill="auto"/>
          </w:tcPr>
          <w:p w14:paraId="680401CD" w14:textId="77777777" w:rsidR="00922359" w:rsidRPr="00E05E60" w:rsidRDefault="00922359" w:rsidP="00EC209C">
            <w:pPr>
              <w:spacing w:before="360" w:after="360"/>
              <w:rPr>
                <w:rFonts w:eastAsia="Calibri"/>
                <w:sz w:val="24"/>
                <w:szCs w:val="24"/>
              </w:rPr>
            </w:pPr>
            <w:r w:rsidRPr="00E05E60">
              <w:rPr>
                <w:rFonts w:eastAsia="Calibri"/>
                <w:sz w:val="24"/>
                <w:szCs w:val="24"/>
              </w:rPr>
              <w:t>Details on Individual Reserves</w:t>
            </w:r>
          </w:p>
        </w:tc>
      </w:tr>
    </w:tbl>
    <w:p w14:paraId="5354C0E2" w14:textId="77777777" w:rsidR="00DB08E0" w:rsidRPr="00E05E60" w:rsidRDefault="00DB08E0" w:rsidP="00DB08E0"/>
    <w:p w14:paraId="757892E9" w14:textId="77777777" w:rsidR="00DB08E0" w:rsidRPr="00E05E60" w:rsidRDefault="00DB08E0" w:rsidP="00DB08E0"/>
    <w:p w14:paraId="2DA8FBAB" w14:textId="77777777" w:rsidR="00DB08E0" w:rsidRPr="00E05E60" w:rsidRDefault="00DB08E0" w:rsidP="00DB08E0">
      <w:pPr>
        <w:spacing w:after="160" w:line="259" w:lineRule="auto"/>
      </w:pPr>
      <w:r w:rsidRPr="00E05E60">
        <w:br w:type="page"/>
      </w:r>
    </w:p>
    <w:p w14:paraId="46CB8EE3" w14:textId="77777777" w:rsidR="00DB08E0" w:rsidRPr="00E05E60" w:rsidRDefault="00DB08E0" w:rsidP="00DB08E0">
      <w:pPr>
        <w:autoSpaceDE w:val="0"/>
        <w:autoSpaceDN w:val="0"/>
        <w:adjustRightInd w:val="0"/>
        <w:rPr>
          <w:sz w:val="24"/>
          <w:szCs w:val="24"/>
        </w:rPr>
      </w:pPr>
      <w:r w:rsidRPr="00E05E60">
        <w:rPr>
          <w:b/>
          <w:bCs/>
          <w:sz w:val="24"/>
          <w:szCs w:val="24"/>
        </w:rPr>
        <w:lastRenderedPageBreak/>
        <w:t>1</w:t>
      </w:r>
      <w:r w:rsidRPr="00E05E60">
        <w:rPr>
          <w:b/>
          <w:bCs/>
          <w:sz w:val="24"/>
          <w:szCs w:val="24"/>
        </w:rPr>
        <w:tab/>
        <w:t>INTRODUCTION AND BACKGROUND</w:t>
      </w:r>
    </w:p>
    <w:p w14:paraId="0A35640C" w14:textId="77777777" w:rsidR="00DB08E0" w:rsidRPr="00E05E60" w:rsidRDefault="00DB08E0" w:rsidP="00DB08E0">
      <w:pPr>
        <w:autoSpaceDE w:val="0"/>
        <w:autoSpaceDN w:val="0"/>
        <w:adjustRightInd w:val="0"/>
        <w:rPr>
          <w:sz w:val="24"/>
          <w:szCs w:val="24"/>
        </w:rPr>
      </w:pPr>
    </w:p>
    <w:p w14:paraId="3D4BE212" w14:textId="77777777" w:rsidR="00DB08E0" w:rsidRPr="00A518C1" w:rsidRDefault="00DB08E0" w:rsidP="00DB08E0">
      <w:pPr>
        <w:autoSpaceDE w:val="0"/>
        <w:autoSpaceDN w:val="0"/>
        <w:adjustRightInd w:val="0"/>
        <w:ind w:left="709" w:hanging="709"/>
        <w:rPr>
          <w:sz w:val="24"/>
          <w:szCs w:val="24"/>
        </w:rPr>
      </w:pPr>
      <w:r w:rsidRPr="00E05E60">
        <w:rPr>
          <w:sz w:val="24"/>
          <w:szCs w:val="24"/>
        </w:rPr>
        <w:t>1.1</w:t>
      </w:r>
      <w:r w:rsidRPr="00E05E60">
        <w:rPr>
          <w:sz w:val="24"/>
          <w:szCs w:val="24"/>
        </w:rPr>
        <w:tab/>
      </w:r>
      <w:r w:rsidRPr="00A518C1">
        <w:rPr>
          <w:sz w:val="24"/>
          <w:szCs w:val="24"/>
        </w:rPr>
        <w:t>Sections 32 and 43 of the Local Government Finance Act 1992 require that, when setting the budget for the forthcoming year, precepting authorities should have regard to the level of reserves needed to provide sufficient resources to finance estimated future expenditure, plus any appropriate allowances that should be made for contingencies.</w:t>
      </w:r>
    </w:p>
    <w:p w14:paraId="232CB1D8" w14:textId="77777777" w:rsidR="00DB08E0" w:rsidRPr="00A518C1" w:rsidRDefault="00DB08E0" w:rsidP="00DB08E0">
      <w:pPr>
        <w:autoSpaceDE w:val="0"/>
        <w:autoSpaceDN w:val="0"/>
        <w:adjustRightInd w:val="0"/>
        <w:ind w:left="709" w:hanging="709"/>
        <w:rPr>
          <w:sz w:val="24"/>
          <w:szCs w:val="24"/>
        </w:rPr>
      </w:pPr>
    </w:p>
    <w:p w14:paraId="04AF7521" w14:textId="77777777" w:rsidR="00DB08E0" w:rsidRPr="00A518C1" w:rsidRDefault="00DB08E0" w:rsidP="00DB08E0">
      <w:pPr>
        <w:autoSpaceDE w:val="0"/>
        <w:autoSpaceDN w:val="0"/>
        <w:adjustRightInd w:val="0"/>
        <w:ind w:left="709" w:hanging="709"/>
        <w:rPr>
          <w:sz w:val="24"/>
          <w:szCs w:val="24"/>
        </w:rPr>
      </w:pPr>
      <w:r w:rsidRPr="00A518C1">
        <w:rPr>
          <w:sz w:val="24"/>
          <w:szCs w:val="24"/>
        </w:rPr>
        <w:t>1.2</w:t>
      </w:r>
      <w:r w:rsidRPr="00A518C1">
        <w:rPr>
          <w:sz w:val="24"/>
          <w:szCs w:val="24"/>
        </w:rPr>
        <w:tab/>
        <w:t xml:space="preserve">Best practice on the use and management of reserves and balances is provided by CIPFA and the Local Authority Accounting Panel (LAAP) guidance, specifically LAAP Bulletin 99 - ‘Local Authority Reserves and Balances’ which was issued in July 2014. </w:t>
      </w:r>
    </w:p>
    <w:p w14:paraId="5A2D154E" w14:textId="77777777" w:rsidR="00DB08E0" w:rsidRPr="00A518C1" w:rsidRDefault="00DB08E0" w:rsidP="00DB08E0">
      <w:pPr>
        <w:autoSpaceDE w:val="0"/>
        <w:autoSpaceDN w:val="0"/>
        <w:adjustRightInd w:val="0"/>
        <w:ind w:left="709" w:hanging="709"/>
        <w:rPr>
          <w:sz w:val="24"/>
          <w:szCs w:val="24"/>
        </w:rPr>
      </w:pPr>
    </w:p>
    <w:p w14:paraId="0E973285" w14:textId="77777777" w:rsidR="00DB08E0" w:rsidRPr="00E05E60" w:rsidRDefault="00DB08E0" w:rsidP="00DB08E0">
      <w:pPr>
        <w:autoSpaceDE w:val="0"/>
        <w:autoSpaceDN w:val="0"/>
        <w:adjustRightInd w:val="0"/>
        <w:ind w:left="709" w:hanging="709"/>
        <w:rPr>
          <w:sz w:val="24"/>
          <w:szCs w:val="24"/>
        </w:rPr>
      </w:pPr>
      <w:r w:rsidRPr="00A518C1">
        <w:rPr>
          <w:sz w:val="24"/>
          <w:szCs w:val="24"/>
        </w:rPr>
        <w:t>1.3</w:t>
      </w:r>
      <w:r w:rsidRPr="00A518C1">
        <w:rPr>
          <w:sz w:val="24"/>
          <w:szCs w:val="24"/>
        </w:rPr>
        <w:tab/>
        <w:t>In May 2018 the Government published the New Fire and Rescue Services Framework which introduces a requirement for Combined Fire and Rescue Authorities to publish a Reserve Strategy on their website</w:t>
      </w:r>
      <w:r w:rsidR="00D5653B" w:rsidRPr="00A518C1">
        <w:rPr>
          <w:sz w:val="24"/>
          <w:szCs w:val="24"/>
        </w:rPr>
        <w:t>.</w:t>
      </w:r>
      <w:r w:rsidRPr="00A518C1">
        <w:rPr>
          <w:sz w:val="24"/>
          <w:szCs w:val="24"/>
        </w:rPr>
        <w:t xml:space="preserve"> The Reserves Strategy can form part of the Medium Term Financial Strategy (MTFS) or be a stand-alone document.</w:t>
      </w:r>
    </w:p>
    <w:p w14:paraId="5979E258" w14:textId="77777777" w:rsidR="00DB08E0" w:rsidRPr="00E05E60" w:rsidRDefault="00DB08E0" w:rsidP="00DB08E0">
      <w:pPr>
        <w:autoSpaceDE w:val="0"/>
        <w:autoSpaceDN w:val="0"/>
        <w:adjustRightInd w:val="0"/>
        <w:ind w:left="709" w:hanging="709"/>
        <w:rPr>
          <w:sz w:val="24"/>
          <w:szCs w:val="24"/>
        </w:rPr>
      </w:pPr>
    </w:p>
    <w:p w14:paraId="33ED357E" w14:textId="77777777" w:rsidR="00DB08E0" w:rsidRPr="00E05E60" w:rsidRDefault="00DB08E0" w:rsidP="00DB08E0">
      <w:pPr>
        <w:autoSpaceDE w:val="0"/>
        <w:autoSpaceDN w:val="0"/>
        <w:adjustRightInd w:val="0"/>
        <w:rPr>
          <w:sz w:val="24"/>
          <w:szCs w:val="24"/>
        </w:rPr>
      </w:pPr>
      <w:r w:rsidRPr="00E05E60">
        <w:rPr>
          <w:b/>
          <w:bCs/>
          <w:sz w:val="24"/>
          <w:szCs w:val="24"/>
        </w:rPr>
        <w:t>STRATEGIC CONTEXT</w:t>
      </w:r>
    </w:p>
    <w:p w14:paraId="2E29EF5A" w14:textId="77777777" w:rsidR="00DB08E0" w:rsidRPr="00E05E60" w:rsidRDefault="00DB08E0" w:rsidP="00DB08E0">
      <w:pPr>
        <w:autoSpaceDE w:val="0"/>
        <w:autoSpaceDN w:val="0"/>
        <w:adjustRightInd w:val="0"/>
        <w:rPr>
          <w:sz w:val="24"/>
          <w:szCs w:val="24"/>
        </w:rPr>
      </w:pPr>
    </w:p>
    <w:p w14:paraId="19D01B9A" w14:textId="77777777" w:rsidR="00DB08E0" w:rsidRPr="00A518C1" w:rsidRDefault="00DB08E0" w:rsidP="00DB08E0">
      <w:pPr>
        <w:autoSpaceDE w:val="0"/>
        <w:autoSpaceDN w:val="0"/>
        <w:adjustRightInd w:val="0"/>
        <w:ind w:left="709" w:hanging="709"/>
        <w:rPr>
          <w:sz w:val="24"/>
          <w:szCs w:val="24"/>
        </w:rPr>
      </w:pPr>
      <w:r w:rsidRPr="00785601">
        <w:rPr>
          <w:sz w:val="24"/>
          <w:szCs w:val="24"/>
        </w:rPr>
        <w:t>1.</w:t>
      </w:r>
      <w:r w:rsidR="001F556A" w:rsidRPr="00785601">
        <w:rPr>
          <w:sz w:val="24"/>
          <w:szCs w:val="24"/>
        </w:rPr>
        <w:t>4</w:t>
      </w:r>
      <w:r w:rsidRPr="00785601">
        <w:rPr>
          <w:sz w:val="24"/>
          <w:szCs w:val="24"/>
        </w:rPr>
        <w:tab/>
        <w:t xml:space="preserve">There are a number of reasons why a Local Government Authority might hold </w:t>
      </w:r>
      <w:r w:rsidRPr="00A518C1">
        <w:rPr>
          <w:sz w:val="24"/>
          <w:szCs w:val="24"/>
        </w:rPr>
        <w:t>reserves.  these include to:</w:t>
      </w:r>
    </w:p>
    <w:p w14:paraId="5FBF967F" w14:textId="77777777" w:rsidR="00DB08E0" w:rsidRPr="00A518C1" w:rsidRDefault="00DB08E0" w:rsidP="00DB08E0">
      <w:pPr>
        <w:autoSpaceDE w:val="0"/>
        <w:autoSpaceDN w:val="0"/>
        <w:adjustRightInd w:val="0"/>
        <w:rPr>
          <w:sz w:val="24"/>
          <w:szCs w:val="24"/>
        </w:rPr>
      </w:pPr>
    </w:p>
    <w:p w14:paraId="53FD5EC7" w14:textId="77777777" w:rsidR="00DB08E0" w:rsidRPr="00A518C1" w:rsidRDefault="00DB08E0" w:rsidP="00332C87">
      <w:pPr>
        <w:numPr>
          <w:ilvl w:val="0"/>
          <w:numId w:val="17"/>
        </w:numPr>
        <w:autoSpaceDE w:val="0"/>
        <w:autoSpaceDN w:val="0"/>
        <w:adjustRightInd w:val="0"/>
        <w:spacing w:after="200"/>
        <w:contextualSpacing/>
        <w:rPr>
          <w:rFonts w:eastAsia="Calibri"/>
          <w:sz w:val="24"/>
          <w:szCs w:val="24"/>
        </w:rPr>
      </w:pPr>
      <w:r w:rsidRPr="00A518C1">
        <w:rPr>
          <w:rFonts w:eastAsia="Calibri"/>
          <w:sz w:val="24"/>
          <w:szCs w:val="24"/>
        </w:rPr>
        <w:t>Mitigate potential future risks such as increased demand and costs</w:t>
      </w:r>
    </w:p>
    <w:p w14:paraId="3A29CD90" w14:textId="77777777" w:rsidR="00DB08E0" w:rsidRPr="00A518C1" w:rsidRDefault="00DB08E0" w:rsidP="00332C87">
      <w:pPr>
        <w:numPr>
          <w:ilvl w:val="0"/>
          <w:numId w:val="17"/>
        </w:numPr>
        <w:autoSpaceDE w:val="0"/>
        <w:autoSpaceDN w:val="0"/>
        <w:adjustRightInd w:val="0"/>
        <w:spacing w:after="200"/>
        <w:contextualSpacing/>
        <w:rPr>
          <w:rFonts w:eastAsia="Calibri"/>
          <w:sz w:val="24"/>
          <w:szCs w:val="24"/>
        </w:rPr>
      </w:pPr>
      <w:r w:rsidRPr="00A518C1">
        <w:rPr>
          <w:rFonts w:eastAsia="Calibri"/>
          <w:sz w:val="24"/>
          <w:szCs w:val="24"/>
        </w:rPr>
        <w:t>Help absorb the costs of future liabilities</w:t>
      </w:r>
    </w:p>
    <w:p w14:paraId="70BFDBE9" w14:textId="77777777" w:rsidR="00DB08E0" w:rsidRPr="00A518C1" w:rsidRDefault="00DB08E0" w:rsidP="00332C87">
      <w:pPr>
        <w:numPr>
          <w:ilvl w:val="0"/>
          <w:numId w:val="17"/>
        </w:numPr>
        <w:autoSpaceDE w:val="0"/>
        <w:autoSpaceDN w:val="0"/>
        <w:adjustRightInd w:val="0"/>
        <w:spacing w:after="200"/>
        <w:contextualSpacing/>
        <w:rPr>
          <w:rFonts w:eastAsia="Calibri"/>
          <w:sz w:val="24"/>
          <w:szCs w:val="24"/>
        </w:rPr>
      </w:pPr>
      <w:r w:rsidRPr="00A518C1">
        <w:rPr>
          <w:rFonts w:eastAsia="Calibri"/>
          <w:sz w:val="24"/>
          <w:szCs w:val="24"/>
        </w:rPr>
        <w:t>Temporarily bridge a funding gap should resources be reduced suddenly</w:t>
      </w:r>
    </w:p>
    <w:p w14:paraId="0B64683E" w14:textId="77777777" w:rsidR="00DB08E0" w:rsidRPr="00A518C1" w:rsidRDefault="00DB08E0" w:rsidP="00332C87">
      <w:pPr>
        <w:numPr>
          <w:ilvl w:val="0"/>
          <w:numId w:val="17"/>
        </w:numPr>
        <w:autoSpaceDE w:val="0"/>
        <w:autoSpaceDN w:val="0"/>
        <w:adjustRightInd w:val="0"/>
        <w:spacing w:after="200"/>
        <w:contextualSpacing/>
        <w:rPr>
          <w:rFonts w:eastAsia="Calibri"/>
          <w:sz w:val="24"/>
          <w:szCs w:val="24"/>
        </w:rPr>
      </w:pPr>
      <w:r w:rsidRPr="00A518C1">
        <w:rPr>
          <w:rFonts w:eastAsia="Calibri"/>
          <w:sz w:val="24"/>
          <w:szCs w:val="24"/>
        </w:rPr>
        <w:t xml:space="preserve">Enable the Authority to resource one-off policy developments and initiatives without causing an unduly disruptive impact on </w:t>
      </w:r>
      <w:r w:rsidR="002C4677">
        <w:rPr>
          <w:rFonts w:eastAsia="Calibri"/>
          <w:sz w:val="24"/>
          <w:szCs w:val="24"/>
        </w:rPr>
        <w:t>c</w:t>
      </w:r>
      <w:r w:rsidRPr="00A518C1">
        <w:rPr>
          <w:rFonts w:eastAsia="Calibri"/>
          <w:sz w:val="24"/>
          <w:szCs w:val="24"/>
        </w:rPr>
        <w:t xml:space="preserve">ouncil </w:t>
      </w:r>
      <w:r w:rsidR="002C4677">
        <w:rPr>
          <w:rFonts w:eastAsia="Calibri"/>
          <w:sz w:val="24"/>
          <w:szCs w:val="24"/>
        </w:rPr>
        <w:t>t</w:t>
      </w:r>
      <w:r w:rsidRPr="00A518C1">
        <w:rPr>
          <w:rFonts w:eastAsia="Calibri"/>
          <w:sz w:val="24"/>
          <w:szCs w:val="24"/>
        </w:rPr>
        <w:t>ax</w:t>
      </w:r>
    </w:p>
    <w:p w14:paraId="25FFC9E6" w14:textId="77777777" w:rsidR="00DB08E0" w:rsidRPr="00A518C1" w:rsidRDefault="00DB08E0" w:rsidP="00332C87">
      <w:pPr>
        <w:numPr>
          <w:ilvl w:val="0"/>
          <w:numId w:val="17"/>
        </w:numPr>
        <w:autoSpaceDE w:val="0"/>
        <w:autoSpaceDN w:val="0"/>
        <w:adjustRightInd w:val="0"/>
        <w:spacing w:after="200"/>
        <w:contextualSpacing/>
        <w:rPr>
          <w:rFonts w:eastAsia="Calibri"/>
          <w:sz w:val="24"/>
          <w:szCs w:val="24"/>
        </w:rPr>
      </w:pPr>
      <w:r w:rsidRPr="00A518C1">
        <w:rPr>
          <w:rFonts w:eastAsia="Calibri"/>
          <w:sz w:val="24"/>
          <w:szCs w:val="24"/>
        </w:rPr>
        <w:t>Spread the cost of large scale projects which span a number of years.</w:t>
      </w:r>
    </w:p>
    <w:p w14:paraId="60F138F2" w14:textId="77777777" w:rsidR="00DB08E0" w:rsidRPr="00A518C1" w:rsidRDefault="00DB08E0" w:rsidP="00DB08E0">
      <w:pPr>
        <w:autoSpaceDE w:val="0"/>
        <w:autoSpaceDN w:val="0"/>
        <w:adjustRightInd w:val="0"/>
        <w:spacing w:after="200"/>
        <w:ind w:left="1080"/>
        <w:contextualSpacing/>
        <w:rPr>
          <w:rFonts w:eastAsia="Calibri"/>
          <w:sz w:val="24"/>
          <w:szCs w:val="24"/>
        </w:rPr>
      </w:pPr>
    </w:p>
    <w:p w14:paraId="21228531" w14:textId="77777777" w:rsidR="00DB08E0" w:rsidRPr="00A518C1" w:rsidRDefault="00DB08E0" w:rsidP="00DB08E0">
      <w:pPr>
        <w:autoSpaceDE w:val="0"/>
        <w:autoSpaceDN w:val="0"/>
        <w:adjustRightInd w:val="0"/>
        <w:ind w:left="709" w:hanging="709"/>
        <w:rPr>
          <w:sz w:val="24"/>
          <w:szCs w:val="24"/>
        </w:rPr>
      </w:pPr>
      <w:r w:rsidRPr="00A518C1">
        <w:rPr>
          <w:sz w:val="24"/>
          <w:szCs w:val="24"/>
        </w:rPr>
        <w:t>1.</w:t>
      </w:r>
      <w:r w:rsidR="001F556A" w:rsidRPr="00A518C1">
        <w:rPr>
          <w:sz w:val="24"/>
          <w:szCs w:val="24"/>
        </w:rPr>
        <w:t>5</w:t>
      </w:r>
      <w:r w:rsidRPr="00A518C1">
        <w:rPr>
          <w:sz w:val="24"/>
          <w:szCs w:val="24"/>
        </w:rPr>
        <w:tab/>
        <w:t>Reserves only provide one-off funding so the Authority aims to avoid using reserves to meet regular and ongoing financial commitments, other than as part of a sustainable medium-term budget plan.</w:t>
      </w:r>
    </w:p>
    <w:p w14:paraId="445C6425" w14:textId="77777777" w:rsidR="00DB08E0" w:rsidRPr="00A518C1" w:rsidRDefault="00DB08E0" w:rsidP="00DB08E0">
      <w:pPr>
        <w:autoSpaceDE w:val="0"/>
        <w:autoSpaceDN w:val="0"/>
        <w:adjustRightInd w:val="0"/>
        <w:ind w:left="709" w:hanging="709"/>
        <w:rPr>
          <w:sz w:val="24"/>
          <w:szCs w:val="24"/>
        </w:rPr>
      </w:pPr>
    </w:p>
    <w:p w14:paraId="277AB3E3" w14:textId="77777777" w:rsidR="00DB08E0" w:rsidRPr="00A518C1" w:rsidRDefault="00DB08E0" w:rsidP="00DB08E0">
      <w:pPr>
        <w:autoSpaceDE w:val="0"/>
        <w:autoSpaceDN w:val="0"/>
        <w:adjustRightInd w:val="0"/>
        <w:ind w:left="709" w:hanging="709"/>
        <w:rPr>
          <w:sz w:val="24"/>
          <w:szCs w:val="24"/>
        </w:rPr>
      </w:pPr>
      <w:r w:rsidRPr="00A518C1">
        <w:rPr>
          <w:bCs/>
          <w:sz w:val="24"/>
          <w:szCs w:val="24"/>
        </w:rPr>
        <w:t>1.</w:t>
      </w:r>
      <w:r w:rsidR="001F556A" w:rsidRPr="00A518C1">
        <w:rPr>
          <w:bCs/>
          <w:sz w:val="24"/>
          <w:szCs w:val="24"/>
        </w:rPr>
        <w:t>6</w:t>
      </w:r>
      <w:r w:rsidRPr="00A518C1">
        <w:rPr>
          <w:bCs/>
          <w:sz w:val="24"/>
          <w:szCs w:val="24"/>
        </w:rPr>
        <w:tab/>
      </w:r>
      <w:r w:rsidRPr="00A518C1">
        <w:rPr>
          <w:b/>
          <w:bCs/>
          <w:sz w:val="24"/>
          <w:szCs w:val="24"/>
        </w:rPr>
        <w:t xml:space="preserve">Long-Term Sustainability </w:t>
      </w:r>
      <w:r w:rsidRPr="00A518C1">
        <w:rPr>
          <w:sz w:val="24"/>
          <w:szCs w:val="24"/>
        </w:rPr>
        <w:t xml:space="preserve">- Reserves are an essential tool to ensure long term budget stability particularly at a time when the Authority is facing significant year on year reductions in grant funding over the medium term. </w:t>
      </w:r>
    </w:p>
    <w:p w14:paraId="2953DA24" w14:textId="77777777" w:rsidR="00DB08E0" w:rsidRPr="00A518C1" w:rsidRDefault="00DB08E0" w:rsidP="00DB08E0">
      <w:pPr>
        <w:autoSpaceDE w:val="0"/>
        <w:autoSpaceDN w:val="0"/>
        <w:adjustRightInd w:val="0"/>
        <w:ind w:left="709" w:hanging="709"/>
        <w:rPr>
          <w:sz w:val="24"/>
          <w:szCs w:val="24"/>
        </w:rPr>
      </w:pPr>
    </w:p>
    <w:p w14:paraId="10E46648" w14:textId="77777777" w:rsidR="00DB08E0" w:rsidRPr="00A518C1" w:rsidRDefault="00DB08E0" w:rsidP="00DB08E0">
      <w:pPr>
        <w:autoSpaceDE w:val="0"/>
        <w:autoSpaceDN w:val="0"/>
        <w:adjustRightInd w:val="0"/>
        <w:ind w:left="709" w:hanging="709"/>
        <w:rPr>
          <w:sz w:val="24"/>
          <w:szCs w:val="24"/>
        </w:rPr>
      </w:pPr>
      <w:r w:rsidRPr="00A518C1">
        <w:rPr>
          <w:sz w:val="24"/>
          <w:szCs w:val="24"/>
        </w:rPr>
        <w:t>1.</w:t>
      </w:r>
      <w:r w:rsidR="001F556A" w:rsidRPr="00A518C1">
        <w:rPr>
          <w:sz w:val="24"/>
          <w:szCs w:val="24"/>
        </w:rPr>
        <w:t>7</w:t>
      </w:r>
      <w:r w:rsidRPr="00A518C1">
        <w:rPr>
          <w:sz w:val="24"/>
          <w:szCs w:val="24"/>
        </w:rPr>
        <w:tab/>
        <w:t xml:space="preserve">Reserve balances have been identified as a key indicator of financial health and the Authority continues to have an appropriate level of reserves to deal with identified risks. As a minimum, there are sufficient balances to support the budget requirements and provide an adequate contingency for budget risks. </w:t>
      </w:r>
    </w:p>
    <w:p w14:paraId="25348B69" w14:textId="77777777" w:rsidR="00DB08E0" w:rsidRPr="00A518C1" w:rsidRDefault="00DB08E0" w:rsidP="00DB08E0">
      <w:pPr>
        <w:autoSpaceDE w:val="0"/>
        <w:autoSpaceDN w:val="0"/>
        <w:adjustRightInd w:val="0"/>
        <w:rPr>
          <w:sz w:val="24"/>
          <w:szCs w:val="24"/>
        </w:rPr>
      </w:pPr>
    </w:p>
    <w:p w14:paraId="6BD4F7E9" w14:textId="77777777" w:rsidR="00DB08E0" w:rsidRPr="00E05E60" w:rsidRDefault="00DB08E0" w:rsidP="00EF766A">
      <w:pPr>
        <w:autoSpaceDE w:val="0"/>
        <w:autoSpaceDN w:val="0"/>
        <w:adjustRightInd w:val="0"/>
        <w:ind w:left="709" w:hanging="709"/>
        <w:rPr>
          <w:sz w:val="24"/>
          <w:szCs w:val="24"/>
        </w:rPr>
      </w:pPr>
      <w:r w:rsidRPr="00A518C1">
        <w:rPr>
          <w:sz w:val="24"/>
          <w:szCs w:val="24"/>
        </w:rPr>
        <w:t>1.</w:t>
      </w:r>
      <w:r w:rsidR="001F556A" w:rsidRPr="00A518C1">
        <w:rPr>
          <w:sz w:val="24"/>
          <w:szCs w:val="24"/>
        </w:rPr>
        <w:t>8</w:t>
      </w:r>
      <w:r w:rsidRPr="00A518C1">
        <w:rPr>
          <w:sz w:val="24"/>
          <w:szCs w:val="24"/>
        </w:rPr>
        <w:tab/>
        <w:t>There are two different types of reserve</w:t>
      </w:r>
      <w:r w:rsidR="00EF766A" w:rsidRPr="00A518C1">
        <w:rPr>
          <w:sz w:val="24"/>
          <w:szCs w:val="24"/>
        </w:rPr>
        <w:t xml:space="preserve">s and in addition to these, provisions can </w:t>
      </w:r>
      <w:r w:rsidR="00AD596B" w:rsidRPr="00A518C1">
        <w:rPr>
          <w:sz w:val="24"/>
          <w:szCs w:val="24"/>
        </w:rPr>
        <w:t>be held</w:t>
      </w:r>
      <w:r w:rsidR="00EF766A" w:rsidRPr="00A518C1">
        <w:rPr>
          <w:sz w:val="24"/>
          <w:szCs w:val="24"/>
        </w:rPr>
        <w:t xml:space="preserve"> for more certain commitments:</w:t>
      </w:r>
    </w:p>
    <w:p w14:paraId="64378B65" w14:textId="77777777" w:rsidR="00DB08E0" w:rsidRPr="00E05E60" w:rsidRDefault="00DB08E0" w:rsidP="00DB08E0">
      <w:pPr>
        <w:autoSpaceDE w:val="0"/>
        <w:autoSpaceDN w:val="0"/>
        <w:adjustRightInd w:val="0"/>
        <w:rPr>
          <w:sz w:val="24"/>
          <w:szCs w:val="24"/>
        </w:rPr>
      </w:pPr>
    </w:p>
    <w:p w14:paraId="41EB954E" w14:textId="77777777" w:rsidR="00DB08E0" w:rsidRPr="00A518C1" w:rsidRDefault="00DB08E0" w:rsidP="00DB08E0">
      <w:pPr>
        <w:autoSpaceDE w:val="0"/>
        <w:autoSpaceDN w:val="0"/>
        <w:adjustRightInd w:val="0"/>
        <w:ind w:left="709"/>
        <w:rPr>
          <w:sz w:val="24"/>
          <w:szCs w:val="24"/>
        </w:rPr>
      </w:pPr>
      <w:r w:rsidRPr="00A518C1">
        <w:rPr>
          <w:b/>
          <w:i/>
          <w:sz w:val="24"/>
          <w:szCs w:val="24"/>
        </w:rPr>
        <w:t>Earmarked Reserves</w:t>
      </w:r>
      <w:r w:rsidRPr="00A518C1">
        <w:rPr>
          <w:sz w:val="24"/>
          <w:szCs w:val="24"/>
        </w:rPr>
        <w:t xml:space="preserve"> – these reserves are held to fund a specific purpose and can only be used to fund spending associated with that specific purpose. </w:t>
      </w:r>
      <w:r w:rsidRPr="00A518C1">
        <w:rPr>
          <w:sz w:val="24"/>
          <w:szCs w:val="24"/>
        </w:rPr>
        <w:lastRenderedPageBreak/>
        <w:t xml:space="preserve">Should it transpire that not </w:t>
      </w:r>
      <w:r w:rsidR="00E85687" w:rsidRPr="00A518C1">
        <w:rPr>
          <w:sz w:val="24"/>
          <w:szCs w:val="24"/>
        </w:rPr>
        <w:t>all</w:t>
      </w:r>
      <w:r w:rsidRPr="00A518C1">
        <w:rPr>
          <w:sz w:val="24"/>
          <w:szCs w:val="24"/>
        </w:rPr>
        <w:t xml:space="preserve"> the agreed funds are required then the agreement of the Authority would be sought to decide how any remaining balance is to be utilised.</w:t>
      </w:r>
    </w:p>
    <w:p w14:paraId="05CBB598" w14:textId="77777777" w:rsidR="00DB08E0" w:rsidRPr="00A518C1" w:rsidRDefault="00DB08E0" w:rsidP="00DB08E0">
      <w:pPr>
        <w:autoSpaceDE w:val="0"/>
        <w:autoSpaceDN w:val="0"/>
        <w:adjustRightInd w:val="0"/>
        <w:ind w:left="709" w:hanging="709"/>
        <w:rPr>
          <w:sz w:val="24"/>
          <w:szCs w:val="24"/>
        </w:rPr>
      </w:pPr>
    </w:p>
    <w:p w14:paraId="73023D0A" w14:textId="77777777" w:rsidR="00DB08E0" w:rsidRPr="00A518C1" w:rsidRDefault="00DB08E0" w:rsidP="001F556A">
      <w:pPr>
        <w:autoSpaceDE w:val="0"/>
        <w:autoSpaceDN w:val="0"/>
        <w:adjustRightInd w:val="0"/>
        <w:ind w:left="709"/>
        <w:rPr>
          <w:sz w:val="24"/>
          <w:szCs w:val="24"/>
        </w:rPr>
      </w:pPr>
      <w:r w:rsidRPr="00A518C1">
        <w:rPr>
          <w:b/>
          <w:i/>
          <w:sz w:val="24"/>
          <w:szCs w:val="24"/>
        </w:rPr>
        <w:t>General Reserve</w:t>
      </w:r>
      <w:r w:rsidRPr="00A518C1">
        <w:rPr>
          <w:sz w:val="24"/>
          <w:szCs w:val="24"/>
        </w:rPr>
        <w:t xml:space="preserve"> – usage from this reserve is non-specific and is held to fund any unforeseen spending that had not been included in the base budget </w:t>
      </w:r>
      <w:r w:rsidR="001F556A" w:rsidRPr="00A518C1">
        <w:rPr>
          <w:sz w:val="24"/>
          <w:szCs w:val="24"/>
        </w:rPr>
        <w:t xml:space="preserve">such as </w:t>
      </w:r>
      <w:r w:rsidR="004E3EE8" w:rsidRPr="00A518C1">
        <w:rPr>
          <w:sz w:val="24"/>
          <w:szCs w:val="24"/>
        </w:rPr>
        <w:t>a sudden increase in inflation</w:t>
      </w:r>
      <w:r w:rsidRPr="00A518C1">
        <w:rPr>
          <w:sz w:val="24"/>
          <w:szCs w:val="24"/>
        </w:rPr>
        <w:t xml:space="preserve"> </w:t>
      </w:r>
      <w:r w:rsidR="004E3EE8" w:rsidRPr="00A518C1">
        <w:rPr>
          <w:sz w:val="24"/>
          <w:szCs w:val="24"/>
        </w:rPr>
        <w:t>or a pay award higher than anticipated when the budget was set</w:t>
      </w:r>
      <w:r w:rsidRPr="00A518C1">
        <w:rPr>
          <w:sz w:val="24"/>
          <w:szCs w:val="24"/>
        </w:rPr>
        <w:t xml:space="preserve">. </w:t>
      </w:r>
    </w:p>
    <w:p w14:paraId="37ECAB02" w14:textId="77777777" w:rsidR="00DB08E0" w:rsidRPr="00A518C1" w:rsidRDefault="00DB08E0" w:rsidP="00DB08E0">
      <w:pPr>
        <w:autoSpaceDE w:val="0"/>
        <w:autoSpaceDN w:val="0"/>
        <w:adjustRightInd w:val="0"/>
        <w:ind w:left="709"/>
        <w:rPr>
          <w:sz w:val="24"/>
          <w:szCs w:val="24"/>
        </w:rPr>
      </w:pPr>
    </w:p>
    <w:p w14:paraId="0D6947AB" w14:textId="77777777" w:rsidR="00DB08E0" w:rsidRPr="00E05E60" w:rsidRDefault="00DB08E0" w:rsidP="00DB08E0">
      <w:pPr>
        <w:autoSpaceDE w:val="0"/>
        <w:autoSpaceDN w:val="0"/>
        <w:adjustRightInd w:val="0"/>
        <w:ind w:left="709"/>
        <w:rPr>
          <w:sz w:val="24"/>
          <w:szCs w:val="24"/>
        </w:rPr>
      </w:pPr>
      <w:r w:rsidRPr="00A518C1">
        <w:rPr>
          <w:b/>
          <w:i/>
          <w:sz w:val="24"/>
          <w:szCs w:val="24"/>
        </w:rPr>
        <w:t xml:space="preserve">Provisions - </w:t>
      </w:r>
      <w:r w:rsidR="00E85687" w:rsidRPr="00A518C1">
        <w:rPr>
          <w:sz w:val="24"/>
          <w:szCs w:val="24"/>
        </w:rPr>
        <w:t>A</w:t>
      </w:r>
      <w:r w:rsidRPr="00A518C1">
        <w:rPr>
          <w:sz w:val="24"/>
          <w:szCs w:val="24"/>
        </w:rPr>
        <w:t xml:space="preserve"> </w:t>
      </w:r>
      <w:r w:rsidR="001F556A" w:rsidRPr="00A518C1">
        <w:rPr>
          <w:sz w:val="24"/>
          <w:szCs w:val="24"/>
        </w:rPr>
        <w:t>p</w:t>
      </w:r>
      <w:r w:rsidRPr="00A518C1">
        <w:rPr>
          <w:sz w:val="24"/>
          <w:szCs w:val="24"/>
        </w:rPr>
        <w:t xml:space="preserve">rovision is held to provide funding for a liability or loss </w:t>
      </w:r>
      <w:r w:rsidR="009D239F" w:rsidRPr="00A518C1">
        <w:rPr>
          <w:sz w:val="24"/>
          <w:szCs w:val="24"/>
        </w:rPr>
        <w:t xml:space="preserve">that </w:t>
      </w:r>
      <w:r w:rsidR="009D239F">
        <w:rPr>
          <w:sz w:val="24"/>
          <w:szCs w:val="24"/>
        </w:rPr>
        <w:t>is</w:t>
      </w:r>
      <w:r w:rsidR="002C4677">
        <w:rPr>
          <w:sz w:val="24"/>
          <w:szCs w:val="24"/>
        </w:rPr>
        <w:t xml:space="preserve"> likely to occur in the future</w:t>
      </w:r>
      <w:r w:rsidRPr="00A518C1">
        <w:rPr>
          <w:sz w:val="24"/>
          <w:szCs w:val="24"/>
        </w:rPr>
        <w:t xml:space="preserve">, but </w:t>
      </w:r>
      <w:r w:rsidR="002C4677">
        <w:rPr>
          <w:sz w:val="24"/>
          <w:szCs w:val="24"/>
        </w:rPr>
        <w:t xml:space="preserve">where </w:t>
      </w:r>
      <w:r w:rsidRPr="00A518C1">
        <w:rPr>
          <w:sz w:val="24"/>
          <w:szCs w:val="24"/>
        </w:rPr>
        <w:t xml:space="preserve">the timing </w:t>
      </w:r>
      <w:r w:rsidR="00A35F80">
        <w:rPr>
          <w:sz w:val="24"/>
          <w:szCs w:val="24"/>
        </w:rPr>
        <w:t>or</w:t>
      </w:r>
      <w:r w:rsidR="00A35F80" w:rsidRPr="00A518C1">
        <w:rPr>
          <w:sz w:val="24"/>
          <w:szCs w:val="24"/>
        </w:rPr>
        <w:t xml:space="preserve"> </w:t>
      </w:r>
      <w:r w:rsidRPr="00A518C1">
        <w:rPr>
          <w:sz w:val="24"/>
          <w:szCs w:val="24"/>
        </w:rPr>
        <w:t xml:space="preserve">amount </w:t>
      </w:r>
      <w:r w:rsidR="002C4677">
        <w:rPr>
          <w:sz w:val="24"/>
          <w:szCs w:val="24"/>
        </w:rPr>
        <w:t xml:space="preserve">of the </w:t>
      </w:r>
      <w:r w:rsidR="009D239F">
        <w:rPr>
          <w:sz w:val="24"/>
          <w:szCs w:val="24"/>
        </w:rPr>
        <w:t>liability</w:t>
      </w:r>
      <w:r w:rsidR="002C4677">
        <w:rPr>
          <w:sz w:val="24"/>
          <w:szCs w:val="24"/>
        </w:rPr>
        <w:t xml:space="preserve"> or loss </w:t>
      </w:r>
      <w:r w:rsidRPr="00A518C1">
        <w:rPr>
          <w:sz w:val="24"/>
          <w:szCs w:val="24"/>
        </w:rPr>
        <w:t xml:space="preserve">is </w:t>
      </w:r>
      <w:r w:rsidR="002C4677">
        <w:rPr>
          <w:sz w:val="24"/>
          <w:szCs w:val="24"/>
        </w:rPr>
        <w:t>un</w:t>
      </w:r>
      <w:r w:rsidRPr="00A518C1">
        <w:rPr>
          <w:sz w:val="24"/>
          <w:szCs w:val="24"/>
        </w:rPr>
        <w:t>certain.</w:t>
      </w:r>
      <w:r w:rsidR="001F556A" w:rsidRPr="00E05E60">
        <w:rPr>
          <w:sz w:val="24"/>
          <w:szCs w:val="24"/>
        </w:rPr>
        <w:t xml:space="preserve"> </w:t>
      </w:r>
    </w:p>
    <w:p w14:paraId="1AEF19BB" w14:textId="77777777" w:rsidR="00DB08E0" w:rsidRPr="00E05E60" w:rsidRDefault="00DB08E0" w:rsidP="00DB08E0">
      <w:pPr>
        <w:autoSpaceDE w:val="0"/>
        <w:autoSpaceDN w:val="0"/>
        <w:adjustRightInd w:val="0"/>
        <w:rPr>
          <w:sz w:val="24"/>
          <w:szCs w:val="24"/>
        </w:rPr>
      </w:pPr>
    </w:p>
    <w:p w14:paraId="61BACDA9" w14:textId="77777777" w:rsidR="00DB08E0" w:rsidRPr="00E05E60" w:rsidRDefault="00DB08E0" w:rsidP="00DB08E0">
      <w:pPr>
        <w:autoSpaceDE w:val="0"/>
        <w:autoSpaceDN w:val="0"/>
        <w:adjustRightInd w:val="0"/>
        <w:ind w:left="709" w:hanging="709"/>
        <w:rPr>
          <w:b/>
          <w:bCs/>
          <w:sz w:val="24"/>
          <w:szCs w:val="24"/>
        </w:rPr>
      </w:pPr>
      <w:r w:rsidRPr="00E05E60">
        <w:rPr>
          <w:b/>
          <w:bCs/>
          <w:sz w:val="24"/>
          <w:szCs w:val="24"/>
        </w:rPr>
        <w:t>2</w:t>
      </w:r>
      <w:r w:rsidRPr="00E05E60">
        <w:rPr>
          <w:b/>
          <w:bCs/>
          <w:sz w:val="24"/>
          <w:szCs w:val="24"/>
        </w:rPr>
        <w:tab/>
        <w:t xml:space="preserve">RISK ASSESSMENT TO DETERMINE THE ADEQUACY OF THE GENERAL RESERVE </w:t>
      </w:r>
    </w:p>
    <w:p w14:paraId="5670A51C" w14:textId="77777777" w:rsidR="00DB08E0" w:rsidRPr="00E05E60" w:rsidRDefault="00DB08E0" w:rsidP="00DB08E0">
      <w:pPr>
        <w:autoSpaceDE w:val="0"/>
        <w:autoSpaceDN w:val="0"/>
        <w:adjustRightInd w:val="0"/>
        <w:ind w:left="709" w:hanging="709"/>
        <w:rPr>
          <w:sz w:val="24"/>
          <w:szCs w:val="24"/>
        </w:rPr>
      </w:pPr>
    </w:p>
    <w:p w14:paraId="3A7AFF69" w14:textId="77777777" w:rsidR="00DB08E0" w:rsidRPr="00A518C1" w:rsidRDefault="00DB08E0" w:rsidP="00DB08E0">
      <w:pPr>
        <w:tabs>
          <w:tab w:val="left" w:pos="709"/>
        </w:tabs>
        <w:autoSpaceDE w:val="0"/>
        <w:autoSpaceDN w:val="0"/>
        <w:adjustRightInd w:val="0"/>
        <w:spacing w:after="240"/>
        <w:ind w:left="709" w:hanging="709"/>
        <w:rPr>
          <w:color w:val="000000"/>
          <w:sz w:val="24"/>
          <w:szCs w:val="24"/>
          <w:lang w:eastAsia="en-GB"/>
        </w:rPr>
      </w:pPr>
      <w:r w:rsidRPr="00E05E60">
        <w:rPr>
          <w:color w:val="000000"/>
          <w:sz w:val="24"/>
          <w:szCs w:val="24"/>
          <w:lang w:eastAsia="en-GB"/>
        </w:rPr>
        <w:t>2.1</w:t>
      </w:r>
      <w:r w:rsidRPr="00E05E60">
        <w:rPr>
          <w:color w:val="000000"/>
          <w:sz w:val="24"/>
          <w:szCs w:val="24"/>
          <w:lang w:eastAsia="en-GB"/>
        </w:rPr>
        <w:tab/>
      </w:r>
      <w:r w:rsidRPr="00A518C1">
        <w:rPr>
          <w:color w:val="000000"/>
          <w:sz w:val="24"/>
          <w:szCs w:val="24"/>
          <w:lang w:eastAsia="en-GB"/>
        </w:rPr>
        <w:t xml:space="preserve">Whilst </w:t>
      </w:r>
      <w:r w:rsidRPr="00A518C1">
        <w:rPr>
          <w:rFonts w:eastAsia="Arial Unicode MS"/>
          <w:color w:val="000000"/>
          <w:sz w:val="24"/>
          <w:szCs w:val="24"/>
          <w:lang w:eastAsia="en-GB"/>
        </w:rPr>
        <w:t xml:space="preserve">it is primarily the responsibility of the local authority and its Chief Financial Officer to maintain a sound financial position, external auditors will, as part of their wider responsibilities, consider whether audited bodies have established adequate arrangements to ensure that their financial position is soundly based. However, it is not the responsibility of auditors to prescribe the optimum or minimum level of reserves for individual authorities or authorities in general. </w:t>
      </w:r>
    </w:p>
    <w:p w14:paraId="1BA529A0" w14:textId="77777777" w:rsidR="00DB08E0" w:rsidRPr="00A518C1" w:rsidRDefault="00DB08E0" w:rsidP="00DB08E0">
      <w:pPr>
        <w:tabs>
          <w:tab w:val="left" w:pos="709"/>
        </w:tabs>
        <w:autoSpaceDE w:val="0"/>
        <w:autoSpaceDN w:val="0"/>
        <w:adjustRightInd w:val="0"/>
        <w:ind w:left="709" w:hanging="709"/>
        <w:rPr>
          <w:sz w:val="24"/>
          <w:szCs w:val="24"/>
        </w:rPr>
      </w:pPr>
      <w:r w:rsidRPr="00A518C1">
        <w:rPr>
          <w:sz w:val="24"/>
          <w:szCs w:val="24"/>
        </w:rPr>
        <w:t>2.2</w:t>
      </w:r>
      <w:r w:rsidRPr="00A518C1">
        <w:rPr>
          <w:sz w:val="24"/>
          <w:szCs w:val="24"/>
        </w:rPr>
        <w:tab/>
        <w:t xml:space="preserve">CIPFA does not prescribe a formula for calculating a minimum level of reserves. Local authorities, on the advice of their Chief Financial Officers, should make their own judgements on such matters </w:t>
      </w:r>
      <w:r w:rsidR="00E85687" w:rsidRPr="00A518C1">
        <w:rPr>
          <w:sz w:val="24"/>
          <w:szCs w:val="24"/>
        </w:rPr>
        <w:t>considering</w:t>
      </w:r>
      <w:r w:rsidRPr="00A518C1">
        <w:rPr>
          <w:sz w:val="24"/>
          <w:szCs w:val="24"/>
        </w:rPr>
        <w:t xml:space="preserve"> all the relevant local circumstances, which may vary between authorities.  A well-managed authority, for example, with a prudent approach to budgeting should be able to operate with a level of general reserves appropriate for the risks (both internal and external) to which it is exposed. In assessing the appropriate level of reserves, a well-managed authority will ensure that the reserves are not only adequate but are also necessary. There is a broad range within which authorities might reasonably operate depending on their particular circumstances.</w:t>
      </w:r>
    </w:p>
    <w:p w14:paraId="2A3AA7BB" w14:textId="77777777" w:rsidR="00DB08E0" w:rsidRPr="00A518C1" w:rsidRDefault="00DB08E0" w:rsidP="00DB08E0">
      <w:pPr>
        <w:tabs>
          <w:tab w:val="left" w:pos="709"/>
        </w:tabs>
        <w:autoSpaceDE w:val="0"/>
        <w:autoSpaceDN w:val="0"/>
        <w:adjustRightInd w:val="0"/>
        <w:ind w:left="709" w:hanging="709"/>
        <w:rPr>
          <w:sz w:val="24"/>
          <w:szCs w:val="24"/>
        </w:rPr>
      </w:pPr>
    </w:p>
    <w:p w14:paraId="27418B26" w14:textId="77777777" w:rsidR="00DB08E0" w:rsidRPr="00A518C1" w:rsidRDefault="00DB08E0" w:rsidP="00DB08E0">
      <w:pPr>
        <w:tabs>
          <w:tab w:val="left" w:pos="709"/>
        </w:tabs>
        <w:autoSpaceDE w:val="0"/>
        <w:autoSpaceDN w:val="0"/>
        <w:adjustRightInd w:val="0"/>
        <w:ind w:left="709" w:hanging="709"/>
        <w:rPr>
          <w:sz w:val="24"/>
          <w:szCs w:val="24"/>
        </w:rPr>
      </w:pPr>
      <w:r w:rsidRPr="00A518C1">
        <w:rPr>
          <w:sz w:val="24"/>
          <w:szCs w:val="24"/>
        </w:rPr>
        <w:t>2.3</w:t>
      </w:r>
      <w:r w:rsidRPr="00A518C1">
        <w:rPr>
          <w:sz w:val="24"/>
          <w:szCs w:val="24"/>
        </w:rPr>
        <w:tab/>
      </w:r>
      <w:r w:rsidR="004E3EE8" w:rsidRPr="00A518C1">
        <w:rPr>
          <w:sz w:val="24"/>
          <w:szCs w:val="24"/>
        </w:rPr>
        <w:t>A common</w:t>
      </w:r>
      <w:r w:rsidRPr="00A518C1">
        <w:rPr>
          <w:sz w:val="24"/>
          <w:szCs w:val="24"/>
        </w:rPr>
        <w:t xml:space="preserve"> benchmark</w:t>
      </w:r>
      <w:r w:rsidR="004E3EE8" w:rsidRPr="00A518C1">
        <w:rPr>
          <w:sz w:val="24"/>
          <w:szCs w:val="24"/>
        </w:rPr>
        <w:t xml:space="preserve"> used</w:t>
      </w:r>
      <w:r w:rsidRPr="00A518C1">
        <w:rPr>
          <w:sz w:val="24"/>
          <w:szCs w:val="24"/>
        </w:rPr>
        <w:t xml:space="preserve"> for the General Reserve </w:t>
      </w:r>
      <w:r w:rsidR="004E3EE8" w:rsidRPr="00A518C1">
        <w:rPr>
          <w:sz w:val="24"/>
          <w:szCs w:val="24"/>
        </w:rPr>
        <w:t>is</w:t>
      </w:r>
      <w:r w:rsidRPr="00A518C1">
        <w:rPr>
          <w:sz w:val="24"/>
          <w:szCs w:val="24"/>
        </w:rPr>
        <w:t xml:space="preserve"> 5% of annual budget.  The Authority has consistently set a minimum level of General Reserve higher than 5% (currently </w:t>
      </w:r>
      <w:r w:rsidR="00C9725F" w:rsidRPr="00A518C1">
        <w:rPr>
          <w:sz w:val="24"/>
          <w:szCs w:val="24"/>
        </w:rPr>
        <w:t>10</w:t>
      </w:r>
      <w:r w:rsidRPr="00A518C1">
        <w:rPr>
          <w:sz w:val="24"/>
          <w:szCs w:val="24"/>
        </w:rPr>
        <w:t>%).  However, as discussed in sections 2.1 and 2.2, it is the responsibility of the Authority to set an appropriate level of reserves reflecting the individual circumstances of the Authority.  The method used is a risk-based approach, in line with CIPFA guidance.  The levels of reserves set are felt to reflect the circumstances and risk appetite of the Authority.</w:t>
      </w:r>
    </w:p>
    <w:p w14:paraId="1883FEF5" w14:textId="77777777" w:rsidR="00DB08E0" w:rsidRPr="00A518C1" w:rsidRDefault="00DB08E0" w:rsidP="00DB08E0">
      <w:pPr>
        <w:autoSpaceDE w:val="0"/>
        <w:autoSpaceDN w:val="0"/>
        <w:adjustRightInd w:val="0"/>
        <w:rPr>
          <w:sz w:val="24"/>
          <w:szCs w:val="24"/>
        </w:rPr>
      </w:pPr>
    </w:p>
    <w:p w14:paraId="1AD8C1CA" w14:textId="77777777" w:rsidR="00DB08E0" w:rsidRPr="00A518C1" w:rsidRDefault="00DB08E0" w:rsidP="00DB08E0">
      <w:pPr>
        <w:autoSpaceDE w:val="0"/>
        <w:autoSpaceDN w:val="0"/>
        <w:adjustRightInd w:val="0"/>
        <w:ind w:left="709" w:hanging="709"/>
        <w:rPr>
          <w:sz w:val="24"/>
          <w:szCs w:val="24"/>
        </w:rPr>
      </w:pPr>
      <w:r w:rsidRPr="00A518C1">
        <w:rPr>
          <w:sz w:val="24"/>
          <w:szCs w:val="24"/>
        </w:rPr>
        <w:t>2.4</w:t>
      </w:r>
      <w:r w:rsidRPr="00A518C1">
        <w:rPr>
          <w:sz w:val="24"/>
          <w:szCs w:val="24"/>
        </w:rPr>
        <w:tab/>
        <w:t>The Authority has a robust approach to managing risk and there are effective arrangements for financial control in place. That said, given the high level of external influences</w:t>
      </w:r>
      <w:r w:rsidR="00A35F80">
        <w:rPr>
          <w:sz w:val="24"/>
          <w:szCs w:val="24"/>
        </w:rPr>
        <w:t xml:space="preserve"> </w:t>
      </w:r>
      <w:r w:rsidRPr="00A518C1">
        <w:rPr>
          <w:sz w:val="24"/>
          <w:szCs w:val="24"/>
        </w:rPr>
        <w:t>on its income and expenditure</w:t>
      </w:r>
      <w:r w:rsidR="00A35F80">
        <w:rPr>
          <w:sz w:val="24"/>
          <w:szCs w:val="24"/>
        </w:rPr>
        <w:t xml:space="preserve"> (e.g. national and local economics and government policy)</w:t>
      </w:r>
      <w:r w:rsidRPr="00A518C1">
        <w:rPr>
          <w:sz w:val="24"/>
          <w:szCs w:val="24"/>
        </w:rPr>
        <w:t xml:space="preserve">, there is always a risk that the Authority will unexpectedly become liable for expenditure that it has not budgeted for. </w:t>
      </w:r>
      <w:r w:rsidR="003D7CC7" w:rsidRPr="00A518C1">
        <w:rPr>
          <w:sz w:val="24"/>
          <w:szCs w:val="24"/>
        </w:rPr>
        <w:lastRenderedPageBreak/>
        <w:t xml:space="preserve">This is particularly true in the current uncertain economic climate </w:t>
      </w:r>
      <w:r w:rsidR="00A35F80">
        <w:rPr>
          <w:sz w:val="24"/>
          <w:szCs w:val="24"/>
        </w:rPr>
        <w:t>given the</w:t>
      </w:r>
      <w:r w:rsidR="00A35F80" w:rsidRPr="00A518C1">
        <w:rPr>
          <w:sz w:val="24"/>
          <w:szCs w:val="24"/>
        </w:rPr>
        <w:t xml:space="preserve"> </w:t>
      </w:r>
      <w:r w:rsidR="005B6AAD" w:rsidRPr="00A518C1">
        <w:rPr>
          <w:sz w:val="24"/>
          <w:szCs w:val="24"/>
        </w:rPr>
        <w:t>uncertainty around future funding streams</w:t>
      </w:r>
      <w:r w:rsidR="00EF766A" w:rsidRPr="00A518C1">
        <w:rPr>
          <w:sz w:val="24"/>
          <w:szCs w:val="24"/>
        </w:rPr>
        <w:t>, inflation and pay awards</w:t>
      </w:r>
      <w:r w:rsidR="003D7CC7" w:rsidRPr="00A518C1">
        <w:rPr>
          <w:sz w:val="24"/>
          <w:szCs w:val="24"/>
        </w:rPr>
        <w:t>.</w:t>
      </w:r>
      <w:r w:rsidRPr="00A518C1">
        <w:rPr>
          <w:sz w:val="24"/>
          <w:szCs w:val="24"/>
        </w:rPr>
        <w:t xml:space="preserve"> </w:t>
      </w:r>
    </w:p>
    <w:p w14:paraId="088F327C" w14:textId="77777777" w:rsidR="00DB08E0" w:rsidRPr="00A518C1" w:rsidRDefault="00DB08E0" w:rsidP="00DB08E0">
      <w:pPr>
        <w:autoSpaceDE w:val="0"/>
        <w:autoSpaceDN w:val="0"/>
        <w:adjustRightInd w:val="0"/>
        <w:ind w:left="709" w:hanging="709"/>
        <w:rPr>
          <w:sz w:val="24"/>
          <w:szCs w:val="24"/>
        </w:rPr>
      </w:pPr>
    </w:p>
    <w:p w14:paraId="78907930" w14:textId="77777777" w:rsidR="00DB08E0" w:rsidRPr="00A518C1" w:rsidRDefault="00DB08E0" w:rsidP="00DB08E0">
      <w:pPr>
        <w:autoSpaceDE w:val="0"/>
        <w:autoSpaceDN w:val="0"/>
        <w:adjustRightInd w:val="0"/>
        <w:ind w:left="709" w:hanging="709"/>
        <w:rPr>
          <w:sz w:val="24"/>
          <w:szCs w:val="24"/>
        </w:rPr>
      </w:pPr>
      <w:r w:rsidRPr="00A518C1">
        <w:rPr>
          <w:sz w:val="24"/>
          <w:szCs w:val="24"/>
        </w:rPr>
        <w:t>2.5</w:t>
      </w:r>
      <w:r w:rsidRPr="00A518C1">
        <w:rPr>
          <w:sz w:val="24"/>
          <w:szCs w:val="24"/>
        </w:rPr>
        <w:tab/>
        <w:t xml:space="preserve">At the start of </w:t>
      </w:r>
      <w:r w:rsidR="004B6C98" w:rsidRPr="00A518C1">
        <w:rPr>
          <w:sz w:val="24"/>
          <w:szCs w:val="24"/>
        </w:rPr>
        <w:t>2023/24</w:t>
      </w:r>
      <w:r w:rsidRPr="00A518C1">
        <w:rPr>
          <w:sz w:val="24"/>
          <w:szCs w:val="24"/>
        </w:rPr>
        <w:t>, the General Reserve was £</w:t>
      </w:r>
      <w:r w:rsidR="00C9725F" w:rsidRPr="00A518C1">
        <w:rPr>
          <w:sz w:val="24"/>
          <w:szCs w:val="24"/>
        </w:rPr>
        <w:t>4.961</w:t>
      </w:r>
      <w:r w:rsidRPr="00A518C1">
        <w:rPr>
          <w:sz w:val="24"/>
          <w:szCs w:val="24"/>
        </w:rPr>
        <w:t>m, which represented 1</w:t>
      </w:r>
      <w:r w:rsidR="00C9725F" w:rsidRPr="00A518C1">
        <w:rPr>
          <w:sz w:val="24"/>
          <w:szCs w:val="24"/>
        </w:rPr>
        <w:t>0</w:t>
      </w:r>
      <w:r w:rsidRPr="00A518C1">
        <w:rPr>
          <w:sz w:val="24"/>
          <w:szCs w:val="24"/>
        </w:rPr>
        <w:t xml:space="preserve">% of the </w:t>
      </w:r>
      <w:r w:rsidR="004B6C98" w:rsidRPr="00A518C1">
        <w:rPr>
          <w:sz w:val="24"/>
          <w:szCs w:val="24"/>
        </w:rPr>
        <w:t>2023/24</w:t>
      </w:r>
      <w:r w:rsidRPr="00A518C1">
        <w:rPr>
          <w:sz w:val="24"/>
          <w:szCs w:val="24"/>
        </w:rPr>
        <w:t xml:space="preserve"> net revenue budget</w:t>
      </w:r>
      <w:r w:rsidR="006B0E84" w:rsidRPr="00A518C1">
        <w:rPr>
          <w:sz w:val="24"/>
          <w:szCs w:val="24"/>
        </w:rPr>
        <w:t xml:space="preserve"> of £</w:t>
      </w:r>
      <w:r w:rsidR="00C9725F" w:rsidRPr="00A518C1">
        <w:rPr>
          <w:sz w:val="24"/>
          <w:szCs w:val="24"/>
        </w:rPr>
        <w:t>50</w:t>
      </w:r>
      <w:r w:rsidR="006B0E84" w:rsidRPr="00A518C1">
        <w:rPr>
          <w:sz w:val="24"/>
          <w:szCs w:val="24"/>
        </w:rPr>
        <w:t>m</w:t>
      </w:r>
      <w:r w:rsidRPr="00A518C1">
        <w:rPr>
          <w:sz w:val="24"/>
          <w:szCs w:val="24"/>
        </w:rPr>
        <w:t xml:space="preserve">.  </w:t>
      </w:r>
      <w:r w:rsidR="00FB5827" w:rsidRPr="00A518C1">
        <w:rPr>
          <w:sz w:val="24"/>
          <w:szCs w:val="24"/>
        </w:rPr>
        <w:t xml:space="preserve">Current </w:t>
      </w:r>
      <w:r w:rsidRPr="00A518C1">
        <w:rPr>
          <w:sz w:val="24"/>
          <w:szCs w:val="24"/>
        </w:rPr>
        <w:t>budget monitoring</w:t>
      </w:r>
      <w:r w:rsidR="00FB5827" w:rsidRPr="00A518C1">
        <w:rPr>
          <w:sz w:val="24"/>
          <w:szCs w:val="24"/>
        </w:rPr>
        <w:t xml:space="preserve"> would indicate that the </w:t>
      </w:r>
      <w:r w:rsidRPr="00A518C1">
        <w:rPr>
          <w:sz w:val="24"/>
          <w:szCs w:val="24"/>
        </w:rPr>
        <w:t xml:space="preserve">General Fund Reserve </w:t>
      </w:r>
      <w:r w:rsidR="00FB5827" w:rsidRPr="00A518C1">
        <w:rPr>
          <w:sz w:val="24"/>
          <w:szCs w:val="24"/>
        </w:rPr>
        <w:t xml:space="preserve">will remain </w:t>
      </w:r>
      <w:r w:rsidR="007A1CE7" w:rsidRPr="00A518C1">
        <w:rPr>
          <w:sz w:val="24"/>
          <w:szCs w:val="24"/>
        </w:rPr>
        <w:t>close to</w:t>
      </w:r>
      <w:r w:rsidR="00FB5827" w:rsidRPr="00A518C1">
        <w:rPr>
          <w:sz w:val="24"/>
          <w:szCs w:val="24"/>
        </w:rPr>
        <w:t xml:space="preserve"> this level </w:t>
      </w:r>
      <w:r w:rsidRPr="00A518C1">
        <w:rPr>
          <w:sz w:val="24"/>
          <w:szCs w:val="24"/>
        </w:rPr>
        <w:t>at</w:t>
      </w:r>
      <w:r w:rsidR="00FB5827" w:rsidRPr="00A518C1">
        <w:rPr>
          <w:sz w:val="24"/>
          <w:szCs w:val="24"/>
        </w:rPr>
        <w:t xml:space="preserve"> the end of the financial</w:t>
      </w:r>
      <w:r w:rsidRPr="00A518C1">
        <w:rPr>
          <w:sz w:val="24"/>
          <w:szCs w:val="24"/>
        </w:rPr>
        <w:t xml:space="preserve"> year.  </w:t>
      </w:r>
    </w:p>
    <w:p w14:paraId="598624D7" w14:textId="77777777" w:rsidR="00DB08E0" w:rsidRPr="00A518C1" w:rsidRDefault="00DB08E0" w:rsidP="00DB08E0">
      <w:pPr>
        <w:autoSpaceDE w:val="0"/>
        <w:autoSpaceDN w:val="0"/>
        <w:adjustRightInd w:val="0"/>
        <w:ind w:left="709" w:hanging="709"/>
        <w:rPr>
          <w:sz w:val="24"/>
          <w:szCs w:val="24"/>
        </w:rPr>
      </w:pPr>
    </w:p>
    <w:p w14:paraId="0A40366F" w14:textId="77777777" w:rsidR="00DB08E0" w:rsidRPr="00A518C1" w:rsidRDefault="00DB08E0" w:rsidP="00DB08E0">
      <w:pPr>
        <w:autoSpaceDE w:val="0"/>
        <w:autoSpaceDN w:val="0"/>
        <w:adjustRightInd w:val="0"/>
        <w:ind w:left="709" w:hanging="709"/>
        <w:rPr>
          <w:sz w:val="24"/>
          <w:szCs w:val="24"/>
          <w:lang w:val="en-US"/>
        </w:rPr>
      </w:pPr>
      <w:r w:rsidRPr="00A518C1">
        <w:rPr>
          <w:sz w:val="24"/>
          <w:szCs w:val="24"/>
        </w:rPr>
        <w:t>2.6</w:t>
      </w:r>
      <w:r w:rsidRPr="00A518C1">
        <w:rPr>
          <w:sz w:val="24"/>
          <w:szCs w:val="24"/>
        </w:rPr>
        <w:tab/>
        <w:t xml:space="preserve">A risk assessment of the adequacy of the Authority’s General Reserve is carried out annually to determine the extent to which the Authority is exposed to uninsured and unbudgeted losses.  The risk assessment is shown in Appendix A.  </w:t>
      </w:r>
      <w:r w:rsidRPr="00A518C1">
        <w:rPr>
          <w:sz w:val="24"/>
          <w:szCs w:val="24"/>
          <w:lang w:val="en-US"/>
        </w:rPr>
        <w:t>Where risks have been identified, control measures are in place to minimise either the likelihood or the impact of the risk and these are also shown in Appendix A.</w:t>
      </w:r>
    </w:p>
    <w:p w14:paraId="5C74EA22" w14:textId="77777777" w:rsidR="00DB08E0" w:rsidRPr="00A518C1" w:rsidRDefault="00DB08E0" w:rsidP="00DB08E0">
      <w:pPr>
        <w:ind w:left="709" w:hanging="709"/>
        <w:rPr>
          <w:sz w:val="24"/>
          <w:szCs w:val="24"/>
          <w:lang w:val="en-US"/>
        </w:rPr>
      </w:pPr>
    </w:p>
    <w:p w14:paraId="0C4701D5" w14:textId="77777777" w:rsidR="00DB08E0" w:rsidRPr="00A518C1" w:rsidRDefault="00DB08E0" w:rsidP="00DB08E0">
      <w:pPr>
        <w:ind w:left="709" w:hanging="709"/>
        <w:rPr>
          <w:sz w:val="24"/>
          <w:szCs w:val="24"/>
          <w:lang w:val="en-US"/>
        </w:rPr>
      </w:pPr>
      <w:r w:rsidRPr="00A518C1">
        <w:rPr>
          <w:sz w:val="24"/>
          <w:szCs w:val="24"/>
          <w:lang w:val="en-US"/>
        </w:rPr>
        <w:t>2.7</w:t>
      </w:r>
      <w:r w:rsidRPr="00A518C1">
        <w:rPr>
          <w:sz w:val="24"/>
          <w:szCs w:val="24"/>
          <w:lang w:val="en-US"/>
        </w:rPr>
        <w:tab/>
        <w:t xml:space="preserve">The approach has examined each of the risk exposures and considered both the possible financial impact on the Service and the likelihood of occurrence. A risk factor has been allocated to each risk reflecting the likely frequency of occurrence of </w:t>
      </w:r>
      <w:r w:rsidR="00A35F80">
        <w:rPr>
          <w:sz w:val="24"/>
          <w:szCs w:val="24"/>
          <w:lang w:val="en-US"/>
        </w:rPr>
        <w:t>that</w:t>
      </w:r>
      <w:r w:rsidR="00A35F80" w:rsidRPr="00A518C1">
        <w:rPr>
          <w:sz w:val="24"/>
          <w:szCs w:val="24"/>
          <w:lang w:val="en-US"/>
        </w:rPr>
        <w:t xml:space="preserve"> </w:t>
      </w:r>
      <w:r w:rsidRPr="00A518C1">
        <w:rPr>
          <w:sz w:val="24"/>
          <w:szCs w:val="24"/>
          <w:lang w:val="en-US"/>
        </w:rPr>
        <w:t>risk based on historic experience and professional judgment. It should be noted that the underlying assumption is that not all of these risk events will occur simultaneously and, to reflect this, the potential value of each financial impact is multiplied by its risk factor.</w:t>
      </w:r>
    </w:p>
    <w:p w14:paraId="1B1DF5F0" w14:textId="77777777" w:rsidR="00DB08E0" w:rsidRPr="00A518C1" w:rsidRDefault="00DB08E0" w:rsidP="00DB08E0">
      <w:pPr>
        <w:rPr>
          <w:sz w:val="24"/>
          <w:szCs w:val="24"/>
          <w:lang w:val="en-US"/>
        </w:rPr>
      </w:pPr>
    </w:p>
    <w:p w14:paraId="6770BC72" w14:textId="77777777" w:rsidR="00DB08E0" w:rsidRPr="00E05E60" w:rsidRDefault="00DB08E0" w:rsidP="00DB08E0">
      <w:pPr>
        <w:tabs>
          <w:tab w:val="left" w:pos="709"/>
        </w:tabs>
        <w:ind w:left="709" w:hanging="709"/>
        <w:rPr>
          <w:sz w:val="24"/>
          <w:szCs w:val="24"/>
          <w:lang w:val="en-US"/>
        </w:rPr>
      </w:pPr>
      <w:r w:rsidRPr="00A518C1">
        <w:rPr>
          <w:sz w:val="24"/>
          <w:szCs w:val="24"/>
          <w:lang w:val="en-US"/>
        </w:rPr>
        <w:t>2.8</w:t>
      </w:r>
      <w:r w:rsidRPr="00A518C1">
        <w:rPr>
          <w:sz w:val="24"/>
          <w:szCs w:val="24"/>
          <w:lang w:val="en-US"/>
        </w:rPr>
        <w:tab/>
        <w:t>The approach also considers the extent to which financial risks can be transferred by way of insurances or through additional government grant (through the Bellwin scheme)</w:t>
      </w:r>
      <w:r w:rsidR="00AD596B" w:rsidRPr="00A518C1">
        <w:rPr>
          <w:sz w:val="24"/>
          <w:szCs w:val="24"/>
          <w:lang w:val="en-US"/>
        </w:rPr>
        <w:t xml:space="preserve">. </w:t>
      </w:r>
      <w:r w:rsidRPr="00A518C1">
        <w:rPr>
          <w:sz w:val="24"/>
          <w:szCs w:val="24"/>
          <w:lang w:val="en-US"/>
        </w:rPr>
        <w:t>This creates a balance between mitigated and self-financed risk. Where insurances are in place, the risk value reflects the level of excess within the insurance policy.</w:t>
      </w:r>
    </w:p>
    <w:p w14:paraId="6AFA4D75" w14:textId="77777777" w:rsidR="00DB08E0" w:rsidRPr="00E05E60" w:rsidRDefault="00DB08E0" w:rsidP="00DB08E0">
      <w:pPr>
        <w:tabs>
          <w:tab w:val="left" w:pos="709"/>
        </w:tabs>
        <w:ind w:left="709" w:hanging="709"/>
        <w:rPr>
          <w:sz w:val="24"/>
          <w:szCs w:val="24"/>
          <w:lang w:val="en-US"/>
        </w:rPr>
      </w:pPr>
    </w:p>
    <w:p w14:paraId="1F7A7EDC" w14:textId="77777777" w:rsidR="00DB08E0" w:rsidRPr="00A518C1" w:rsidRDefault="00DB08E0" w:rsidP="00DB08E0">
      <w:pPr>
        <w:tabs>
          <w:tab w:val="left" w:pos="709"/>
        </w:tabs>
        <w:ind w:left="709" w:hanging="709"/>
        <w:rPr>
          <w:sz w:val="24"/>
          <w:szCs w:val="24"/>
          <w:lang w:val="en-US"/>
        </w:rPr>
      </w:pPr>
      <w:r w:rsidRPr="00E05E60">
        <w:rPr>
          <w:sz w:val="24"/>
          <w:szCs w:val="24"/>
          <w:lang w:val="en-US"/>
        </w:rPr>
        <w:t>2.9</w:t>
      </w:r>
      <w:r w:rsidRPr="00E05E60">
        <w:rPr>
          <w:sz w:val="24"/>
          <w:szCs w:val="24"/>
          <w:lang w:val="en-US"/>
        </w:rPr>
        <w:tab/>
      </w:r>
      <w:r w:rsidRPr="00A518C1">
        <w:rPr>
          <w:sz w:val="24"/>
          <w:szCs w:val="24"/>
          <w:lang w:val="en-US"/>
        </w:rPr>
        <w:t xml:space="preserve">Residual risk is the extent to which the Authority remains exposed to risks which are neither insured nor provided for within revenue budgets or balances. The level of acceptable residual risk equates to the “risk appetite” of the Service and the estimated minimum level of balances reflects this risk appetite. </w:t>
      </w:r>
    </w:p>
    <w:p w14:paraId="3961936A" w14:textId="77777777" w:rsidR="00DB08E0" w:rsidRPr="00A518C1" w:rsidRDefault="00DB08E0" w:rsidP="00DB08E0">
      <w:pPr>
        <w:tabs>
          <w:tab w:val="left" w:pos="709"/>
        </w:tabs>
        <w:ind w:left="709" w:hanging="709"/>
        <w:rPr>
          <w:sz w:val="24"/>
          <w:szCs w:val="24"/>
          <w:lang w:val="en-US"/>
        </w:rPr>
      </w:pPr>
    </w:p>
    <w:p w14:paraId="6F612D03" w14:textId="77777777" w:rsidR="00DB08E0" w:rsidRPr="00A518C1" w:rsidRDefault="00DB08E0" w:rsidP="00DB08E0">
      <w:pPr>
        <w:tabs>
          <w:tab w:val="left" w:pos="709"/>
        </w:tabs>
        <w:ind w:left="709" w:hanging="709"/>
        <w:rPr>
          <w:sz w:val="24"/>
          <w:szCs w:val="24"/>
          <w:lang w:val="en-US"/>
        </w:rPr>
      </w:pPr>
      <w:r w:rsidRPr="00A518C1">
        <w:rPr>
          <w:sz w:val="24"/>
          <w:szCs w:val="24"/>
          <w:lang w:val="en-US"/>
        </w:rPr>
        <w:t>2.10</w:t>
      </w:r>
      <w:r w:rsidRPr="00A518C1">
        <w:rPr>
          <w:sz w:val="24"/>
          <w:szCs w:val="24"/>
          <w:lang w:val="en-US"/>
        </w:rPr>
        <w:tab/>
      </w:r>
      <w:r w:rsidR="002F73E1" w:rsidRPr="00A518C1">
        <w:rPr>
          <w:sz w:val="24"/>
          <w:szCs w:val="24"/>
          <w:lang w:val="en-US"/>
        </w:rPr>
        <w:t>The r</w:t>
      </w:r>
      <w:r w:rsidRPr="00A518C1">
        <w:rPr>
          <w:sz w:val="24"/>
          <w:szCs w:val="24"/>
          <w:lang w:val="en-US"/>
        </w:rPr>
        <w:t>isk</w:t>
      </w:r>
      <w:r w:rsidR="002F73E1" w:rsidRPr="00A518C1">
        <w:rPr>
          <w:sz w:val="24"/>
          <w:szCs w:val="24"/>
          <w:lang w:val="en-US"/>
        </w:rPr>
        <w:t xml:space="preserve"> review included an assessment of the financial implications of risks included in the corporate risk register. There were several changes to reflect current levels of uncertainty and risks associated with the changing economic environment</w:t>
      </w:r>
      <w:r w:rsidRPr="00A518C1">
        <w:rPr>
          <w:sz w:val="24"/>
          <w:szCs w:val="24"/>
          <w:lang w:val="en-US"/>
        </w:rPr>
        <w:t>. The frequency of risk occurrence has also been reviewed in the light of another year of experience</w:t>
      </w:r>
      <w:r w:rsidR="00AD596B" w:rsidRPr="00A518C1">
        <w:rPr>
          <w:sz w:val="24"/>
          <w:szCs w:val="24"/>
          <w:lang w:val="en-US"/>
        </w:rPr>
        <w:t xml:space="preserve">. </w:t>
      </w:r>
    </w:p>
    <w:p w14:paraId="7E08AE51" w14:textId="77777777" w:rsidR="00DB08E0" w:rsidRPr="00A518C1" w:rsidRDefault="00DB08E0" w:rsidP="00DB08E0">
      <w:pPr>
        <w:tabs>
          <w:tab w:val="left" w:pos="709"/>
        </w:tabs>
        <w:ind w:left="709" w:hanging="709"/>
        <w:rPr>
          <w:sz w:val="24"/>
          <w:szCs w:val="24"/>
          <w:lang w:val="en-US"/>
        </w:rPr>
      </w:pPr>
    </w:p>
    <w:p w14:paraId="2E145EBA" w14:textId="77777777" w:rsidR="00DB08E0" w:rsidRPr="00E05E60" w:rsidRDefault="00DB08E0" w:rsidP="00DB08E0">
      <w:pPr>
        <w:tabs>
          <w:tab w:val="left" w:pos="709"/>
        </w:tabs>
        <w:ind w:left="709" w:hanging="709"/>
        <w:rPr>
          <w:sz w:val="24"/>
          <w:szCs w:val="24"/>
          <w:lang w:val="en-US"/>
        </w:rPr>
      </w:pPr>
      <w:r w:rsidRPr="00A518C1">
        <w:rPr>
          <w:sz w:val="24"/>
          <w:szCs w:val="24"/>
          <w:lang w:val="en-US"/>
        </w:rPr>
        <w:t>2.11</w:t>
      </w:r>
      <w:r w:rsidRPr="00A518C1">
        <w:rPr>
          <w:sz w:val="24"/>
          <w:szCs w:val="24"/>
          <w:lang w:val="en-US"/>
        </w:rPr>
        <w:tab/>
        <w:t>The risk assessment which determines the minimum level of reserves is carried out using the professional judgement of the officers involved in the process</w:t>
      </w:r>
      <w:r w:rsidR="00AD596B" w:rsidRPr="00A518C1">
        <w:rPr>
          <w:sz w:val="24"/>
          <w:szCs w:val="24"/>
          <w:lang w:val="en-US"/>
        </w:rPr>
        <w:t xml:space="preserve">. </w:t>
      </w:r>
      <w:r w:rsidRPr="00A518C1">
        <w:rPr>
          <w:sz w:val="24"/>
          <w:szCs w:val="24"/>
          <w:lang w:val="en-US"/>
        </w:rPr>
        <w:t>Several managers with particular areas of expertise have been consulted as part of the exercise to determine any new risks and to identify appropriate levels of risk value and risk frequency. This detailed review of risks inevitably results in fluctuations in the resulting minimum level.</w:t>
      </w:r>
    </w:p>
    <w:p w14:paraId="5E82BE70" w14:textId="77777777" w:rsidR="00DB08E0" w:rsidRPr="00E05E60" w:rsidRDefault="00DB08E0" w:rsidP="00DB08E0">
      <w:pPr>
        <w:rPr>
          <w:sz w:val="24"/>
          <w:szCs w:val="24"/>
          <w:lang w:val="en-US"/>
        </w:rPr>
      </w:pPr>
    </w:p>
    <w:p w14:paraId="58D0C9B8" w14:textId="77777777" w:rsidR="00DB08E0" w:rsidRPr="00A518C1" w:rsidRDefault="00DB08E0" w:rsidP="00DB08E0">
      <w:pPr>
        <w:rPr>
          <w:sz w:val="24"/>
          <w:szCs w:val="24"/>
          <w:lang w:val="en-US"/>
        </w:rPr>
      </w:pPr>
      <w:r w:rsidRPr="00E05E60">
        <w:rPr>
          <w:sz w:val="24"/>
          <w:szCs w:val="24"/>
          <w:lang w:val="en-US"/>
        </w:rPr>
        <w:t>2.12</w:t>
      </w:r>
      <w:r w:rsidRPr="00E05E60">
        <w:rPr>
          <w:sz w:val="24"/>
          <w:szCs w:val="24"/>
          <w:lang w:val="en-US"/>
        </w:rPr>
        <w:tab/>
      </w:r>
      <w:r w:rsidRPr="00A518C1">
        <w:rPr>
          <w:sz w:val="24"/>
          <w:szCs w:val="24"/>
          <w:lang w:val="en-US"/>
        </w:rPr>
        <w:t xml:space="preserve">The </w:t>
      </w:r>
      <w:r w:rsidR="006F6D17" w:rsidRPr="00A518C1">
        <w:rPr>
          <w:sz w:val="24"/>
          <w:szCs w:val="24"/>
          <w:lang w:val="en-US"/>
        </w:rPr>
        <w:t>three hig</w:t>
      </w:r>
      <w:r w:rsidR="00AA7031" w:rsidRPr="00A518C1">
        <w:rPr>
          <w:sz w:val="24"/>
          <w:szCs w:val="24"/>
          <w:lang w:val="en-US"/>
        </w:rPr>
        <w:t>h</w:t>
      </w:r>
      <w:r w:rsidR="006F6D17" w:rsidRPr="00A518C1">
        <w:rPr>
          <w:sz w:val="24"/>
          <w:szCs w:val="24"/>
          <w:lang w:val="en-US"/>
        </w:rPr>
        <w:t>est</w:t>
      </w:r>
      <w:r w:rsidRPr="00A518C1">
        <w:rPr>
          <w:sz w:val="24"/>
          <w:szCs w:val="24"/>
          <w:lang w:val="en-US"/>
        </w:rPr>
        <w:t xml:space="preserve"> </w:t>
      </w:r>
      <w:r w:rsidR="00C85334" w:rsidRPr="00A518C1">
        <w:rPr>
          <w:sz w:val="24"/>
          <w:szCs w:val="24"/>
          <w:lang w:val="en-US"/>
        </w:rPr>
        <w:t xml:space="preserve">value </w:t>
      </w:r>
      <w:r w:rsidR="00402CD8" w:rsidRPr="00A518C1">
        <w:rPr>
          <w:sz w:val="24"/>
          <w:szCs w:val="24"/>
          <w:lang w:val="en-US"/>
        </w:rPr>
        <w:t>risks identified in the</w:t>
      </w:r>
      <w:r w:rsidRPr="00A518C1">
        <w:rPr>
          <w:sz w:val="24"/>
          <w:szCs w:val="24"/>
          <w:lang w:val="en-US"/>
        </w:rPr>
        <w:t xml:space="preserve"> risk register are detailed below:</w:t>
      </w:r>
    </w:p>
    <w:p w14:paraId="5CD77B6C" w14:textId="77777777" w:rsidR="00DB08E0" w:rsidRPr="00A518C1" w:rsidRDefault="00DB08E0" w:rsidP="00DB08E0">
      <w:pPr>
        <w:rPr>
          <w:sz w:val="24"/>
          <w:szCs w:val="24"/>
          <w:lang w:val="en-US"/>
        </w:rPr>
      </w:pPr>
    </w:p>
    <w:p w14:paraId="51A6C76F" w14:textId="77777777" w:rsidR="00DB08E0" w:rsidRPr="00A518C1" w:rsidRDefault="00A9245C" w:rsidP="00AD596B">
      <w:pPr>
        <w:numPr>
          <w:ilvl w:val="0"/>
          <w:numId w:val="24"/>
        </w:numPr>
        <w:ind w:left="1134" w:hanging="425"/>
        <w:contextualSpacing/>
        <w:rPr>
          <w:rFonts w:eastAsia="Calibri"/>
          <w:sz w:val="24"/>
          <w:szCs w:val="24"/>
          <w:lang w:val="en-US"/>
        </w:rPr>
      </w:pPr>
      <w:r w:rsidRPr="00A518C1">
        <w:rPr>
          <w:rFonts w:eastAsia="Calibri"/>
          <w:b/>
          <w:sz w:val="24"/>
          <w:szCs w:val="24"/>
          <w:lang w:val="en-US"/>
        </w:rPr>
        <w:lastRenderedPageBreak/>
        <w:t>Pay Awards</w:t>
      </w:r>
      <w:r w:rsidR="00DB08E0" w:rsidRPr="00A518C1">
        <w:rPr>
          <w:rFonts w:eastAsia="Calibri"/>
          <w:sz w:val="24"/>
          <w:szCs w:val="24"/>
          <w:lang w:val="en-US"/>
        </w:rPr>
        <w:t xml:space="preserve">. </w:t>
      </w:r>
      <w:r w:rsidR="00650DD0" w:rsidRPr="00A518C1">
        <w:rPr>
          <w:rFonts w:eastAsia="Calibri"/>
          <w:sz w:val="24"/>
          <w:szCs w:val="24"/>
          <w:lang w:val="en-US"/>
        </w:rPr>
        <w:t xml:space="preserve">Continuing </w:t>
      </w:r>
      <w:r w:rsidRPr="00A518C1">
        <w:rPr>
          <w:rFonts w:eastAsia="Calibri"/>
          <w:sz w:val="24"/>
          <w:szCs w:val="24"/>
          <w:lang w:val="en-US"/>
        </w:rPr>
        <w:t>inflation</w:t>
      </w:r>
      <w:r w:rsidR="00650DD0" w:rsidRPr="00A518C1">
        <w:rPr>
          <w:rFonts w:eastAsia="Calibri"/>
          <w:sz w:val="24"/>
          <w:szCs w:val="24"/>
          <w:lang w:val="en-US"/>
        </w:rPr>
        <w:t>ary pressures</w:t>
      </w:r>
      <w:r w:rsidRPr="00A518C1">
        <w:rPr>
          <w:rFonts w:eastAsia="Calibri"/>
          <w:sz w:val="24"/>
          <w:szCs w:val="24"/>
          <w:lang w:val="en-US"/>
        </w:rPr>
        <w:t xml:space="preserve"> will have an impact on pay negotiations for</w:t>
      </w:r>
      <w:r w:rsidR="00650DD0" w:rsidRPr="00A518C1">
        <w:rPr>
          <w:rFonts w:eastAsia="Calibri"/>
          <w:sz w:val="24"/>
          <w:szCs w:val="24"/>
          <w:lang w:val="en-US"/>
        </w:rPr>
        <w:t xml:space="preserve"> both firefighter and support staff for</w:t>
      </w:r>
      <w:r w:rsidRPr="00A518C1">
        <w:rPr>
          <w:rFonts w:eastAsia="Calibri"/>
          <w:sz w:val="24"/>
          <w:szCs w:val="24"/>
          <w:lang w:val="en-US"/>
        </w:rPr>
        <w:t xml:space="preserve"> </w:t>
      </w:r>
      <w:r w:rsidR="004B6C98" w:rsidRPr="00A518C1">
        <w:rPr>
          <w:rFonts w:eastAsia="Calibri"/>
          <w:sz w:val="24"/>
          <w:szCs w:val="24"/>
          <w:lang w:val="en-US"/>
        </w:rPr>
        <w:t>2024/25</w:t>
      </w:r>
      <w:r w:rsidRPr="00A518C1">
        <w:rPr>
          <w:rFonts w:eastAsia="Calibri"/>
          <w:sz w:val="24"/>
          <w:szCs w:val="24"/>
          <w:lang w:val="en-US"/>
        </w:rPr>
        <w:t>.  Annual inflation using the CPI measure in October</w:t>
      </w:r>
      <w:r w:rsidR="00AD596B">
        <w:rPr>
          <w:rFonts w:eastAsia="Calibri"/>
          <w:sz w:val="24"/>
          <w:szCs w:val="24"/>
          <w:lang w:val="en-US"/>
        </w:rPr>
        <w:t xml:space="preserve"> 20</w:t>
      </w:r>
      <w:r w:rsidRPr="00A518C1">
        <w:rPr>
          <w:rFonts w:eastAsia="Calibri"/>
          <w:sz w:val="24"/>
          <w:szCs w:val="24"/>
          <w:lang w:val="en-US"/>
        </w:rPr>
        <w:t>2</w:t>
      </w:r>
      <w:r w:rsidR="00A37F58" w:rsidRPr="00A518C1">
        <w:rPr>
          <w:rFonts w:eastAsia="Calibri"/>
          <w:sz w:val="24"/>
          <w:szCs w:val="24"/>
          <w:lang w:val="en-US"/>
        </w:rPr>
        <w:t>3</w:t>
      </w:r>
      <w:r w:rsidRPr="00A518C1">
        <w:rPr>
          <w:rFonts w:eastAsia="Calibri"/>
          <w:sz w:val="24"/>
          <w:szCs w:val="24"/>
          <w:lang w:val="en-US"/>
        </w:rPr>
        <w:t xml:space="preserve"> was </w:t>
      </w:r>
      <w:r w:rsidR="00B273D8">
        <w:rPr>
          <w:rFonts w:eastAsia="Calibri"/>
          <w:sz w:val="24"/>
          <w:szCs w:val="24"/>
          <w:lang w:val="en-US"/>
        </w:rPr>
        <w:t>4.6</w:t>
      </w:r>
      <w:r w:rsidRPr="00A518C1">
        <w:rPr>
          <w:rFonts w:eastAsia="Calibri"/>
          <w:sz w:val="24"/>
          <w:szCs w:val="24"/>
          <w:lang w:val="en-US"/>
        </w:rPr>
        <w:t xml:space="preserve">%.  </w:t>
      </w:r>
      <w:r w:rsidR="009C1D34" w:rsidRPr="00A518C1">
        <w:rPr>
          <w:rFonts w:eastAsia="Calibri"/>
          <w:sz w:val="24"/>
          <w:szCs w:val="24"/>
          <w:lang w:val="en-US"/>
        </w:rPr>
        <w:t xml:space="preserve">Forecasts suggest that CPI </w:t>
      </w:r>
      <w:r w:rsidR="00C85334" w:rsidRPr="00A518C1">
        <w:rPr>
          <w:rFonts w:eastAsia="Calibri"/>
          <w:sz w:val="24"/>
          <w:szCs w:val="24"/>
          <w:lang w:val="en-US"/>
        </w:rPr>
        <w:t xml:space="preserve">will </w:t>
      </w:r>
      <w:r w:rsidR="00650DD0" w:rsidRPr="00A518C1">
        <w:rPr>
          <w:rFonts w:eastAsia="Calibri"/>
          <w:sz w:val="24"/>
          <w:szCs w:val="24"/>
          <w:lang w:val="en-US"/>
        </w:rPr>
        <w:t>fall slowly over the coming year</w:t>
      </w:r>
      <w:r w:rsidR="00C85334" w:rsidRPr="00A518C1">
        <w:rPr>
          <w:rFonts w:eastAsia="Calibri"/>
          <w:sz w:val="24"/>
          <w:szCs w:val="24"/>
          <w:lang w:val="en-US"/>
        </w:rPr>
        <w:t>.</w:t>
      </w:r>
      <w:r w:rsidR="009C1D34" w:rsidRPr="00A518C1">
        <w:rPr>
          <w:rFonts w:eastAsia="Calibri"/>
          <w:sz w:val="24"/>
          <w:szCs w:val="24"/>
          <w:lang w:val="en-US"/>
        </w:rPr>
        <w:t xml:space="preserve"> </w:t>
      </w:r>
      <w:r w:rsidR="00650DD0" w:rsidRPr="00A518C1">
        <w:rPr>
          <w:rFonts w:eastAsia="Calibri"/>
          <w:sz w:val="24"/>
          <w:szCs w:val="24"/>
          <w:lang w:val="en-US"/>
        </w:rPr>
        <w:t>The 2024/25 Medium Term Financial Strategy (MTFS) has budgeted for a 5% pay award</w:t>
      </w:r>
      <w:r w:rsidR="00AD596B" w:rsidRPr="00A518C1">
        <w:rPr>
          <w:rFonts w:eastAsia="Calibri"/>
          <w:sz w:val="24"/>
          <w:szCs w:val="24"/>
          <w:lang w:val="en-US"/>
        </w:rPr>
        <w:t xml:space="preserve">. </w:t>
      </w:r>
      <w:r w:rsidR="000F3019" w:rsidRPr="00A518C1">
        <w:rPr>
          <w:rFonts w:eastAsia="Calibri"/>
          <w:sz w:val="24"/>
          <w:szCs w:val="24"/>
          <w:lang w:val="en-US"/>
        </w:rPr>
        <w:t xml:space="preserve">A potential cost of </w:t>
      </w:r>
      <w:r w:rsidR="009C1D34" w:rsidRPr="00A518C1">
        <w:rPr>
          <w:rFonts w:eastAsia="Calibri"/>
          <w:sz w:val="24"/>
          <w:szCs w:val="24"/>
          <w:lang w:val="en-US"/>
        </w:rPr>
        <w:t>£</w:t>
      </w:r>
      <w:r w:rsidR="00383FBD" w:rsidRPr="00A518C1">
        <w:rPr>
          <w:rFonts w:eastAsia="Calibri"/>
          <w:sz w:val="24"/>
          <w:szCs w:val="24"/>
          <w:lang w:val="en-US"/>
        </w:rPr>
        <w:t>1m</w:t>
      </w:r>
      <w:r w:rsidR="009C1D34" w:rsidRPr="00A518C1">
        <w:rPr>
          <w:rFonts w:eastAsia="Calibri"/>
          <w:sz w:val="24"/>
          <w:szCs w:val="24"/>
          <w:lang w:val="en-US"/>
        </w:rPr>
        <w:t xml:space="preserve"> has been </w:t>
      </w:r>
      <w:r w:rsidR="00650DD0" w:rsidRPr="00A518C1">
        <w:rPr>
          <w:rFonts w:eastAsia="Calibri"/>
          <w:sz w:val="24"/>
          <w:szCs w:val="24"/>
          <w:lang w:val="en-US"/>
        </w:rPr>
        <w:t>included in the General Fund Risk Analysis which would</w:t>
      </w:r>
      <w:r w:rsidR="000F3019" w:rsidRPr="00A518C1">
        <w:rPr>
          <w:rFonts w:eastAsia="Calibri"/>
          <w:sz w:val="24"/>
          <w:szCs w:val="24"/>
          <w:lang w:val="en-US"/>
        </w:rPr>
        <w:t xml:space="preserve"> cover an</w:t>
      </w:r>
      <w:r w:rsidR="00650DD0" w:rsidRPr="00A518C1">
        <w:rPr>
          <w:rFonts w:eastAsia="Calibri"/>
          <w:sz w:val="24"/>
          <w:szCs w:val="24"/>
          <w:lang w:val="en-US"/>
        </w:rPr>
        <w:t xml:space="preserve"> increase of</w:t>
      </w:r>
      <w:r w:rsidR="000F3019" w:rsidRPr="00A518C1">
        <w:rPr>
          <w:rFonts w:eastAsia="Calibri"/>
          <w:sz w:val="24"/>
          <w:szCs w:val="24"/>
          <w:lang w:val="en-US"/>
        </w:rPr>
        <w:t xml:space="preserve"> </w:t>
      </w:r>
      <w:r w:rsidR="001D677D" w:rsidRPr="00A518C1">
        <w:rPr>
          <w:rFonts w:eastAsia="Calibri"/>
          <w:sz w:val="24"/>
          <w:szCs w:val="24"/>
          <w:lang w:val="en-US"/>
        </w:rPr>
        <w:t>2</w:t>
      </w:r>
      <w:r w:rsidR="000F3019" w:rsidRPr="00A518C1">
        <w:rPr>
          <w:rFonts w:eastAsia="Calibri"/>
          <w:sz w:val="24"/>
          <w:szCs w:val="24"/>
          <w:lang w:val="en-US"/>
        </w:rPr>
        <w:t>% above the amount included in the</w:t>
      </w:r>
      <w:r w:rsidR="00650DD0" w:rsidRPr="00A518C1">
        <w:rPr>
          <w:rFonts w:eastAsia="Calibri"/>
          <w:sz w:val="24"/>
          <w:szCs w:val="24"/>
          <w:lang w:val="en-US"/>
        </w:rPr>
        <w:t xml:space="preserve"> b</w:t>
      </w:r>
      <w:r w:rsidR="000F3019" w:rsidRPr="00A518C1">
        <w:rPr>
          <w:rFonts w:eastAsia="Calibri"/>
          <w:sz w:val="24"/>
          <w:szCs w:val="24"/>
          <w:lang w:val="en-US"/>
        </w:rPr>
        <w:t>udget</w:t>
      </w:r>
      <w:r w:rsidR="00AD596B">
        <w:rPr>
          <w:rFonts w:eastAsia="Calibri"/>
          <w:sz w:val="24"/>
          <w:szCs w:val="24"/>
          <w:lang w:val="en-US"/>
        </w:rPr>
        <w:t>.</w:t>
      </w:r>
      <w:r w:rsidR="00AD596B" w:rsidRPr="00A518C1">
        <w:rPr>
          <w:rFonts w:eastAsia="Calibri"/>
          <w:sz w:val="24"/>
          <w:szCs w:val="24"/>
          <w:lang w:val="en-US"/>
        </w:rPr>
        <w:t xml:space="preserve"> </w:t>
      </w:r>
      <w:r w:rsidR="000F3019" w:rsidRPr="00A518C1">
        <w:rPr>
          <w:rFonts w:eastAsia="Calibri"/>
          <w:sz w:val="24"/>
          <w:szCs w:val="24"/>
          <w:lang w:val="en-US"/>
        </w:rPr>
        <w:t>A risk factor of 0.75 has been used to give a value of £</w:t>
      </w:r>
      <w:r w:rsidR="00603066" w:rsidRPr="00A518C1">
        <w:rPr>
          <w:rFonts w:eastAsia="Calibri"/>
          <w:sz w:val="24"/>
          <w:szCs w:val="24"/>
          <w:lang w:val="en-US"/>
        </w:rPr>
        <w:t>750k</w:t>
      </w:r>
      <w:r w:rsidR="000F3019" w:rsidRPr="00A518C1">
        <w:rPr>
          <w:rFonts w:eastAsia="Calibri"/>
          <w:sz w:val="24"/>
          <w:szCs w:val="24"/>
          <w:lang w:val="en-US"/>
        </w:rPr>
        <w:t xml:space="preserve"> to be included in the reserve</w:t>
      </w:r>
      <w:r w:rsidR="00AD596B" w:rsidRPr="00A518C1">
        <w:rPr>
          <w:rFonts w:eastAsia="Calibri"/>
          <w:sz w:val="24"/>
          <w:szCs w:val="24"/>
          <w:lang w:val="en-US"/>
        </w:rPr>
        <w:t xml:space="preserve">. </w:t>
      </w:r>
    </w:p>
    <w:p w14:paraId="063DC811" w14:textId="77777777" w:rsidR="00650DD0" w:rsidRPr="00A518C1" w:rsidRDefault="00650DD0" w:rsidP="00650DD0">
      <w:pPr>
        <w:spacing w:line="276" w:lineRule="auto"/>
        <w:ind w:left="1134"/>
        <w:contextualSpacing/>
        <w:rPr>
          <w:rFonts w:eastAsia="Calibri"/>
          <w:sz w:val="24"/>
          <w:szCs w:val="24"/>
          <w:lang w:val="en-US"/>
        </w:rPr>
      </w:pPr>
    </w:p>
    <w:p w14:paraId="0B30E662" w14:textId="77777777" w:rsidR="00650DD0" w:rsidRPr="00A518C1" w:rsidRDefault="00650DD0" w:rsidP="00AD596B">
      <w:pPr>
        <w:numPr>
          <w:ilvl w:val="0"/>
          <w:numId w:val="24"/>
        </w:numPr>
        <w:ind w:left="1134" w:hanging="425"/>
        <w:contextualSpacing/>
        <w:rPr>
          <w:rFonts w:eastAsia="Calibri"/>
          <w:sz w:val="24"/>
          <w:szCs w:val="24"/>
          <w:lang w:val="en-US"/>
        </w:rPr>
      </w:pPr>
      <w:r w:rsidRPr="00A518C1">
        <w:rPr>
          <w:rFonts w:eastAsia="Calibri"/>
          <w:b/>
          <w:sz w:val="24"/>
          <w:szCs w:val="24"/>
          <w:lang w:val="en-US"/>
        </w:rPr>
        <w:t xml:space="preserve">Pension Issues. </w:t>
      </w:r>
      <w:r w:rsidRPr="00A518C1">
        <w:rPr>
          <w:rFonts w:eastAsia="Calibri"/>
          <w:bCs/>
          <w:sz w:val="24"/>
          <w:szCs w:val="24"/>
          <w:lang w:val="en-US"/>
        </w:rPr>
        <w:t>New legislation has now come into force regarding the remedy of both the McCloud and Matthews / O’Brien legal cases</w:t>
      </w:r>
      <w:r w:rsidR="00AD596B" w:rsidRPr="00A518C1">
        <w:rPr>
          <w:rFonts w:eastAsia="Calibri"/>
          <w:bCs/>
          <w:sz w:val="24"/>
          <w:szCs w:val="24"/>
          <w:lang w:val="en-US"/>
        </w:rPr>
        <w:t xml:space="preserve">. </w:t>
      </w:r>
      <w:r w:rsidR="0038034B" w:rsidRPr="00A518C1">
        <w:rPr>
          <w:rFonts w:eastAsia="Calibri"/>
          <w:bCs/>
          <w:sz w:val="24"/>
          <w:szCs w:val="24"/>
          <w:lang w:val="en-US"/>
        </w:rPr>
        <w:t>Whilst t</w:t>
      </w:r>
      <w:r w:rsidRPr="00A518C1">
        <w:rPr>
          <w:rFonts w:eastAsia="Calibri"/>
          <w:bCs/>
          <w:sz w:val="24"/>
          <w:szCs w:val="24"/>
          <w:lang w:val="en-US"/>
        </w:rPr>
        <w:t xml:space="preserve">his provides clarity around what action is required and </w:t>
      </w:r>
      <w:r w:rsidR="0038034B" w:rsidRPr="00A518C1">
        <w:rPr>
          <w:rFonts w:eastAsia="Calibri"/>
          <w:bCs/>
          <w:sz w:val="24"/>
          <w:szCs w:val="24"/>
          <w:lang w:val="en-US"/>
        </w:rPr>
        <w:t>costs going forward,</w:t>
      </w:r>
      <w:r w:rsidRPr="00A518C1">
        <w:rPr>
          <w:rFonts w:eastAsia="Calibri"/>
          <w:bCs/>
          <w:sz w:val="24"/>
          <w:szCs w:val="24"/>
          <w:lang w:val="en-US"/>
        </w:rPr>
        <w:t xml:space="preserve"> there remains a risk that the </w:t>
      </w:r>
      <w:r w:rsidR="00604D7F">
        <w:rPr>
          <w:rFonts w:eastAsia="Calibri"/>
          <w:bCs/>
          <w:sz w:val="24"/>
          <w:szCs w:val="24"/>
          <w:lang w:val="en-US"/>
        </w:rPr>
        <w:t>S</w:t>
      </w:r>
      <w:r w:rsidRPr="00A518C1">
        <w:rPr>
          <w:rFonts w:eastAsia="Calibri"/>
          <w:bCs/>
          <w:sz w:val="24"/>
          <w:szCs w:val="24"/>
          <w:lang w:val="en-US"/>
        </w:rPr>
        <w:t xml:space="preserve">ervice will be required to pick up </w:t>
      </w:r>
      <w:r w:rsidR="0038034B" w:rsidRPr="00A518C1">
        <w:rPr>
          <w:rFonts w:eastAsia="Calibri"/>
          <w:bCs/>
          <w:sz w:val="24"/>
          <w:szCs w:val="24"/>
          <w:lang w:val="en-US"/>
        </w:rPr>
        <w:t>some of the transitional related to the McCloud case</w:t>
      </w:r>
      <w:r w:rsidR="00592EA3">
        <w:rPr>
          <w:rFonts w:eastAsia="Calibri"/>
          <w:bCs/>
          <w:sz w:val="24"/>
          <w:szCs w:val="24"/>
          <w:lang w:val="en-US"/>
        </w:rPr>
        <w:t>.</w:t>
      </w:r>
    </w:p>
    <w:p w14:paraId="6E02E589" w14:textId="77777777" w:rsidR="00650DD0" w:rsidRPr="00A518C1" w:rsidRDefault="00650DD0" w:rsidP="00650DD0">
      <w:pPr>
        <w:pStyle w:val="ListParagraph"/>
        <w:rPr>
          <w:rFonts w:eastAsia="Calibri"/>
          <w:bCs/>
          <w:sz w:val="24"/>
          <w:szCs w:val="24"/>
          <w:lang w:val="en-US"/>
        </w:rPr>
      </w:pPr>
    </w:p>
    <w:p w14:paraId="002CB1DC" w14:textId="77777777" w:rsidR="00603066" w:rsidRPr="00A518C1" w:rsidRDefault="00603066" w:rsidP="00603066">
      <w:pPr>
        <w:pStyle w:val="ListParagraph"/>
        <w:ind w:left="1134"/>
        <w:rPr>
          <w:rFonts w:eastAsia="Calibri"/>
          <w:bCs/>
          <w:sz w:val="24"/>
          <w:szCs w:val="24"/>
          <w:lang w:val="en-US"/>
        </w:rPr>
      </w:pPr>
      <w:r w:rsidRPr="00A518C1">
        <w:rPr>
          <w:sz w:val="24"/>
          <w:szCs w:val="24"/>
        </w:rPr>
        <w:t xml:space="preserve">The remedying legislation is expected to increase the overall costs of the firefighters’ pension scheme.  These are expected to be largely funded by Central Government but additional costs falling to the Fire Authority cannot be ruled out.  </w:t>
      </w:r>
    </w:p>
    <w:p w14:paraId="4DAFE66A" w14:textId="77777777" w:rsidR="0038034B" w:rsidRPr="00A518C1" w:rsidRDefault="0038034B" w:rsidP="0038034B">
      <w:pPr>
        <w:ind w:left="709" w:hanging="709"/>
        <w:rPr>
          <w:sz w:val="24"/>
          <w:szCs w:val="24"/>
        </w:rPr>
      </w:pPr>
    </w:p>
    <w:p w14:paraId="702751C3" w14:textId="77777777" w:rsidR="0038034B" w:rsidRPr="00A518C1" w:rsidRDefault="0038034B" w:rsidP="00603066">
      <w:pPr>
        <w:ind w:left="1134" w:hanging="1134"/>
        <w:rPr>
          <w:sz w:val="24"/>
          <w:szCs w:val="24"/>
        </w:rPr>
      </w:pPr>
      <w:r w:rsidRPr="00A518C1">
        <w:rPr>
          <w:sz w:val="24"/>
          <w:szCs w:val="24"/>
        </w:rPr>
        <w:tab/>
        <w:t xml:space="preserve">The results of the 2020 valuation </w:t>
      </w:r>
      <w:r w:rsidR="00603066" w:rsidRPr="00A518C1">
        <w:rPr>
          <w:sz w:val="24"/>
          <w:szCs w:val="24"/>
        </w:rPr>
        <w:t>have not yet been released and</w:t>
      </w:r>
      <w:r w:rsidRPr="00A518C1">
        <w:rPr>
          <w:sz w:val="24"/>
          <w:szCs w:val="24"/>
        </w:rPr>
        <w:t xml:space="preserve"> could potentially result in a s</w:t>
      </w:r>
      <w:r w:rsidR="00603066" w:rsidRPr="00A518C1">
        <w:rPr>
          <w:sz w:val="24"/>
          <w:szCs w:val="24"/>
        </w:rPr>
        <w:t>ignificant</w:t>
      </w:r>
      <w:r w:rsidRPr="00A518C1">
        <w:rPr>
          <w:sz w:val="24"/>
          <w:szCs w:val="24"/>
        </w:rPr>
        <w:t xml:space="preserve"> increase in employer pension costs.  Funding for any additional costs has been committed to by Central Government until the end of 202</w:t>
      </w:r>
      <w:r w:rsidR="00603066" w:rsidRPr="00A518C1">
        <w:rPr>
          <w:sz w:val="24"/>
          <w:szCs w:val="24"/>
        </w:rPr>
        <w:t>5</w:t>
      </w:r>
      <w:r w:rsidRPr="00A518C1">
        <w:rPr>
          <w:sz w:val="24"/>
          <w:szCs w:val="24"/>
        </w:rPr>
        <w:t>/2</w:t>
      </w:r>
      <w:r w:rsidR="00603066" w:rsidRPr="00A518C1">
        <w:rPr>
          <w:sz w:val="24"/>
          <w:szCs w:val="24"/>
        </w:rPr>
        <w:t>6</w:t>
      </w:r>
      <w:r w:rsidRPr="00A518C1">
        <w:rPr>
          <w:sz w:val="24"/>
          <w:szCs w:val="24"/>
        </w:rPr>
        <w:t xml:space="preserve">.  After this date, any funding will have to be negotiated as part of the Funding Settlement.  There remains a risk that these costs will not be funded in full.  </w:t>
      </w:r>
    </w:p>
    <w:p w14:paraId="2F78AB97" w14:textId="77777777" w:rsidR="00603066" w:rsidRPr="00A518C1" w:rsidRDefault="00603066" w:rsidP="00603066">
      <w:pPr>
        <w:ind w:left="1134" w:hanging="1134"/>
        <w:rPr>
          <w:sz w:val="24"/>
          <w:szCs w:val="24"/>
        </w:rPr>
      </w:pPr>
    </w:p>
    <w:p w14:paraId="435B7C2C" w14:textId="77777777" w:rsidR="00603066" w:rsidRPr="00E05E60" w:rsidRDefault="00603066" w:rsidP="00AD596B">
      <w:pPr>
        <w:ind w:left="1134"/>
        <w:contextualSpacing/>
        <w:rPr>
          <w:rFonts w:eastAsia="Calibri"/>
          <w:bCs/>
          <w:sz w:val="24"/>
          <w:szCs w:val="24"/>
          <w:lang w:val="en-US"/>
        </w:rPr>
      </w:pPr>
      <w:r w:rsidRPr="00A518C1">
        <w:rPr>
          <w:rFonts w:eastAsia="Calibri"/>
          <w:sz w:val="24"/>
          <w:szCs w:val="24"/>
          <w:lang w:val="en-US"/>
        </w:rPr>
        <w:t>A potential cost of £1m has been included in the General Fund Risk Analysis</w:t>
      </w:r>
      <w:r w:rsidR="00AD596B" w:rsidRPr="00A518C1">
        <w:rPr>
          <w:rFonts w:eastAsia="Calibri"/>
          <w:sz w:val="24"/>
          <w:szCs w:val="24"/>
          <w:lang w:val="en-US"/>
        </w:rPr>
        <w:t xml:space="preserve">. </w:t>
      </w:r>
      <w:r w:rsidRPr="00A518C1">
        <w:rPr>
          <w:rFonts w:eastAsia="Calibri"/>
          <w:sz w:val="24"/>
          <w:szCs w:val="24"/>
          <w:lang w:val="en-US"/>
        </w:rPr>
        <w:t xml:space="preserve">The risk factor has been reduced from 0.5 to 0.4 to reflect the new legislation </w:t>
      </w:r>
      <w:r w:rsidR="00A876B2" w:rsidRPr="00A518C1">
        <w:rPr>
          <w:rFonts w:eastAsia="Calibri"/>
          <w:sz w:val="24"/>
          <w:szCs w:val="24"/>
          <w:lang w:val="en-US"/>
        </w:rPr>
        <w:t>now</w:t>
      </w:r>
      <w:r w:rsidRPr="00A518C1">
        <w:rPr>
          <w:rFonts w:eastAsia="Calibri"/>
          <w:sz w:val="24"/>
          <w:szCs w:val="24"/>
          <w:lang w:val="en-US"/>
        </w:rPr>
        <w:t xml:space="preserve"> in place</w:t>
      </w:r>
      <w:r w:rsidR="00AD596B" w:rsidRPr="00A518C1">
        <w:rPr>
          <w:rFonts w:eastAsia="Calibri"/>
          <w:sz w:val="24"/>
          <w:szCs w:val="24"/>
          <w:lang w:val="en-US"/>
        </w:rPr>
        <w:t xml:space="preserve">. </w:t>
      </w:r>
      <w:r w:rsidRPr="00A518C1">
        <w:rPr>
          <w:rFonts w:eastAsia="Calibri"/>
          <w:sz w:val="24"/>
          <w:szCs w:val="24"/>
          <w:lang w:val="en-US"/>
        </w:rPr>
        <w:t>This leaves a value of £400k in the reserve (reduced from £500k in 2023/24)</w:t>
      </w:r>
      <w:r w:rsidR="00AD596B" w:rsidRPr="00A518C1">
        <w:rPr>
          <w:rFonts w:eastAsia="Calibri"/>
          <w:sz w:val="24"/>
          <w:szCs w:val="24"/>
          <w:lang w:val="en-US"/>
        </w:rPr>
        <w:t>.</w:t>
      </w:r>
      <w:r w:rsidR="00AD596B">
        <w:rPr>
          <w:rFonts w:eastAsia="Calibri"/>
          <w:sz w:val="24"/>
          <w:szCs w:val="24"/>
          <w:lang w:val="en-US"/>
        </w:rPr>
        <w:t xml:space="preserve"> </w:t>
      </w:r>
    </w:p>
    <w:p w14:paraId="27B7864B" w14:textId="77777777" w:rsidR="00383FBD" w:rsidRPr="00E05E60" w:rsidRDefault="00383FBD" w:rsidP="00383FBD">
      <w:pPr>
        <w:spacing w:line="276" w:lineRule="auto"/>
        <w:ind w:left="1134"/>
        <w:contextualSpacing/>
        <w:rPr>
          <w:rFonts w:eastAsia="Calibri"/>
          <w:sz w:val="24"/>
          <w:szCs w:val="24"/>
          <w:lang w:val="en-US"/>
        </w:rPr>
      </w:pPr>
    </w:p>
    <w:p w14:paraId="46A7AAB6" w14:textId="77777777" w:rsidR="00E01EFE" w:rsidRPr="00A518C1" w:rsidRDefault="00B46671" w:rsidP="00AD596B">
      <w:pPr>
        <w:numPr>
          <w:ilvl w:val="0"/>
          <w:numId w:val="24"/>
        </w:numPr>
        <w:ind w:left="1134" w:hanging="425"/>
        <w:contextualSpacing/>
        <w:rPr>
          <w:rFonts w:eastAsia="Calibri"/>
          <w:bCs/>
          <w:sz w:val="24"/>
          <w:szCs w:val="24"/>
          <w:lang w:val="en-US"/>
        </w:rPr>
      </w:pPr>
      <w:r w:rsidRPr="00A518C1">
        <w:rPr>
          <w:rFonts w:eastAsia="Calibri"/>
          <w:b/>
          <w:bCs/>
          <w:sz w:val="24"/>
          <w:szCs w:val="24"/>
          <w:lang w:val="en-US"/>
        </w:rPr>
        <w:t>Risk of a significant overspend</w:t>
      </w:r>
      <w:r w:rsidR="00AD596B" w:rsidRPr="00A518C1">
        <w:rPr>
          <w:rFonts w:eastAsia="Calibri"/>
          <w:sz w:val="24"/>
          <w:szCs w:val="24"/>
          <w:lang w:val="en-US"/>
        </w:rPr>
        <w:t xml:space="preserve">. </w:t>
      </w:r>
      <w:r w:rsidRPr="00A518C1">
        <w:rPr>
          <w:rFonts w:eastAsia="Calibri"/>
          <w:bCs/>
          <w:sz w:val="24"/>
          <w:szCs w:val="24"/>
          <w:lang w:val="en-US"/>
        </w:rPr>
        <w:t>The 2024/25 budget has been set after giving consideration to the areas of underspend in 2023/24</w:t>
      </w:r>
      <w:r w:rsidR="00AD596B" w:rsidRPr="00A518C1">
        <w:rPr>
          <w:rFonts w:eastAsia="Calibri"/>
          <w:bCs/>
          <w:sz w:val="24"/>
          <w:szCs w:val="24"/>
          <w:lang w:val="en-US"/>
        </w:rPr>
        <w:t xml:space="preserve">. </w:t>
      </w:r>
      <w:r w:rsidRPr="00A518C1">
        <w:rPr>
          <w:rFonts w:eastAsia="Calibri"/>
          <w:bCs/>
          <w:sz w:val="24"/>
          <w:szCs w:val="24"/>
          <w:lang w:val="en-US"/>
        </w:rPr>
        <w:t>However, there remains concern over inflation levels that are having a significant impact on contracts, maintenance and capital expenditure in particular</w:t>
      </w:r>
      <w:r w:rsidR="00AD596B" w:rsidRPr="00A518C1">
        <w:rPr>
          <w:rFonts w:eastAsia="Calibri"/>
          <w:bCs/>
          <w:sz w:val="24"/>
          <w:szCs w:val="24"/>
          <w:lang w:val="en-US"/>
        </w:rPr>
        <w:t xml:space="preserve">. </w:t>
      </w:r>
      <w:r w:rsidRPr="00A518C1">
        <w:rPr>
          <w:rFonts w:eastAsia="Calibri"/>
          <w:sz w:val="24"/>
          <w:szCs w:val="24"/>
          <w:lang w:val="en-US"/>
        </w:rPr>
        <w:t xml:space="preserve">Given the </w:t>
      </w:r>
      <w:r w:rsidR="00B273D8">
        <w:rPr>
          <w:rFonts w:eastAsia="Calibri"/>
          <w:sz w:val="24"/>
          <w:szCs w:val="24"/>
          <w:lang w:val="en-US"/>
        </w:rPr>
        <w:t xml:space="preserve">forecasted </w:t>
      </w:r>
      <w:r w:rsidRPr="00A518C1">
        <w:rPr>
          <w:rFonts w:eastAsia="Calibri"/>
          <w:sz w:val="24"/>
          <w:szCs w:val="24"/>
          <w:lang w:val="en-US"/>
        </w:rPr>
        <w:t>underspend position in 2023/24, this risk factor has reduced from 0.5% to 0.4%</w:t>
      </w:r>
      <w:r w:rsidR="007C54F5" w:rsidRPr="00A518C1">
        <w:rPr>
          <w:rFonts w:eastAsia="Calibri"/>
          <w:bCs/>
          <w:sz w:val="24"/>
          <w:szCs w:val="24"/>
          <w:lang w:val="en-US"/>
        </w:rPr>
        <w:t xml:space="preserve"> to give a value of £400k in the General Fund reserve.</w:t>
      </w:r>
      <w:r w:rsidRPr="00A518C1">
        <w:rPr>
          <w:rFonts w:eastAsia="Calibri"/>
          <w:bCs/>
          <w:sz w:val="24"/>
          <w:szCs w:val="24"/>
          <w:lang w:val="en-US"/>
        </w:rPr>
        <w:t xml:space="preserve"> </w:t>
      </w:r>
    </w:p>
    <w:p w14:paraId="294CDC30" w14:textId="77777777" w:rsidR="001D677D" w:rsidRPr="0029537D" w:rsidRDefault="001D677D" w:rsidP="002478FA">
      <w:pPr>
        <w:spacing w:line="276" w:lineRule="auto"/>
        <w:ind w:left="1134"/>
        <w:contextualSpacing/>
        <w:rPr>
          <w:rFonts w:eastAsia="Calibri"/>
          <w:sz w:val="24"/>
          <w:szCs w:val="24"/>
          <w:highlight w:val="green"/>
          <w:lang w:val="en-US"/>
        </w:rPr>
      </w:pPr>
    </w:p>
    <w:p w14:paraId="04A7EFA3" w14:textId="77777777" w:rsidR="007C54F5" w:rsidRPr="00A518C1" w:rsidRDefault="00DB08E0" w:rsidP="00DB08E0">
      <w:pPr>
        <w:tabs>
          <w:tab w:val="left" w:pos="709"/>
        </w:tabs>
        <w:ind w:left="709" w:hanging="709"/>
        <w:rPr>
          <w:sz w:val="24"/>
          <w:szCs w:val="24"/>
          <w:lang w:val="en-US"/>
        </w:rPr>
      </w:pPr>
      <w:r w:rsidRPr="00A518C1">
        <w:rPr>
          <w:sz w:val="24"/>
          <w:szCs w:val="24"/>
          <w:lang w:val="en-US"/>
        </w:rPr>
        <w:t>2.13</w:t>
      </w:r>
      <w:r w:rsidRPr="00A518C1">
        <w:rPr>
          <w:sz w:val="24"/>
          <w:szCs w:val="24"/>
          <w:lang w:val="en-US"/>
        </w:rPr>
        <w:tab/>
      </w:r>
      <w:r w:rsidR="007C54F5" w:rsidRPr="00A518C1">
        <w:rPr>
          <w:sz w:val="24"/>
          <w:szCs w:val="24"/>
          <w:lang w:val="en-US"/>
        </w:rPr>
        <w:t>The ability to set a balanced budget was in the top three risks in the 2023/24 risk register, with a potential cost of £1</w:t>
      </w:r>
      <w:r w:rsidR="00AD596B" w:rsidRPr="00A518C1">
        <w:rPr>
          <w:sz w:val="24"/>
          <w:szCs w:val="24"/>
          <w:lang w:val="en-US"/>
        </w:rPr>
        <w:t xml:space="preserve">m. </w:t>
      </w:r>
      <w:r w:rsidR="007C54F5" w:rsidRPr="00A518C1">
        <w:rPr>
          <w:sz w:val="24"/>
          <w:szCs w:val="24"/>
          <w:lang w:val="en-US"/>
        </w:rPr>
        <w:t xml:space="preserve">This has been reduced in the 2024/25 risk register to £500k due to the additional income received from the £5 increase in </w:t>
      </w:r>
      <w:r w:rsidR="00604D7F">
        <w:rPr>
          <w:sz w:val="24"/>
          <w:szCs w:val="24"/>
          <w:lang w:val="en-US"/>
        </w:rPr>
        <w:t>c</w:t>
      </w:r>
      <w:r w:rsidR="007C54F5" w:rsidRPr="00A518C1">
        <w:rPr>
          <w:sz w:val="24"/>
          <w:szCs w:val="24"/>
          <w:lang w:val="en-US"/>
        </w:rPr>
        <w:t xml:space="preserve">ouncil </w:t>
      </w:r>
      <w:r w:rsidR="00604D7F">
        <w:rPr>
          <w:sz w:val="24"/>
          <w:szCs w:val="24"/>
          <w:lang w:val="en-US"/>
        </w:rPr>
        <w:t>t</w:t>
      </w:r>
      <w:r w:rsidR="007C54F5" w:rsidRPr="00A518C1">
        <w:rPr>
          <w:sz w:val="24"/>
          <w:szCs w:val="24"/>
          <w:lang w:val="en-US"/>
        </w:rPr>
        <w:t xml:space="preserve">ax approved for 2023/24 and higher than expected </w:t>
      </w:r>
      <w:r w:rsidR="00604D7F">
        <w:rPr>
          <w:sz w:val="24"/>
          <w:szCs w:val="24"/>
          <w:lang w:val="en-US"/>
        </w:rPr>
        <w:t>b</w:t>
      </w:r>
      <w:r w:rsidR="007C54F5" w:rsidRPr="00A518C1">
        <w:rPr>
          <w:sz w:val="24"/>
          <w:szCs w:val="24"/>
          <w:lang w:val="en-US"/>
        </w:rPr>
        <w:t xml:space="preserve">usiness </w:t>
      </w:r>
      <w:r w:rsidR="00604D7F">
        <w:rPr>
          <w:sz w:val="24"/>
          <w:szCs w:val="24"/>
          <w:lang w:val="en-US"/>
        </w:rPr>
        <w:t>r</w:t>
      </w:r>
      <w:r w:rsidR="007C54F5" w:rsidRPr="00A518C1">
        <w:rPr>
          <w:sz w:val="24"/>
          <w:szCs w:val="24"/>
          <w:lang w:val="en-US"/>
        </w:rPr>
        <w:t xml:space="preserve">ate income. </w:t>
      </w:r>
    </w:p>
    <w:p w14:paraId="39A0FDA8" w14:textId="77777777" w:rsidR="007C54F5" w:rsidRPr="00A518C1" w:rsidRDefault="007C54F5" w:rsidP="00DB08E0">
      <w:pPr>
        <w:tabs>
          <w:tab w:val="left" w:pos="709"/>
        </w:tabs>
        <w:ind w:left="709" w:hanging="709"/>
        <w:rPr>
          <w:sz w:val="24"/>
          <w:szCs w:val="24"/>
          <w:lang w:val="en-US"/>
        </w:rPr>
      </w:pPr>
    </w:p>
    <w:p w14:paraId="702FEDC5" w14:textId="77777777" w:rsidR="00DB08E0" w:rsidRPr="00A518C1" w:rsidRDefault="007C54F5" w:rsidP="00DB08E0">
      <w:pPr>
        <w:tabs>
          <w:tab w:val="left" w:pos="709"/>
        </w:tabs>
        <w:ind w:left="709" w:hanging="709"/>
        <w:rPr>
          <w:sz w:val="24"/>
          <w:szCs w:val="24"/>
          <w:lang w:val="en-US"/>
        </w:rPr>
      </w:pPr>
      <w:r w:rsidRPr="00A518C1">
        <w:rPr>
          <w:sz w:val="24"/>
          <w:szCs w:val="24"/>
          <w:lang w:val="en-US"/>
        </w:rPr>
        <w:t>2.14</w:t>
      </w:r>
      <w:r w:rsidRPr="00A518C1">
        <w:rPr>
          <w:sz w:val="24"/>
          <w:szCs w:val="24"/>
          <w:lang w:val="en-US"/>
        </w:rPr>
        <w:tab/>
      </w:r>
      <w:r w:rsidR="00DB08E0" w:rsidRPr="00A518C1">
        <w:rPr>
          <w:sz w:val="24"/>
          <w:szCs w:val="24"/>
          <w:lang w:val="en-US"/>
        </w:rPr>
        <w:t xml:space="preserve">There are a number of other risks where minor amendments have been made to reflect changes in either </w:t>
      </w:r>
      <w:r w:rsidR="00604D7F">
        <w:rPr>
          <w:sz w:val="24"/>
          <w:szCs w:val="24"/>
          <w:lang w:val="en-US"/>
        </w:rPr>
        <w:t xml:space="preserve">the </w:t>
      </w:r>
      <w:r w:rsidR="00DB08E0" w:rsidRPr="00A518C1">
        <w:rPr>
          <w:sz w:val="24"/>
          <w:szCs w:val="24"/>
          <w:lang w:val="en-US"/>
        </w:rPr>
        <w:t xml:space="preserve">risk value or in </w:t>
      </w:r>
      <w:r w:rsidR="00604D7F">
        <w:rPr>
          <w:sz w:val="24"/>
          <w:szCs w:val="24"/>
          <w:lang w:val="en-US"/>
        </w:rPr>
        <w:t xml:space="preserve">the </w:t>
      </w:r>
      <w:r w:rsidR="00DB08E0" w:rsidRPr="00A518C1">
        <w:rPr>
          <w:sz w:val="24"/>
          <w:szCs w:val="24"/>
          <w:lang w:val="en-US"/>
        </w:rPr>
        <w:t xml:space="preserve">expected likelihood or impact in the light of another year’s experience. </w:t>
      </w:r>
    </w:p>
    <w:p w14:paraId="79C1934D" w14:textId="77777777" w:rsidR="00DB08E0" w:rsidRPr="00A518C1" w:rsidRDefault="00DB08E0" w:rsidP="00DB08E0">
      <w:pPr>
        <w:tabs>
          <w:tab w:val="left" w:pos="709"/>
        </w:tabs>
        <w:ind w:left="709" w:hanging="709"/>
        <w:rPr>
          <w:lang w:val="en-US"/>
        </w:rPr>
      </w:pPr>
    </w:p>
    <w:p w14:paraId="123CF12E" w14:textId="77777777" w:rsidR="00DB08E0" w:rsidRPr="00A518C1" w:rsidRDefault="00DB08E0" w:rsidP="007C54F5">
      <w:pPr>
        <w:tabs>
          <w:tab w:val="left" w:pos="709"/>
        </w:tabs>
        <w:ind w:left="709" w:hanging="709"/>
        <w:rPr>
          <w:rFonts w:eastAsia="Calibri"/>
          <w:sz w:val="24"/>
          <w:szCs w:val="24"/>
          <w:lang w:val="en-US"/>
        </w:rPr>
      </w:pPr>
      <w:r w:rsidRPr="00A518C1">
        <w:rPr>
          <w:sz w:val="24"/>
          <w:szCs w:val="24"/>
          <w:lang w:val="en-US"/>
        </w:rPr>
        <w:t>2.1</w:t>
      </w:r>
      <w:r w:rsidR="0029537D" w:rsidRPr="00A518C1">
        <w:rPr>
          <w:sz w:val="24"/>
          <w:szCs w:val="24"/>
          <w:lang w:val="en-US"/>
        </w:rPr>
        <w:t>5</w:t>
      </w:r>
      <w:r w:rsidRPr="00A518C1">
        <w:rPr>
          <w:sz w:val="24"/>
          <w:szCs w:val="24"/>
          <w:lang w:val="en-US"/>
        </w:rPr>
        <w:tab/>
        <w:t xml:space="preserve">The updated risk assessment shows that an appropriate level of general reserves </w:t>
      </w:r>
      <w:r w:rsidR="00E02B4A" w:rsidRPr="00A518C1">
        <w:rPr>
          <w:sz w:val="24"/>
          <w:szCs w:val="24"/>
          <w:lang w:val="en-US"/>
        </w:rPr>
        <w:t xml:space="preserve">should </w:t>
      </w:r>
      <w:r w:rsidR="007C54F5" w:rsidRPr="00A518C1">
        <w:rPr>
          <w:sz w:val="24"/>
          <w:szCs w:val="24"/>
          <w:lang w:val="en-US"/>
        </w:rPr>
        <w:t xml:space="preserve">be reduced from £4.5m to </w:t>
      </w:r>
      <w:r w:rsidR="00E02B4A" w:rsidRPr="00A518C1">
        <w:rPr>
          <w:sz w:val="24"/>
          <w:szCs w:val="24"/>
          <w:lang w:val="en-US"/>
        </w:rPr>
        <w:t>£</w:t>
      </w:r>
      <w:r w:rsidRPr="00A518C1">
        <w:rPr>
          <w:sz w:val="24"/>
          <w:szCs w:val="24"/>
          <w:lang w:val="en-US"/>
        </w:rPr>
        <w:t>4.</w:t>
      </w:r>
      <w:r w:rsidR="007C54F5" w:rsidRPr="00A518C1">
        <w:rPr>
          <w:sz w:val="24"/>
          <w:szCs w:val="24"/>
          <w:lang w:val="en-US"/>
        </w:rPr>
        <w:t>1</w:t>
      </w:r>
      <w:r w:rsidRPr="00A518C1">
        <w:rPr>
          <w:sz w:val="24"/>
          <w:szCs w:val="24"/>
          <w:lang w:val="en-US"/>
        </w:rPr>
        <w:t xml:space="preserve">m.  </w:t>
      </w:r>
    </w:p>
    <w:p w14:paraId="46FD1D18" w14:textId="77777777" w:rsidR="00E02B4A" w:rsidRPr="00A518C1" w:rsidRDefault="00E02B4A" w:rsidP="00E02B4A">
      <w:pPr>
        <w:spacing w:after="240" w:line="276" w:lineRule="auto"/>
        <w:ind w:left="851"/>
        <w:contextualSpacing/>
        <w:rPr>
          <w:rFonts w:eastAsia="Calibri"/>
          <w:sz w:val="24"/>
          <w:szCs w:val="24"/>
          <w:lang w:val="en-US"/>
        </w:rPr>
      </w:pPr>
    </w:p>
    <w:p w14:paraId="77520213" w14:textId="77777777" w:rsidR="00E01EFE" w:rsidRPr="00A518C1" w:rsidRDefault="00DB08E0" w:rsidP="00E01EFE">
      <w:pPr>
        <w:tabs>
          <w:tab w:val="left" w:pos="709"/>
        </w:tabs>
        <w:ind w:left="709" w:hanging="709"/>
        <w:rPr>
          <w:sz w:val="24"/>
          <w:szCs w:val="24"/>
          <w:lang w:val="en-US"/>
        </w:rPr>
      </w:pPr>
      <w:r w:rsidRPr="00A518C1">
        <w:rPr>
          <w:sz w:val="24"/>
          <w:szCs w:val="24"/>
          <w:lang w:val="en-US"/>
        </w:rPr>
        <w:t>2.1</w:t>
      </w:r>
      <w:r w:rsidR="0029537D" w:rsidRPr="00A518C1">
        <w:rPr>
          <w:sz w:val="24"/>
          <w:szCs w:val="24"/>
          <w:lang w:val="en-US"/>
        </w:rPr>
        <w:t>6</w:t>
      </w:r>
      <w:r w:rsidRPr="00A518C1">
        <w:rPr>
          <w:sz w:val="24"/>
          <w:szCs w:val="24"/>
          <w:lang w:val="en-US"/>
        </w:rPr>
        <w:tab/>
        <w:t>Previous year’s minimum levels of General Reserves have remained between £3.</w:t>
      </w:r>
      <w:r w:rsidR="007C54F5" w:rsidRPr="00A518C1">
        <w:rPr>
          <w:sz w:val="24"/>
          <w:szCs w:val="24"/>
          <w:lang w:val="en-US"/>
        </w:rPr>
        <w:t>9</w:t>
      </w:r>
      <w:r w:rsidRPr="00A518C1">
        <w:rPr>
          <w:sz w:val="24"/>
          <w:szCs w:val="24"/>
          <w:lang w:val="en-US"/>
        </w:rPr>
        <w:t>m and £4.4m as detailed below:</w:t>
      </w:r>
    </w:p>
    <w:p w14:paraId="2026835F" w14:textId="77777777" w:rsidR="00E01EFE" w:rsidRPr="00A518C1" w:rsidRDefault="00E01EFE" w:rsidP="00E01EFE">
      <w:pPr>
        <w:tabs>
          <w:tab w:val="left" w:pos="709"/>
        </w:tabs>
        <w:ind w:left="709" w:hanging="709"/>
        <w:rPr>
          <w:sz w:val="24"/>
          <w:szCs w:val="24"/>
          <w:lang w:val="en-US"/>
        </w:rPr>
      </w:pPr>
    </w:p>
    <w:p w14:paraId="008A9FB8" w14:textId="77777777" w:rsidR="00DB08E0" w:rsidRPr="00A518C1" w:rsidRDefault="000B488C" w:rsidP="00E01EFE">
      <w:pPr>
        <w:tabs>
          <w:tab w:val="left" w:pos="709"/>
        </w:tabs>
        <w:ind w:left="709" w:hanging="709"/>
        <w:rPr>
          <w:b/>
          <w:bCs/>
          <w:sz w:val="24"/>
          <w:szCs w:val="24"/>
          <w:lang w:val="en-US"/>
        </w:rPr>
      </w:pPr>
      <w:r w:rsidRPr="00A518C1">
        <w:rPr>
          <w:b/>
          <w:bCs/>
          <w:sz w:val="24"/>
          <w:szCs w:val="24"/>
          <w:lang w:val="en-US"/>
        </w:rPr>
        <w:tab/>
        <w:t>Table 1 – Minimum General Fund Reserve Levels over last 5 years</w:t>
      </w:r>
    </w:p>
    <w:p w14:paraId="611DFEE7" w14:textId="77777777" w:rsidR="000B488C" w:rsidRPr="00A518C1" w:rsidRDefault="000B488C" w:rsidP="00DB08E0">
      <w:pPr>
        <w:rPr>
          <w:sz w:val="24"/>
          <w:szCs w:val="24"/>
          <w:lang w:val="en-US"/>
        </w:rPr>
      </w:pPr>
    </w:p>
    <w:tbl>
      <w:tblPr>
        <w:tblW w:w="0" w:type="auto"/>
        <w:tblInd w:w="2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3"/>
      </w:tblGrid>
      <w:tr w:rsidR="00DB08E0" w:rsidRPr="00A518C1" w14:paraId="519A41C6" w14:textId="77777777" w:rsidTr="00DB08E0">
        <w:tc>
          <w:tcPr>
            <w:tcW w:w="1701" w:type="dxa"/>
            <w:shd w:val="clear" w:color="auto" w:fill="D9D9D9"/>
          </w:tcPr>
          <w:p w14:paraId="56C8D270" w14:textId="77777777" w:rsidR="00DB08E0" w:rsidRPr="00A518C1" w:rsidRDefault="00DB08E0" w:rsidP="00DB08E0">
            <w:pPr>
              <w:rPr>
                <w:b/>
                <w:sz w:val="24"/>
                <w:szCs w:val="24"/>
                <w:lang w:val="en-US"/>
              </w:rPr>
            </w:pPr>
            <w:r w:rsidRPr="00A518C1">
              <w:rPr>
                <w:b/>
                <w:sz w:val="24"/>
                <w:szCs w:val="24"/>
                <w:lang w:val="en-US"/>
              </w:rPr>
              <w:t>Year</w:t>
            </w:r>
          </w:p>
        </w:tc>
        <w:tc>
          <w:tcPr>
            <w:tcW w:w="2693" w:type="dxa"/>
            <w:shd w:val="clear" w:color="auto" w:fill="D9D9D9"/>
          </w:tcPr>
          <w:p w14:paraId="713DF4EA" w14:textId="77777777" w:rsidR="00DB08E0" w:rsidRPr="00A518C1" w:rsidRDefault="00DB08E0" w:rsidP="00DB08E0">
            <w:pPr>
              <w:jc w:val="right"/>
              <w:rPr>
                <w:b/>
                <w:sz w:val="24"/>
                <w:szCs w:val="24"/>
                <w:lang w:val="en-US"/>
              </w:rPr>
            </w:pPr>
            <w:r w:rsidRPr="00A518C1">
              <w:rPr>
                <w:b/>
                <w:sz w:val="24"/>
                <w:szCs w:val="24"/>
                <w:lang w:val="en-US"/>
              </w:rPr>
              <w:t>Minimum General Fund Reserve level</w:t>
            </w:r>
          </w:p>
          <w:p w14:paraId="70E9BA3A" w14:textId="77777777" w:rsidR="00DB08E0" w:rsidRPr="00A518C1" w:rsidRDefault="00DB08E0" w:rsidP="00DB08E0">
            <w:pPr>
              <w:jc w:val="right"/>
              <w:rPr>
                <w:b/>
                <w:sz w:val="24"/>
                <w:szCs w:val="24"/>
                <w:lang w:val="en-US"/>
              </w:rPr>
            </w:pPr>
            <w:r w:rsidRPr="00A518C1">
              <w:rPr>
                <w:b/>
                <w:sz w:val="24"/>
                <w:szCs w:val="24"/>
                <w:lang w:val="en-US"/>
              </w:rPr>
              <w:t>£’m</w:t>
            </w:r>
          </w:p>
        </w:tc>
      </w:tr>
      <w:tr w:rsidR="00DB08E0" w:rsidRPr="00A518C1" w14:paraId="59C161CD" w14:textId="77777777" w:rsidTr="00DB08E0">
        <w:tc>
          <w:tcPr>
            <w:tcW w:w="1701" w:type="dxa"/>
            <w:shd w:val="clear" w:color="auto" w:fill="auto"/>
          </w:tcPr>
          <w:p w14:paraId="25DA28C4" w14:textId="77777777" w:rsidR="00DB08E0" w:rsidRPr="00A518C1" w:rsidRDefault="004B6C98" w:rsidP="00DB08E0">
            <w:pPr>
              <w:spacing w:before="120" w:after="120"/>
              <w:rPr>
                <w:sz w:val="24"/>
                <w:szCs w:val="24"/>
                <w:lang w:val="en-US"/>
              </w:rPr>
            </w:pPr>
            <w:r w:rsidRPr="00A518C1">
              <w:rPr>
                <w:sz w:val="24"/>
                <w:szCs w:val="24"/>
                <w:lang w:val="en-US"/>
              </w:rPr>
              <w:t>2024/25</w:t>
            </w:r>
          </w:p>
        </w:tc>
        <w:tc>
          <w:tcPr>
            <w:tcW w:w="2693" w:type="dxa"/>
            <w:shd w:val="clear" w:color="auto" w:fill="auto"/>
          </w:tcPr>
          <w:p w14:paraId="3D5AA6E5" w14:textId="77777777" w:rsidR="00DB08E0" w:rsidRPr="00A518C1" w:rsidRDefault="00DB08E0" w:rsidP="00DB08E0">
            <w:pPr>
              <w:spacing w:before="120" w:after="120"/>
              <w:jc w:val="right"/>
              <w:rPr>
                <w:sz w:val="24"/>
                <w:szCs w:val="24"/>
                <w:lang w:val="en-US"/>
              </w:rPr>
            </w:pPr>
            <w:r w:rsidRPr="00A518C1">
              <w:rPr>
                <w:sz w:val="24"/>
                <w:szCs w:val="24"/>
                <w:lang w:val="en-US"/>
              </w:rPr>
              <w:t>4.</w:t>
            </w:r>
            <w:r w:rsidR="007C54F5" w:rsidRPr="00A518C1">
              <w:rPr>
                <w:sz w:val="24"/>
                <w:szCs w:val="24"/>
                <w:lang w:val="en-US"/>
              </w:rPr>
              <w:t>1</w:t>
            </w:r>
          </w:p>
        </w:tc>
      </w:tr>
      <w:tr w:rsidR="000719A9" w:rsidRPr="00A518C1" w14:paraId="60B1B9F9" w14:textId="77777777" w:rsidTr="00DB08E0">
        <w:tc>
          <w:tcPr>
            <w:tcW w:w="1701" w:type="dxa"/>
            <w:shd w:val="clear" w:color="auto" w:fill="auto"/>
          </w:tcPr>
          <w:p w14:paraId="6AD1E1AB" w14:textId="77777777" w:rsidR="000719A9" w:rsidRPr="00A518C1" w:rsidRDefault="004B6C98" w:rsidP="00DB08E0">
            <w:pPr>
              <w:spacing w:before="120" w:after="120"/>
              <w:rPr>
                <w:sz w:val="24"/>
                <w:szCs w:val="24"/>
                <w:lang w:val="en-US"/>
              </w:rPr>
            </w:pPr>
            <w:r w:rsidRPr="00A518C1">
              <w:rPr>
                <w:sz w:val="24"/>
                <w:szCs w:val="24"/>
                <w:lang w:val="en-US"/>
              </w:rPr>
              <w:t>2023/24</w:t>
            </w:r>
          </w:p>
        </w:tc>
        <w:tc>
          <w:tcPr>
            <w:tcW w:w="2693" w:type="dxa"/>
            <w:shd w:val="clear" w:color="auto" w:fill="auto"/>
          </w:tcPr>
          <w:p w14:paraId="10CB420D" w14:textId="77777777" w:rsidR="000719A9" w:rsidRPr="00A518C1" w:rsidRDefault="000719A9" w:rsidP="00DB08E0">
            <w:pPr>
              <w:spacing w:before="120" w:after="120"/>
              <w:jc w:val="right"/>
              <w:rPr>
                <w:sz w:val="24"/>
                <w:szCs w:val="24"/>
                <w:lang w:val="en-US"/>
              </w:rPr>
            </w:pPr>
            <w:r w:rsidRPr="00A518C1">
              <w:rPr>
                <w:sz w:val="24"/>
                <w:szCs w:val="24"/>
                <w:lang w:val="en-US"/>
              </w:rPr>
              <w:t>4.5</w:t>
            </w:r>
          </w:p>
        </w:tc>
      </w:tr>
      <w:tr w:rsidR="00DB08E0" w:rsidRPr="00A518C1" w14:paraId="5B61FA59" w14:textId="77777777" w:rsidTr="00DB08E0">
        <w:tc>
          <w:tcPr>
            <w:tcW w:w="1701" w:type="dxa"/>
            <w:shd w:val="clear" w:color="auto" w:fill="auto"/>
          </w:tcPr>
          <w:p w14:paraId="1D3869B7" w14:textId="77777777" w:rsidR="00DB08E0" w:rsidRPr="00A518C1" w:rsidRDefault="000719A9" w:rsidP="00DB08E0">
            <w:pPr>
              <w:spacing w:before="120" w:after="120"/>
              <w:rPr>
                <w:sz w:val="24"/>
                <w:szCs w:val="24"/>
                <w:lang w:val="en-US"/>
              </w:rPr>
            </w:pPr>
            <w:r w:rsidRPr="00A518C1">
              <w:rPr>
                <w:sz w:val="24"/>
                <w:szCs w:val="24"/>
                <w:lang w:val="en-US"/>
              </w:rPr>
              <w:t>2021/22</w:t>
            </w:r>
          </w:p>
        </w:tc>
        <w:tc>
          <w:tcPr>
            <w:tcW w:w="2693" w:type="dxa"/>
            <w:shd w:val="clear" w:color="auto" w:fill="auto"/>
          </w:tcPr>
          <w:p w14:paraId="183C464F" w14:textId="77777777" w:rsidR="00DB08E0" w:rsidRPr="00A518C1" w:rsidRDefault="00AA7031" w:rsidP="00DB08E0">
            <w:pPr>
              <w:spacing w:before="120" w:after="120"/>
              <w:jc w:val="right"/>
              <w:rPr>
                <w:sz w:val="24"/>
                <w:szCs w:val="24"/>
                <w:lang w:val="en-US"/>
              </w:rPr>
            </w:pPr>
            <w:r w:rsidRPr="00A518C1">
              <w:rPr>
                <w:sz w:val="24"/>
                <w:szCs w:val="24"/>
                <w:lang w:val="en-US"/>
              </w:rPr>
              <w:t>4.5</w:t>
            </w:r>
          </w:p>
        </w:tc>
      </w:tr>
      <w:tr w:rsidR="00DB08E0" w:rsidRPr="00A518C1" w14:paraId="31B6525C" w14:textId="77777777" w:rsidTr="00DB08E0">
        <w:tc>
          <w:tcPr>
            <w:tcW w:w="1701" w:type="dxa"/>
            <w:shd w:val="clear" w:color="auto" w:fill="auto"/>
          </w:tcPr>
          <w:p w14:paraId="58CE0445" w14:textId="77777777" w:rsidR="00DB08E0" w:rsidRPr="00A518C1" w:rsidRDefault="000719A9" w:rsidP="00DB08E0">
            <w:pPr>
              <w:spacing w:before="120" w:after="120"/>
              <w:rPr>
                <w:sz w:val="24"/>
                <w:szCs w:val="24"/>
                <w:lang w:val="en-US"/>
              </w:rPr>
            </w:pPr>
            <w:r w:rsidRPr="00A518C1">
              <w:rPr>
                <w:sz w:val="24"/>
                <w:szCs w:val="24"/>
                <w:lang w:val="en-US"/>
              </w:rPr>
              <w:t>2020/21</w:t>
            </w:r>
          </w:p>
        </w:tc>
        <w:tc>
          <w:tcPr>
            <w:tcW w:w="2693" w:type="dxa"/>
            <w:shd w:val="clear" w:color="auto" w:fill="auto"/>
          </w:tcPr>
          <w:p w14:paraId="7286A008" w14:textId="77777777" w:rsidR="00DB08E0" w:rsidRPr="00A518C1" w:rsidRDefault="0029537D" w:rsidP="00DB08E0">
            <w:pPr>
              <w:spacing w:before="120" w:after="120"/>
              <w:jc w:val="right"/>
              <w:rPr>
                <w:sz w:val="24"/>
                <w:szCs w:val="24"/>
                <w:lang w:val="en-US"/>
              </w:rPr>
            </w:pPr>
            <w:r w:rsidRPr="00A518C1">
              <w:rPr>
                <w:sz w:val="24"/>
                <w:szCs w:val="24"/>
                <w:lang w:val="en-US"/>
              </w:rPr>
              <w:t>4.5</w:t>
            </w:r>
          </w:p>
        </w:tc>
      </w:tr>
      <w:tr w:rsidR="00DB08E0" w:rsidRPr="00A518C1" w14:paraId="5D0A0302" w14:textId="77777777" w:rsidTr="00DB08E0">
        <w:tc>
          <w:tcPr>
            <w:tcW w:w="1701" w:type="dxa"/>
            <w:shd w:val="clear" w:color="auto" w:fill="auto"/>
          </w:tcPr>
          <w:p w14:paraId="3A826C36" w14:textId="77777777" w:rsidR="00DB08E0" w:rsidRPr="00A518C1" w:rsidRDefault="00DB08E0" w:rsidP="00DB08E0">
            <w:pPr>
              <w:spacing w:before="120" w:after="120"/>
              <w:rPr>
                <w:sz w:val="24"/>
                <w:szCs w:val="24"/>
                <w:lang w:val="en-US"/>
              </w:rPr>
            </w:pPr>
            <w:r w:rsidRPr="00A518C1">
              <w:rPr>
                <w:sz w:val="24"/>
                <w:szCs w:val="24"/>
                <w:lang w:val="en-US"/>
              </w:rPr>
              <w:t>201</w:t>
            </w:r>
            <w:r w:rsidR="000719A9" w:rsidRPr="00A518C1">
              <w:rPr>
                <w:sz w:val="24"/>
                <w:szCs w:val="24"/>
                <w:lang w:val="en-US"/>
              </w:rPr>
              <w:t>9</w:t>
            </w:r>
            <w:r w:rsidRPr="00A518C1">
              <w:rPr>
                <w:sz w:val="24"/>
                <w:szCs w:val="24"/>
                <w:lang w:val="en-US"/>
              </w:rPr>
              <w:t>/</w:t>
            </w:r>
            <w:r w:rsidR="000719A9" w:rsidRPr="00A518C1">
              <w:rPr>
                <w:sz w:val="24"/>
                <w:szCs w:val="24"/>
                <w:lang w:val="en-US"/>
              </w:rPr>
              <w:t>20</w:t>
            </w:r>
          </w:p>
        </w:tc>
        <w:tc>
          <w:tcPr>
            <w:tcW w:w="2693" w:type="dxa"/>
            <w:shd w:val="clear" w:color="auto" w:fill="auto"/>
          </w:tcPr>
          <w:p w14:paraId="387E36D3" w14:textId="77777777" w:rsidR="00DB08E0" w:rsidRPr="00A518C1" w:rsidRDefault="00AA7031" w:rsidP="00DB08E0">
            <w:pPr>
              <w:spacing w:before="120" w:after="120"/>
              <w:jc w:val="right"/>
              <w:rPr>
                <w:sz w:val="24"/>
                <w:szCs w:val="24"/>
                <w:lang w:val="en-US"/>
              </w:rPr>
            </w:pPr>
            <w:r w:rsidRPr="00A518C1">
              <w:rPr>
                <w:sz w:val="24"/>
                <w:szCs w:val="24"/>
                <w:lang w:val="en-US"/>
              </w:rPr>
              <w:t>3.9</w:t>
            </w:r>
          </w:p>
        </w:tc>
      </w:tr>
    </w:tbl>
    <w:p w14:paraId="64225311" w14:textId="77777777" w:rsidR="00DB08E0" w:rsidRPr="00A518C1" w:rsidRDefault="00DB08E0" w:rsidP="00DB08E0">
      <w:pPr>
        <w:rPr>
          <w:sz w:val="24"/>
          <w:szCs w:val="24"/>
          <w:lang w:val="en-US"/>
        </w:rPr>
      </w:pPr>
    </w:p>
    <w:p w14:paraId="13D9B03C" w14:textId="77777777" w:rsidR="00DB08E0" w:rsidRPr="00A518C1" w:rsidRDefault="00DB08E0" w:rsidP="004D73CE">
      <w:pPr>
        <w:ind w:left="709" w:hanging="709"/>
        <w:rPr>
          <w:sz w:val="24"/>
          <w:szCs w:val="24"/>
          <w:lang w:val="en-US"/>
        </w:rPr>
      </w:pPr>
      <w:r w:rsidRPr="00A518C1">
        <w:rPr>
          <w:sz w:val="24"/>
          <w:szCs w:val="24"/>
          <w:lang w:val="en-US"/>
        </w:rPr>
        <w:t>2.1</w:t>
      </w:r>
      <w:r w:rsidR="0029537D" w:rsidRPr="00A518C1">
        <w:rPr>
          <w:sz w:val="24"/>
          <w:szCs w:val="24"/>
          <w:lang w:val="en-US"/>
        </w:rPr>
        <w:t>7</w:t>
      </w:r>
      <w:r w:rsidRPr="00A518C1">
        <w:rPr>
          <w:sz w:val="24"/>
          <w:szCs w:val="24"/>
          <w:lang w:val="en-US"/>
        </w:rPr>
        <w:tab/>
        <w:t>The Finance and Resources Committee regularly receives risk management reports, which show that corporate risks are regularly reviewed by Officers and that controls are in place to manage those risks. The review of reserves reflects changes to the corporate risk register.</w:t>
      </w:r>
    </w:p>
    <w:p w14:paraId="214AA758" w14:textId="77777777" w:rsidR="00DB08E0" w:rsidRPr="00A518C1" w:rsidRDefault="00DB08E0" w:rsidP="004D73CE">
      <w:pPr>
        <w:ind w:left="709" w:hanging="709"/>
        <w:rPr>
          <w:sz w:val="24"/>
          <w:szCs w:val="24"/>
          <w:lang w:val="en-US"/>
        </w:rPr>
      </w:pPr>
      <w:r w:rsidRPr="00A518C1">
        <w:rPr>
          <w:sz w:val="24"/>
          <w:szCs w:val="24"/>
          <w:lang w:val="en-US"/>
        </w:rPr>
        <w:t xml:space="preserve"> </w:t>
      </w:r>
    </w:p>
    <w:p w14:paraId="4802A1A0" w14:textId="77777777" w:rsidR="00E01EFE" w:rsidRPr="00E05E60" w:rsidRDefault="00DB08E0" w:rsidP="00AC4E7B">
      <w:pPr>
        <w:ind w:left="709" w:hanging="709"/>
        <w:rPr>
          <w:sz w:val="24"/>
          <w:szCs w:val="24"/>
          <w:lang w:val="en-US"/>
        </w:rPr>
      </w:pPr>
      <w:bookmarkStart w:id="26" w:name="_Hlk530593486"/>
      <w:r w:rsidRPr="00A518C1">
        <w:rPr>
          <w:sz w:val="24"/>
          <w:szCs w:val="24"/>
          <w:lang w:val="en-US"/>
        </w:rPr>
        <w:t>2.1</w:t>
      </w:r>
      <w:r w:rsidR="0029537D" w:rsidRPr="00A518C1">
        <w:rPr>
          <w:sz w:val="24"/>
          <w:szCs w:val="24"/>
          <w:lang w:val="en-US"/>
        </w:rPr>
        <w:t>8</w:t>
      </w:r>
      <w:r w:rsidRPr="00A518C1">
        <w:rPr>
          <w:sz w:val="24"/>
          <w:szCs w:val="24"/>
          <w:lang w:val="en-US"/>
        </w:rPr>
        <w:tab/>
        <w:t>The projected level of general fund reserves at 31 March 202</w:t>
      </w:r>
      <w:r w:rsidR="0029537D" w:rsidRPr="00A518C1">
        <w:rPr>
          <w:sz w:val="24"/>
          <w:szCs w:val="24"/>
          <w:lang w:val="en-US"/>
        </w:rPr>
        <w:t>3</w:t>
      </w:r>
      <w:r w:rsidRPr="00A518C1">
        <w:rPr>
          <w:sz w:val="24"/>
          <w:szCs w:val="24"/>
          <w:lang w:val="en-US"/>
        </w:rPr>
        <w:t xml:space="preserve"> is of the order of £</w:t>
      </w:r>
      <w:r w:rsidR="00AA7031" w:rsidRPr="00A518C1">
        <w:rPr>
          <w:sz w:val="24"/>
          <w:szCs w:val="24"/>
          <w:lang w:val="en-US"/>
        </w:rPr>
        <w:t>5.</w:t>
      </w:r>
      <w:r w:rsidR="0029537D" w:rsidRPr="00A518C1">
        <w:rPr>
          <w:sz w:val="24"/>
          <w:szCs w:val="24"/>
          <w:lang w:val="en-US"/>
        </w:rPr>
        <w:t>0</w:t>
      </w:r>
      <w:r w:rsidRPr="00A518C1">
        <w:rPr>
          <w:sz w:val="24"/>
          <w:szCs w:val="24"/>
          <w:lang w:val="en-US"/>
        </w:rPr>
        <w:t>m (section 2.5)</w:t>
      </w:r>
      <w:r w:rsidR="00AD596B" w:rsidRPr="00A518C1">
        <w:rPr>
          <w:sz w:val="24"/>
          <w:szCs w:val="24"/>
          <w:lang w:val="en-US"/>
        </w:rPr>
        <w:t xml:space="preserve">. </w:t>
      </w:r>
      <w:r w:rsidRPr="00A518C1">
        <w:rPr>
          <w:sz w:val="24"/>
          <w:szCs w:val="24"/>
          <w:lang w:val="en-US"/>
        </w:rPr>
        <w:t>The General Fund reserve exceeds the minimum level required by £</w:t>
      </w:r>
      <w:r w:rsidR="00AA7031" w:rsidRPr="00A518C1">
        <w:rPr>
          <w:sz w:val="24"/>
          <w:szCs w:val="24"/>
          <w:lang w:val="en-US"/>
        </w:rPr>
        <w:t>0.</w:t>
      </w:r>
      <w:r w:rsidR="0029537D" w:rsidRPr="00A518C1">
        <w:rPr>
          <w:sz w:val="24"/>
          <w:szCs w:val="24"/>
          <w:lang w:val="en-US"/>
        </w:rPr>
        <w:t>9</w:t>
      </w:r>
      <w:r w:rsidRPr="00A518C1">
        <w:rPr>
          <w:sz w:val="24"/>
          <w:szCs w:val="24"/>
          <w:lang w:val="en-US"/>
        </w:rPr>
        <w:t xml:space="preserve">m. </w:t>
      </w:r>
      <w:r w:rsidR="00AC4E7B" w:rsidRPr="00A518C1">
        <w:rPr>
          <w:sz w:val="24"/>
          <w:szCs w:val="24"/>
          <w:lang w:val="en-US"/>
        </w:rPr>
        <w:t>There will be an opportunity to review General Fund reserves at year end once more information is known about the funding settlement</w:t>
      </w:r>
      <w:r w:rsidR="0029537D" w:rsidRPr="00A518C1">
        <w:rPr>
          <w:sz w:val="24"/>
          <w:szCs w:val="24"/>
          <w:lang w:val="en-US"/>
        </w:rPr>
        <w:t>.</w:t>
      </w:r>
    </w:p>
    <w:p w14:paraId="27FF5BFB" w14:textId="77777777" w:rsidR="00AA60E8" w:rsidRPr="00E05E60" w:rsidRDefault="00AA60E8" w:rsidP="004D73CE">
      <w:pPr>
        <w:ind w:left="709" w:hanging="709"/>
        <w:rPr>
          <w:sz w:val="24"/>
          <w:szCs w:val="24"/>
          <w:lang w:val="en-US"/>
        </w:rPr>
      </w:pPr>
    </w:p>
    <w:p w14:paraId="0A787265" w14:textId="77777777" w:rsidR="00DB08E0" w:rsidRPr="00E05E60" w:rsidRDefault="00DB08E0" w:rsidP="00DB08E0">
      <w:pPr>
        <w:autoSpaceDE w:val="0"/>
        <w:autoSpaceDN w:val="0"/>
        <w:adjustRightInd w:val="0"/>
        <w:rPr>
          <w:b/>
          <w:bCs/>
          <w:sz w:val="24"/>
          <w:szCs w:val="24"/>
        </w:rPr>
      </w:pPr>
      <w:bookmarkStart w:id="27" w:name="_Hlk530566086"/>
      <w:bookmarkEnd w:id="26"/>
      <w:r w:rsidRPr="00E05E60">
        <w:rPr>
          <w:b/>
          <w:bCs/>
          <w:sz w:val="24"/>
          <w:szCs w:val="24"/>
        </w:rPr>
        <w:t>3</w:t>
      </w:r>
      <w:bookmarkEnd w:id="27"/>
      <w:r w:rsidRPr="00E05E60">
        <w:rPr>
          <w:b/>
          <w:bCs/>
          <w:sz w:val="24"/>
          <w:szCs w:val="24"/>
        </w:rPr>
        <w:tab/>
        <w:t>ANNUAL REVIEW OF EARMARKED RESERVES</w:t>
      </w:r>
    </w:p>
    <w:p w14:paraId="49C947BC" w14:textId="77777777" w:rsidR="00DB08E0" w:rsidRPr="00E05E60" w:rsidRDefault="00DB08E0" w:rsidP="00DB08E0">
      <w:pPr>
        <w:autoSpaceDE w:val="0"/>
        <w:autoSpaceDN w:val="0"/>
        <w:adjustRightInd w:val="0"/>
        <w:rPr>
          <w:sz w:val="24"/>
          <w:szCs w:val="24"/>
        </w:rPr>
      </w:pPr>
    </w:p>
    <w:p w14:paraId="49D1D63B" w14:textId="77777777" w:rsidR="00DB08E0" w:rsidRPr="00A518C1" w:rsidRDefault="00DB08E0" w:rsidP="004D73CE">
      <w:pPr>
        <w:autoSpaceDE w:val="0"/>
        <w:autoSpaceDN w:val="0"/>
        <w:adjustRightInd w:val="0"/>
        <w:ind w:left="709" w:hanging="709"/>
        <w:rPr>
          <w:sz w:val="24"/>
          <w:szCs w:val="24"/>
        </w:rPr>
      </w:pPr>
      <w:r w:rsidRPr="00E05E60">
        <w:rPr>
          <w:sz w:val="24"/>
          <w:szCs w:val="24"/>
        </w:rPr>
        <w:t>3.1</w:t>
      </w:r>
      <w:r w:rsidRPr="00E05E60">
        <w:rPr>
          <w:sz w:val="24"/>
          <w:szCs w:val="24"/>
        </w:rPr>
        <w:tab/>
      </w:r>
      <w:r w:rsidR="00180896" w:rsidRPr="00A518C1">
        <w:rPr>
          <w:sz w:val="24"/>
          <w:szCs w:val="24"/>
        </w:rPr>
        <w:t>At 1 April 202</w:t>
      </w:r>
      <w:r w:rsidR="004F47DA" w:rsidRPr="00A518C1">
        <w:rPr>
          <w:sz w:val="24"/>
          <w:szCs w:val="24"/>
        </w:rPr>
        <w:t>3</w:t>
      </w:r>
      <w:r w:rsidR="00180896" w:rsidRPr="00A518C1">
        <w:rPr>
          <w:sz w:val="24"/>
          <w:szCs w:val="24"/>
        </w:rPr>
        <w:t>, t</w:t>
      </w:r>
      <w:r w:rsidRPr="00A518C1">
        <w:rPr>
          <w:sz w:val="24"/>
          <w:szCs w:val="24"/>
        </w:rPr>
        <w:t>he Authority ha</w:t>
      </w:r>
      <w:r w:rsidR="00180896" w:rsidRPr="00A518C1">
        <w:rPr>
          <w:sz w:val="24"/>
          <w:szCs w:val="24"/>
        </w:rPr>
        <w:t>d £</w:t>
      </w:r>
      <w:r w:rsidR="004F47DA" w:rsidRPr="00A518C1">
        <w:rPr>
          <w:sz w:val="24"/>
          <w:szCs w:val="24"/>
        </w:rPr>
        <w:t>5.3</w:t>
      </w:r>
      <w:r w:rsidR="00180896" w:rsidRPr="00A518C1">
        <w:rPr>
          <w:sz w:val="24"/>
          <w:szCs w:val="24"/>
        </w:rPr>
        <w:t>m</w:t>
      </w:r>
      <w:r w:rsidRPr="00A518C1">
        <w:rPr>
          <w:sz w:val="24"/>
          <w:szCs w:val="24"/>
        </w:rPr>
        <w:t xml:space="preserve"> of earmarked reserves which have been established for specific purposes; where there have been timing differences at budget setting or year-end or to address emerging risks or cost pressures.</w:t>
      </w:r>
    </w:p>
    <w:p w14:paraId="12147498" w14:textId="77777777" w:rsidR="00526E53" w:rsidRPr="00A518C1" w:rsidRDefault="00526E53" w:rsidP="004D73CE">
      <w:pPr>
        <w:autoSpaceDE w:val="0"/>
        <w:autoSpaceDN w:val="0"/>
        <w:adjustRightInd w:val="0"/>
        <w:ind w:left="709" w:hanging="709"/>
        <w:rPr>
          <w:sz w:val="24"/>
          <w:szCs w:val="24"/>
        </w:rPr>
      </w:pPr>
    </w:p>
    <w:p w14:paraId="35C9B8EC" w14:textId="77777777" w:rsidR="00526E53" w:rsidRPr="00A518C1" w:rsidRDefault="00526E53" w:rsidP="004D73CE">
      <w:pPr>
        <w:autoSpaceDE w:val="0"/>
        <w:autoSpaceDN w:val="0"/>
        <w:adjustRightInd w:val="0"/>
        <w:ind w:left="709" w:hanging="709"/>
        <w:rPr>
          <w:sz w:val="24"/>
          <w:szCs w:val="24"/>
        </w:rPr>
      </w:pPr>
      <w:r w:rsidRPr="00A518C1">
        <w:rPr>
          <w:sz w:val="24"/>
          <w:szCs w:val="24"/>
        </w:rPr>
        <w:t>3.2</w:t>
      </w:r>
      <w:r w:rsidRPr="00A518C1">
        <w:rPr>
          <w:sz w:val="24"/>
          <w:szCs w:val="24"/>
        </w:rPr>
        <w:tab/>
        <w:t xml:space="preserve">Any unspent government grant at the end of the financial year is transferred into earmarked reserves to enable it to be ringfenced for its original purpose.  </w:t>
      </w:r>
      <w:r w:rsidR="007136BE" w:rsidRPr="00A518C1">
        <w:rPr>
          <w:sz w:val="24"/>
          <w:szCs w:val="24"/>
        </w:rPr>
        <w:t>I</w:t>
      </w:r>
      <w:r w:rsidRPr="00A518C1">
        <w:rPr>
          <w:sz w:val="24"/>
          <w:szCs w:val="24"/>
        </w:rPr>
        <w:t>t is expected that £1.</w:t>
      </w:r>
      <w:r w:rsidR="00EC5A50" w:rsidRPr="00A518C1">
        <w:rPr>
          <w:sz w:val="24"/>
          <w:szCs w:val="24"/>
        </w:rPr>
        <w:t>2</w:t>
      </w:r>
      <w:r w:rsidRPr="00A518C1">
        <w:rPr>
          <w:sz w:val="24"/>
          <w:szCs w:val="24"/>
        </w:rPr>
        <w:t xml:space="preserve">m </w:t>
      </w:r>
      <w:r w:rsidR="007136BE" w:rsidRPr="00A518C1">
        <w:rPr>
          <w:sz w:val="24"/>
          <w:szCs w:val="24"/>
        </w:rPr>
        <w:t xml:space="preserve">of earmarked reserves at 31 March </w:t>
      </w:r>
      <w:r w:rsidR="004F47DA" w:rsidRPr="00A518C1">
        <w:rPr>
          <w:sz w:val="24"/>
          <w:szCs w:val="24"/>
        </w:rPr>
        <w:t>24</w:t>
      </w:r>
      <w:r w:rsidR="007136BE" w:rsidRPr="00A518C1">
        <w:rPr>
          <w:sz w:val="24"/>
          <w:szCs w:val="24"/>
        </w:rPr>
        <w:t xml:space="preserve"> </w:t>
      </w:r>
      <w:r w:rsidRPr="00A518C1">
        <w:rPr>
          <w:sz w:val="24"/>
          <w:szCs w:val="24"/>
        </w:rPr>
        <w:t>will relate to unspent grant.  The majority of this (£1.</w:t>
      </w:r>
      <w:r w:rsidR="00EC5A50" w:rsidRPr="00A518C1">
        <w:rPr>
          <w:sz w:val="24"/>
          <w:szCs w:val="24"/>
        </w:rPr>
        <w:t>0</w:t>
      </w:r>
      <w:r w:rsidRPr="00A518C1">
        <w:rPr>
          <w:sz w:val="24"/>
          <w:szCs w:val="24"/>
        </w:rPr>
        <w:t>m) relates to the national Emergency Services Network (ESN) scheme that</w:t>
      </w:r>
      <w:r w:rsidR="00DE3ACF" w:rsidRPr="00A518C1">
        <w:rPr>
          <w:sz w:val="24"/>
          <w:szCs w:val="24"/>
        </w:rPr>
        <w:t xml:space="preserve"> has now been put on hold by the Home Office</w:t>
      </w:r>
      <w:r w:rsidRPr="00A518C1">
        <w:rPr>
          <w:sz w:val="24"/>
          <w:szCs w:val="24"/>
        </w:rPr>
        <w:t>.</w:t>
      </w:r>
    </w:p>
    <w:p w14:paraId="16C7F713" w14:textId="77777777" w:rsidR="000B488C" w:rsidRPr="00A518C1" w:rsidRDefault="000B488C" w:rsidP="004D73CE">
      <w:pPr>
        <w:autoSpaceDE w:val="0"/>
        <w:autoSpaceDN w:val="0"/>
        <w:adjustRightInd w:val="0"/>
        <w:ind w:left="709" w:hanging="709"/>
        <w:rPr>
          <w:sz w:val="24"/>
          <w:szCs w:val="24"/>
        </w:rPr>
      </w:pPr>
    </w:p>
    <w:p w14:paraId="105E565E" w14:textId="77777777" w:rsidR="006A14BB" w:rsidRPr="00A518C1" w:rsidRDefault="000B488C" w:rsidP="004D73CE">
      <w:pPr>
        <w:autoSpaceDE w:val="0"/>
        <w:autoSpaceDN w:val="0"/>
        <w:adjustRightInd w:val="0"/>
        <w:ind w:left="709" w:hanging="709"/>
        <w:rPr>
          <w:sz w:val="24"/>
          <w:szCs w:val="24"/>
        </w:rPr>
      </w:pPr>
      <w:r w:rsidRPr="00A518C1">
        <w:rPr>
          <w:sz w:val="24"/>
          <w:szCs w:val="24"/>
        </w:rPr>
        <w:t xml:space="preserve">3.3 </w:t>
      </w:r>
      <w:r w:rsidRPr="00A518C1">
        <w:rPr>
          <w:sz w:val="24"/>
          <w:szCs w:val="24"/>
        </w:rPr>
        <w:tab/>
        <w:t>A</w:t>
      </w:r>
      <w:r w:rsidR="00D91A0D" w:rsidRPr="00A518C1">
        <w:rPr>
          <w:sz w:val="24"/>
          <w:szCs w:val="24"/>
        </w:rPr>
        <w:t>ppendix B contains details of all Earmarked Reserves.  A</w:t>
      </w:r>
      <w:r w:rsidRPr="00A518C1">
        <w:rPr>
          <w:sz w:val="24"/>
          <w:szCs w:val="24"/>
        </w:rPr>
        <w:t xml:space="preserve"> summary</w:t>
      </w:r>
      <w:r w:rsidR="00B74646" w:rsidRPr="00A518C1">
        <w:rPr>
          <w:sz w:val="24"/>
          <w:szCs w:val="24"/>
        </w:rPr>
        <w:t xml:space="preserve"> position</w:t>
      </w:r>
      <w:r w:rsidRPr="00A518C1">
        <w:rPr>
          <w:sz w:val="24"/>
          <w:szCs w:val="24"/>
        </w:rPr>
        <w:t xml:space="preserve"> </w:t>
      </w:r>
      <w:r w:rsidR="00D91A0D" w:rsidRPr="00A518C1">
        <w:rPr>
          <w:sz w:val="24"/>
          <w:szCs w:val="24"/>
        </w:rPr>
        <w:t>is shown</w:t>
      </w:r>
      <w:r w:rsidRPr="00A518C1">
        <w:rPr>
          <w:sz w:val="24"/>
          <w:szCs w:val="24"/>
        </w:rPr>
        <w:t xml:space="preserve"> in Table 2 below.</w:t>
      </w:r>
    </w:p>
    <w:p w14:paraId="0E240C0C" w14:textId="77777777" w:rsidR="00DE3ACF" w:rsidRPr="00A518C1" w:rsidRDefault="00DE3ACF" w:rsidP="004D73CE">
      <w:pPr>
        <w:autoSpaceDE w:val="0"/>
        <w:autoSpaceDN w:val="0"/>
        <w:adjustRightInd w:val="0"/>
        <w:ind w:left="709" w:hanging="709"/>
        <w:rPr>
          <w:sz w:val="24"/>
          <w:szCs w:val="24"/>
        </w:rPr>
      </w:pPr>
    </w:p>
    <w:p w14:paraId="17EEEF2B" w14:textId="77777777" w:rsidR="006A14BB" w:rsidRPr="00A518C1" w:rsidRDefault="006A14BB" w:rsidP="004D73CE">
      <w:pPr>
        <w:autoSpaceDE w:val="0"/>
        <w:autoSpaceDN w:val="0"/>
        <w:adjustRightInd w:val="0"/>
        <w:ind w:left="709" w:hanging="709"/>
        <w:rPr>
          <w:b/>
          <w:bCs/>
          <w:sz w:val="24"/>
          <w:szCs w:val="24"/>
        </w:rPr>
      </w:pPr>
      <w:r w:rsidRPr="00A518C1">
        <w:rPr>
          <w:b/>
          <w:bCs/>
          <w:sz w:val="24"/>
          <w:szCs w:val="24"/>
        </w:rPr>
        <w:t>Table 2 – Summary of Earmarked Reserves</w:t>
      </w:r>
    </w:p>
    <w:p w14:paraId="445A110C" w14:textId="77777777" w:rsidR="000B488C" w:rsidRPr="00A518C1" w:rsidRDefault="000B488C" w:rsidP="004D73CE">
      <w:pPr>
        <w:autoSpaceDE w:val="0"/>
        <w:autoSpaceDN w:val="0"/>
        <w:adjustRightInd w:val="0"/>
        <w:ind w:left="709" w:hanging="709"/>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64"/>
        <w:gridCol w:w="1665"/>
        <w:gridCol w:w="1380"/>
        <w:gridCol w:w="1364"/>
      </w:tblGrid>
      <w:tr w:rsidR="00D91A0D" w:rsidRPr="00A518C1" w14:paraId="63878D71" w14:textId="77777777" w:rsidTr="00C12EA9">
        <w:tc>
          <w:tcPr>
            <w:tcW w:w="3402" w:type="dxa"/>
            <w:shd w:val="clear" w:color="auto" w:fill="auto"/>
          </w:tcPr>
          <w:p w14:paraId="4E4CDDB0" w14:textId="77777777" w:rsidR="00D91A0D" w:rsidRPr="00A518C1" w:rsidRDefault="00D91A0D" w:rsidP="00C12EA9">
            <w:pPr>
              <w:autoSpaceDE w:val="0"/>
              <w:autoSpaceDN w:val="0"/>
              <w:adjustRightInd w:val="0"/>
              <w:jc w:val="right"/>
              <w:rPr>
                <w:b/>
                <w:bCs/>
                <w:sz w:val="24"/>
                <w:szCs w:val="24"/>
              </w:rPr>
            </w:pPr>
            <w:r w:rsidRPr="00A518C1">
              <w:rPr>
                <w:b/>
                <w:bCs/>
                <w:sz w:val="24"/>
                <w:szCs w:val="24"/>
              </w:rPr>
              <w:t>Purpose</w:t>
            </w:r>
          </w:p>
        </w:tc>
        <w:tc>
          <w:tcPr>
            <w:tcW w:w="1276" w:type="dxa"/>
            <w:shd w:val="clear" w:color="auto" w:fill="auto"/>
          </w:tcPr>
          <w:p w14:paraId="75E18B17" w14:textId="77777777" w:rsidR="00D91A0D" w:rsidRPr="00A518C1" w:rsidRDefault="00D91A0D" w:rsidP="00C12EA9">
            <w:pPr>
              <w:autoSpaceDE w:val="0"/>
              <w:autoSpaceDN w:val="0"/>
              <w:adjustRightInd w:val="0"/>
              <w:jc w:val="right"/>
              <w:rPr>
                <w:b/>
                <w:bCs/>
                <w:sz w:val="24"/>
                <w:szCs w:val="24"/>
              </w:rPr>
            </w:pPr>
            <w:r w:rsidRPr="00A518C1">
              <w:rPr>
                <w:b/>
                <w:bCs/>
                <w:sz w:val="24"/>
                <w:szCs w:val="24"/>
              </w:rPr>
              <w:t>Balance</w:t>
            </w:r>
          </w:p>
          <w:p w14:paraId="68A1EF9C" w14:textId="77777777" w:rsidR="00D91A0D" w:rsidRPr="00A518C1" w:rsidRDefault="00D91A0D" w:rsidP="00C12EA9">
            <w:pPr>
              <w:autoSpaceDE w:val="0"/>
              <w:autoSpaceDN w:val="0"/>
              <w:adjustRightInd w:val="0"/>
              <w:jc w:val="right"/>
              <w:rPr>
                <w:b/>
                <w:bCs/>
                <w:sz w:val="24"/>
                <w:szCs w:val="24"/>
              </w:rPr>
            </w:pPr>
            <w:r w:rsidRPr="00A518C1">
              <w:rPr>
                <w:b/>
                <w:bCs/>
                <w:sz w:val="24"/>
                <w:szCs w:val="24"/>
              </w:rPr>
              <w:t>1 Apr 2</w:t>
            </w:r>
            <w:r w:rsidR="00EA5B9F" w:rsidRPr="00A518C1">
              <w:rPr>
                <w:b/>
                <w:bCs/>
                <w:sz w:val="24"/>
                <w:szCs w:val="24"/>
              </w:rPr>
              <w:t>3</w:t>
            </w:r>
          </w:p>
          <w:p w14:paraId="2772100F" w14:textId="77777777" w:rsidR="00D91A0D" w:rsidRPr="00A518C1" w:rsidRDefault="00D91A0D" w:rsidP="00C12EA9">
            <w:pPr>
              <w:autoSpaceDE w:val="0"/>
              <w:autoSpaceDN w:val="0"/>
              <w:adjustRightInd w:val="0"/>
              <w:jc w:val="right"/>
              <w:rPr>
                <w:b/>
                <w:bCs/>
                <w:sz w:val="24"/>
                <w:szCs w:val="24"/>
              </w:rPr>
            </w:pPr>
          </w:p>
          <w:p w14:paraId="5DDEE7DD" w14:textId="77777777" w:rsidR="00D91A0D" w:rsidRPr="00A518C1" w:rsidRDefault="00D91A0D" w:rsidP="00C12EA9">
            <w:pPr>
              <w:autoSpaceDE w:val="0"/>
              <w:autoSpaceDN w:val="0"/>
              <w:adjustRightInd w:val="0"/>
              <w:jc w:val="right"/>
              <w:rPr>
                <w:b/>
                <w:bCs/>
                <w:sz w:val="24"/>
                <w:szCs w:val="24"/>
              </w:rPr>
            </w:pPr>
            <w:r w:rsidRPr="00A518C1">
              <w:rPr>
                <w:b/>
                <w:bCs/>
                <w:sz w:val="24"/>
                <w:szCs w:val="24"/>
              </w:rPr>
              <w:t>£’000</w:t>
            </w:r>
          </w:p>
        </w:tc>
        <w:tc>
          <w:tcPr>
            <w:tcW w:w="1701" w:type="dxa"/>
            <w:shd w:val="clear" w:color="auto" w:fill="auto"/>
          </w:tcPr>
          <w:p w14:paraId="4B71F003" w14:textId="77777777" w:rsidR="00D91A0D" w:rsidRPr="00A518C1" w:rsidRDefault="00D91A0D" w:rsidP="00C12EA9">
            <w:pPr>
              <w:autoSpaceDE w:val="0"/>
              <w:autoSpaceDN w:val="0"/>
              <w:adjustRightInd w:val="0"/>
              <w:jc w:val="right"/>
              <w:rPr>
                <w:b/>
                <w:bCs/>
                <w:sz w:val="24"/>
                <w:szCs w:val="24"/>
              </w:rPr>
            </w:pPr>
            <w:r w:rsidRPr="00A518C1">
              <w:rPr>
                <w:b/>
                <w:bCs/>
                <w:sz w:val="24"/>
                <w:szCs w:val="24"/>
              </w:rPr>
              <w:t xml:space="preserve">Expected Balance </w:t>
            </w:r>
          </w:p>
          <w:p w14:paraId="6D117E0D" w14:textId="77777777" w:rsidR="00D91A0D" w:rsidRPr="00A518C1" w:rsidRDefault="00D91A0D" w:rsidP="00C12EA9">
            <w:pPr>
              <w:autoSpaceDE w:val="0"/>
              <w:autoSpaceDN w:val="0"/>
              <w:adjustRightInd w:val="0"/>
              <w:jc w:val="right"/>
              <w:rPr>
                <w:b/>
                <w:bCs/>
                <w:sz w:val="24"/>
                <w:szCs w:val="24"/>
              </w:rPr>
            </w:pPr>
            <w:r w:rsidRPr="00A518C1">
              <w:rPr>
                <w:b/>
                <w:bCs/>
                <w:sz w:val="24"/>
                <w:szCs w:val="24"/>
              </w:rPr>
              <w:t>31 March 2</w:t>
            </w:r>
            <w:r w:rsidR="00EA5B9F" w:rsidRPr="00A518C1">
              <w:rPr>
                <w:b/>
                <w:bCs/>
                <w:sz w:val="24"/>
                <w:szCs w:val="24"/>
              </w:rPr>
              <w:t>4</w:t>
            </w:r>
          </w:p>
          <w:p w14:paraId="531DA631" w14:textId="77777777" w:rsidR="00D91A0D" w:rsidRPr="00A518C1" w:rsidRDefault="00D91A0D" w:rsidP="00C12EA9">
            <w:pPr>
              <w:autoSpaceDE w:val="0"/>
              <w:autoSpaceDN w:val="0"/>
              <w:adjustRightInd w:val="0"/>
              <w:jc w:val="right"/>
              <w:rPr>
                <w:b/>
                <w:bCs/>
                <w:sz w:val="24"/>
                <w:szCs w:val="24"/>
              </w:rPr>
            </w:pPr>
            <w:r w:rsidRPr="00A518C1">
              <w:rPr>
                <w:b/>
                <w:bCs/>
                <w:sz w:val="24"/>
                <w:szCs w:val="24"/>
              </w:rPr>
              <w:t>£’000</w:t>
            </w:r>
          </w:p>
        </w:tc>
        <w:tc>
          <w:tcPr>
            <w:tcW w:w="1391" w:type="dxa"/>
            <w:shd w:val="clear" w:color="auto" w:fill="auto"/>
          </w:tcPr>
          <w:p w14:paraId="337D8E2D" w14:textId="77777777" w:rsidR="00D91A0D" w:rsidRPr="00A518C1" w:rsidRDefault="00D91A0D" w:rsidP="00C12EA9">
            <w:pPr>
              <w:autoSpaceDE w:val="0"/>
              <w:autoSpaceDN w:val="0"/>
              <w:adjustRightInd w:val="0"/>
              <w:jc w:val="right"/>
              <w:rPr>
                <w:b/>
                <w:bCs/>
                <w:sz w:val="24"/>
                <w:szCs w:val="24"/>
              </w:rPr>
            </w:pPr>
            <w:r w:rsidRPr="00A518C1">
              <w:rPr>
                <w:b/>
                <w:bCs/>
                <w:sz w:val="24"/>
                <w:szCs w:val="24"/>
              </w:rPr>
              <w:t xml:space="preserve">Required </w:t>
            </w:r>
            <w:r w:rsidR="004B6C98" w:rsidRPr="00A518C1">
              <w:rPr>
                <w:b/>
                <w:bCs/>
                <w:sz w:val="24"/>
                <w:szCs w:val="24"/>
              </w:rPr>
              <w:t>2024/25</w:t>
            </w:r>
            <w:r w:rsidRPr="00A518C1">
              <w:rPr>
                <w:b/>
                <w:bCs/>
                <w:sz w:val="24"/>
                <w:szCs w:val="24"/>
              </w:rPr>
              <w:t xml:space="preserve"> to </w:t>
            </w:r>
            <w:r w:rsidR="00EA5B9F" w:rsidRPr="00A518C1">
              <w:rPr>
                <w:b/>
                <w:bCs/>
                <w:sz w:val="24"/>
                <w:szCs w:val="24"/>
              </w:rPr>
              <w:t>2028/27</w:t>
            </w:r>
          </w:p>
          <w:p w14:paraId="72C42F28" w14:textId="77777777" w:rsidR="00D91A0D" w:rsidRPr="00A518C1" w:rsidRDefault="00D91A0D" w:rsidP="00C12EA9">
            <w:pPr>
              <w:autoSpaceDE w:val="0"/>
              <w:autoSpaceDN w:val="0"/>
              <w:adjustRightInd w:val="0"/>
              <w:jc w:val="right"/>
              <w:rPr>
                <w:b/>
                <w:bCs/>
                <w:sz w:val="24"/>
                <w:szCs w:val="24"/>
              </w:rPr>
            </w:pPr>
            <w:r w:rsidRPr="00A518C1">
              <w:rPr>
                <w:b/>
                <w:bCs/>
                <w:sz w:val="24"/>
                <w:szCs w:val="24"/>
              </w:rPr>
              <w:t>£’000</w:t>
            </w:r>
          </w:p>
        </w:tc>
        <w:tc>
          <w:tcPr>
            <w:tcW w:w="1364" w:type="dxa"/>
            <w:shd w:val="clear" w:color="auto" w:fill="auto"/>
          </w:tcPr>
          <w:p w14:paraId="6B52176D" w14:textId="77777777" w:rsidR="00D91A0D" w:rsidRPr="00A518C1" w:rsidRDefault="00D91A0D" w:rsidP="00C12EA9">
            <w:pPr>
              <w:autoSpaceDE w:val="0"/>
              <w:autoSpaceDN w:val="0"/>
              <w:adjustRightInd w:val="0"/>
              <w:jc w:val="right"/>
              <w:rPr>
                <w:b/>
                <w:bCs/>
                <w:sz w:val="24"/>
                <w:szCs w:val="24"/>
              </w:rPr>
            </w:pPr>
            <w:r w:rsidRPr="00A518C1">
              <w:rPr>
                <w:b/>
                <w:bCs/>
                <w:sz w:val="24"/>
                <w:szCs w:val="24"/>
              </w:rPr>
              <w:t xml:space="preserve">Estimated </w:t>
            </w:r>
            <w:r w:rsidR="006A3505" w:rsidRPr="00A518C1">
              <w:rPr>
                <w:b/>
                <w:bCs/>
                <w:sz w:val="24"/>
                <w:szCs w:val="24"/>
              </w:rPr>
              <w:t>U</w:t>
            </w:r>
            <w:r w:rsidRPr="00A518C1">
              <w:rPr>
                <w:b/>
                <w:bCs/>
                <w:sz w:val="24"/>
                <w:szCs w:val="24"/>
              </w:rPr>
              <w:t xml:space="preserve">nused </w:t>
            </w:r>
          </w:p>
          <w:p w14:paraId="4759A137" w14:textId="77777777" w:rsidR="00D91A0D" w:rsidRPr="00A518C1" w:rsidRDefault="00D91A0D" w:rsidP="00C12EA9">
            <w:pPr>
              <w:autoSpaceDE w:val="0"/>
              <w:autoSpaceDN w:val="0"/>
              <w:adjustRightInd w:val="0"/>
              <w:jc w:val="right"/>
              <w:rPr>
                <w:b/>
                <w:bCs/>
                <w:sz w:val="24"/>
                <w:szCs w:val="24"/>
              </w:rPr>
            </w:pPr>
            <w:r w:rsidRPr="00A518C1">
              <w:rPr>
                <w:b/>
                <w:bCs/>
                <w:sz w:val="24"/>
                <w:szCs w:val="24"/>
              </w:rPr>
              <w:t>31 Mar 2</w:t>
            </w:r>
            <w:r w:rsidR="00EA5B9F" w:rsidRPr="00A518C1">
              <w:rPr>
                <w:b/>
                <w:bCs/>
                <w:sz w:val="24"/>
                <w:szCs w:val="24"/>
              </w:rPr>
              <w:t>7</w:t>
            </w:r>
          </w:p>
          <w:p w14:paraId="548A951E" w14:textId="77777777" w:rsidR="00D91A0D" w:rsidRPr="00A518C1" w:rsidRDefault="00D91A0D" w:rsidP="00C12EA9">
            <w:pPr>
              <w:autoSpaceDE w:val="0"/>
              <w:autoSpaceDN w:val="0"/>
              <w:adjustRightInd w:val="0"/>
              <w:jc w:val="right"/>
              <w:rPr>
                <w:b/>
                <w:bCs/>
                <w:sz w:val="24"/>
                <w:szCs w:val="24"/>
              </w:rPr>
            </w:pPr>
            <w:r w:rsidRPr="00A518C1">
              <w:rPr>
                <w:b/>
                <w:bCs/>
                <w:sz w:val="24"/>
                <w:szCs w:val="24"/>
              </w:rPr>
              <w:t>£’000</w:t>
            </w:r>
          </w:p>
        </w:tc>
      </w:tr>
      <w:tr w:rsidR="00EA5B9F" w:rsidRPr="00A518C1" w14:paraId="4479E453" w14:textId="77777777" w:rsidTr="000408B1">
        <w:tc>
          <w:tcPr>
            <w:tcW w:w="3402" w:type="dxa"/>
            <w:shd w:val="clear" w:color="auto" w:fill="auto"/>
          </w:tcPr>
          <w:p w14:paraId="624A1751" w14:textId="77777777" w:rsidR="00EA5B9F" w:rsidRPr="00A518C1" w:rsidRDefault="00EA5B9F" w:rsidP="00EA5B9F">
            <w:pPr>
              <w:autoSpaceDE w:val="0"/>
              <w:autoSpaceDN w:val="0"/>
              <w:adjustRightInd w:val="0"/>
              <w:rPr>
                <w:sz w:val="24"/>
                <w:szCs w:val="24"/>
              </w:rPr>
            </w:pPr>
            <w:r w:rsidRPr="00A518C1">
              <w:rPr>
                <w:sz w:val="24"/>
                <w:szCs w:val="24"/>
              </w:rPr>
              <w:t>Prevention &amp; Protection</w:t>
            </w:r>
          </w:p>
        </w:tc>
        <w:tc>
          <w:tcPr>
            <w:tcW w:w="1276" w:type="dxa"/>
            <w:shd w:val="clear" w:color="auto" w:fill="auto"/>
            <w:vAlign w:val="center"/>
          </w:tcPr>
          <w:p w14:paraId="4F6D7483" w14:textId="77777777" w:rsidR="00EA5B9F" w:rsidRPr="00A518C1" w:rsidRDefault="00EA5B9F" w:rsidP="00EA5B9F">
            <w:pPr>
              <w:autoSpaceDE w:val="0"/>
              <w:autoSpaceDN w:val="0"/>
              <w:adjustRightInd w:val="0"/>
              <w:jc w:val="right"/>
              <w:rPr>
                <w:sz w:val="24"/>
                <w:szCs w:val="24"/>
              </w:rPr>
            </w:pPr>
            <w:r w:rsidRPr="00A518C1">
              <w:rPr>
                <w:color w:val="000000"/>
              </w:rPr>
              <w:t>279</w:t>
            </w:r>
          </w:p>
        </w:tc>
        <w:tc>
          <w:tcPr>
            <w:tcW w:w="1701" w:type="dxa"/>
            <w:shd w:val="clear" w:color="auto" w:fill="auto"/>
            <w:vAlign w:val="center"/>
          </w:tcPr>
          <w:p w14:paraId="351BA99F" w14:textId="77777777" w:rsidR="00EA5B9F" w:rsidRPr="00A518C1" w:rsidRDefault="00EA5B9F" w:rsidP="00EA5B9F">
            <w:pPr>
              <w:autoSpaceDE w:val="0"/>
              <w:autoSpaceDN w:val="0"/>
              <w:adjustRightInd w:val="0"/>
              <w:jc w:val="right"/>
              <w:rPr>
                <w:sz w:val="24"/>
                <w:szCs w:val="24"/>
              </w:rPr>
            </w:pPr>
            <w:r w:rsidRPr="00A518C1">
              <w:rPr>
                <w:color w:val="000000"/>
              </w:rPr>
              <w:t>215</w:t>
            </w:r>
          </w:p>
        </w:tc>
        <w:tc>
          <w:tcPr>
            <w:tcW w:w="1391" w:type="dxa"/>
            <w:shd w:val="clear" w:color="auto" w:fill="auto"/>
            <w:vAlign w:val="center"/>
          </w:tcPr>
          <w:p w14:paraId="0146FF0C" w14:textId="77777777" w:rsidR="00EA5B9F" w:rsidRPr="00A518C1" w:rsidRDefault="00EA5B9F" w:rsidP="00EA5B9F">
            <w:pPr>
              <w:autoSpaceDE w:val="0"/>
              <w:autoSpaceDN w:val="0"/>
              <w:adjustRightInd w:val="0"/>
              <w:jc w:val="right"/>
              <w:rPr>
                <w:sz w:val="24"/>
                <w:szCs w:val="24"/>
              </w:rPr>
            </w:pPr>
            <w:r w:rsidRPr="00A518C1">
              <w:rPr>
                <w:color w:val="000000"/>
              </w:rPr>
              <w:t>215</w:t>
            </w:r>
          </w:p>
        </w:tc>
        <w:tc>
          <w:tcPr>
            <w:tcW w:w="1364" w:type="dxa"/>
            <w:shd w:val="clear" w:color="auto" w:fill="auto"/>
            <w:vAlign w:val="center"/>
          </w:tcPr>
          <w:p w14:paraId="1BB33160" w14:textId="77777777" w:rsidR="00EA5B9F" w:rsidRPr="00A518C1" w:rsidRDefault="00EA5B9F" w:rsidP="00EA5B9F">
            <w:pPr>
              <w:autoSpaceDE w:val="0"/>
              <w:autoSpaceDN w:val="0"/>
              <w:adjustRightInd w:val="0"/>
              <w:jc w:val="right"/>
              <w:rPr>
                <w:sz w:val="24"/>
                <w:szCs w:val="24"/>
              </w:rPr>
            </w:pPr>
            <w:r w:rsidRPr="00A518C1">
              <w:rPr>
                <w:color w:val="000000"/>
              </w:rPr>
              <w:t>0</w:t>
            </w:r>
          </w:p>
        </w:tc>
      </w:tr>
      <w:tr w:rsidR="00EA5B9F" w:rsidRPr="00A518C1" w14:paraId="66E4A7DD" w14:textId="77777777" w:rsidTr="000408B1">
        <w:tc>
          <w:tcPr>
            <w:tcW w:w="3402" w:type="dxa"/>
            <w:shd w:val="clear" w:color="auto" w:fill="auto"/>
          </w:tcPr>
          <w:p w14:paraId="13392F31" w14:textId="77777777" w:rsidR="00EA5B9F" w:rsidRPr="00A518C1" w:rsidRDefault="00EA5B9F" w:rsidP="00EA5B9F">
            <w:pPr>
              <w:autoSpaceDE w:val="0"/>
              <w:autoSpaceDN w:val="0"/>
              <w:adjustRightInd w:val="0"/>
              <w:rPr>
                <w:sz w:val="24"/>
                <w:szCs w:val="24"/>
              </w:rPr>
            </w:pPr>
            <w:r w:rsidRPr="00A518C1">
              <w:rPr>
                <w:sz w:val="24"/>
                <w:szCs w:val="24"/>
              </w:rPr>
              <w:t>Emergency Services Network</w:t>
            </w:r>
          </w:p>
        </w:tc>
        <w:tc>
          <w:tcPr>
            <w:tcW w:w="1276" w:type="dxa"/>
            <w:shd w:val="clear" w:color="auto" w:fill="auto"/>
            <w:vAlign w:val="center"/>
          </w:tcPr>
          <w:p w14:paraId="13D41D4E" w14:textId="77777777" w:rsidR="00EA5B9F" w:rsidRPr="00A518C1" w:rsidRDefault="00EA5B9F" w:rsidP="00EA5B9F">
            <w:pPr>
              <w:autoSpaceDE w:val="0"/>
              <w:autoSpaceDN w:val="0"/>
              <w:adjustRightInd w:val="0"/>
              <w:jc w:val="right"/>
              <w:rPr>
                <w:sz w:val="24"/>
                <w:szCs w:val="24"/>
              </w:rPr>
            </w:pPr>
            <w:r w:rsidRPr="00A518C1">
              <w:rPr>
                <w:color w:val="000000"/>
              </w:rPr>
              <w:t>998</w:t>
            </w:r>
          </w:p>
        </w:tc>
        <w:tc>
          <w:tcPr>
            <w:tcW w:w="1701" w:type="dxa"/>
            <w:shd w:val="clear" w:color="auto" w:fill="auto"/>
            <w:vAlign w:val="center"/>
          </w:tcPr>
          <w:p w14:paraId="4B74FD25" w14:textId="77777777" w:rsidR="00EA5B9F" w:rsidRPr="00A518C1" w:rsidRDefault="00EA5B9F" w:rsidP="00EA5B9F">
            <w:pPr>
              <w:autoSpaceDE w:val="0"/>
              <w:autoSpaceDN w:val="0"/>
              <w:adjustRightInd w:val="0"/>
              <w:jc w:val="right"/>
              <w:rPr>
                <w:sz w:val="24"/>
                <w:szCs w:val="24"/>
              </w:rPr>
            </w:pPr>
            <w:r w:rsidRPr="00A518C1">
              <w:rPr>
                <w:color w:val="000000"/>
              </w:rPr>
              <w:t>998</w:t>
            </w:r>
          </w:p>
        </w:tc>
        <w:tc>
          <w:tcPr>
            <w:tcW w:w="1391" w:type="dxa"/>
            <w:shd w:val="clear" w:color="auto" w:fill="auto"/>
            <w:vAlign w:val="center"/>
          </w:tcPr>
          <w:p w14:paraId="62205D0A" w14:textId="77777777" w:rsidR="00EA5B9F" w:rsidRPr="00A518C1" w:rsidRDefault="00EA5B9F" w:rsidP="00EA5B9F">
            <w:pPr>
              <w:autoSpaceDE w:val="0"/>
              <w:autoSpaceDN w:val="0"/>
              <w:adjustRightInd w:val="0"/>
              <w:jc w:val="right"/>
              <w:rPr>
                <w:sz w:val="24"/>
                <w:szCs w:val="24"/>
              </w:rPr>
            </w:pPr>
            <w:r w:rsidRPr="00A518C1">
              <w:rPr>
                <w:color w:val="000000"/>
              </w:rPr>
              <w:t>0</w:t>
            </w:r>
          </w:p>
        </w:tc>
        <w:tc>
          <w:tcPr>
            <w:tcW w:w="1364" w:type="dxa"/>
            <w:shd w:val="clear" w:color="auto" w:fill="auto"/>
            <w:vAlign w:val="center"/>
          </w:tcPr>
          <w:p w14:paraId="0E9E385B" w14:textId="77777777" w:rsidR="00EA5B9F" w:rsidRPr="00A518C1" w:rsidRDefault="00EA5B9F" w:rsidP="00EA5B9F">
            <w:pPr>
              <w:autoSpaceDE w:val="0"/>
              <w:autoSpaceDN w:val="0"/>
              <w:adjustRightInd w:val="0"/>
              <w:jc w:val="right"/>
              <w:rPr>
                <w:sz w:val="24"/>
                <w:szCs w:val="24"/>
              </w:rPr>
            </w:pPr>
            <w:r w:rsidRPr="00A518C1">
              <w:rPr>
                <w:color w:val="000000"/>
              </w:rPr>
              <w:t>998</w:t>
            </w:r>
          </w:p>
        </w:tc>
      </w:tr>
      <w:tr w:rsidR="00EA5B9F" w:rsidRPr="00A518C1" w14:paraId="18600E2D" w14:textId="77777777" w:rsidTr="000408B1">
        <w:tc>
          <w:tcPr>
            <w:tcW w:w="3402" w:type="dxa"/>
            <w:shd w:val="clear" w:color="auto" w:fill="auto"/>
          </w:tcPr>
          <w:p w14:paraId="6D08BAF3" w14:textId="77777777" w:rsidR="00EA5B9F" w:rsidRPr="00A518C1" w:rsidRDefault="00EA5B9F" w:rsidP="00EA5B9F">
            <w:pPr>
              <w:autoSpaceDE w:val="0"/>
              <w:autoSpaceDN w:val="0"/>
              <w:adjustRightInd w:val="0"/>
              <w:rPr>
                <w:sz w:val="24"/>
                <w:szCs w:val="24"/>
              </w:rPr>
            </w:pPr>
            <w:r w:rsidRPr="00A518C1">
              <w:rPr>
                <w:sz w:val="24"/>
                <w:szCs w:val="24"/>
              </w:rPr>
              <w:t>Other ICT</w:t>
            </w:r>
          </w:p>
        </w:tc>
        <w:tc>
          <w:tcPr>
            <w:tcW w:w="1276" w:type="dxa"/>
            <w:shd w:val="clear" w:color="auto" w:fill="auto"/>
            <w:vAlign w:val="center"/>
          </w:tcPr>
          <w:p w14:paraId="02F8EB2D" w14:textId="77777777" w:rsidR="00EA5B9F" w:rsidRPr="00A518C1" w:rsidRDefault="00EA5B9F" w:rsidP="00EA5B9F">
            <w:pPr>
              <w:autoSpaceDE w:val="0"/>
              <w:autoSpaceDN w:val="0"/>
              <w:adjustRightInd w:val="0"/>
              <w:jc w:val="right"/>
              <w:rPr>
                <w:sz w:val="24"/>
                <w:szCs w:val="24"/>
              </w:rPr>
            </w:pPr>
            <w:r w:rsidRPr="00A518C1">
              <w:rPr>
                <w:color w:val="000000"/>
              </w:rPr>
              <w:t>149</w:t>
            </w:r>
          </w:p>
        </w:tc>
        <w:tc>
          <w:tcPr>
            <w:tcW w:w="1701" w:type="dxa"/>
            <w:shd w:val="clear" w:color="auto" w:fill="auto"/>
            <w:vAlign w:val="center"/>
          </w:tcPr>
          <w:p w14:paraId="2262CA3B" w14:textId="77777777" w:rsidR="00EA5B9F" w:rsidRPr="00A518C1" w:rsidRDefault="00EA5B9F" w:rsidP="00EA5B9F">
            <w:pPr>
              <w:autoSpaceDE w:val="0"/>
              <w:autoSpaceDN w:val="0"/>
              <w:adjustRightInd w:val="0"/>
              <w:jc w:val="right"/>
              <w:rPr>
                <w:sz w:val="24"/>
                <w:szCs w:val="24"/>
              </w:rPr>
            </w:pPr>
            <w:r w:rsidRPr="00A518C1">
              <w:rPr>
                <w:color w:val="000000"/>
              </w:rPr>
              <w:t>75</w:t>
            </w:r>
          </w:p>
        </w:tc>
        <w:tc>
          <w:tcPr>
            <w:tcW w:w="1391" w:type="dxa"/>
            <w:shd w:val="clear" w:color="auto" w:fill="auto"/>
            <w:vAlign w:val="center"/>
          </w:tcPr>
          <w:p w14:paraId="42F50BB5" w14:textId="77777777" w:rsidR="00EA5B9F" w:rsidRPr="00A518C1" w:rsidRDefault="00EA5B9F" w:rsidP="00EA5B9F">
            <w:pPr>
              <w:autoSpaceDE w:val="0"/>
              <w:autoSpaceDN w:val="0"/>
              <w:adjustRightInd w:val="0"/>
              <w:jc w:val="right"/>
              <w:rPr>
                <w:sz w:val="24"/>
                <w:szCs w:val="24"/>
              </w:rPr>
            </w:pPr>
            <w:r w:rsidRPr="00A518C1">
              <w:rPr>
                <w:color w:val="000000"/>
              </w:rPr>
              <w:t>75</w:t>
            </w:r>
          </w:p>
        </w:tc>
        <w:tc>
          <w:tcPr>
            <w:tcW w:w="1364" w:type="dxa"/>
            <w:shd w:val="clear" w:color="auto" w:fill="auto"/>
            <w:vAlign w:val="center"/>
          </w:tcPr>
          <w:p w14:paraId="4DCEFA2A" w14:textId="77777777" w:rsidR="00EA5B9F" w:rsidRPr="00A518C1" w:rsidRDefault="00EA5B9F" w:rsidP="00EA5B9F">
            <w:pPr>
              <w:autoSpaceDE w:val="0"/>
              <w:autoSpaceDN w:val="0"/>
              <w:adjustRightInd w:val="0"/>
              <w:jc w:val="right"/>
              <w:rPr>
                <w:sz w:val="24"/>
                <w:szCs w:val="24"/>
              </w:rPr>
            </w:pPr>
            <w:r w:rsidRPr="00A518C1">
              <w:rPr>
                <w:color w:val="000000"/>
              </w:rPr>
              <w:t>0</w:t>
            </w:r>
          </w:p>
        </w:tc>
      </w:tr>
      <w:tr w:rsidR="00EA5B9F" w:rsidRPr="00A518C1" w14:paraId="66EAA942" w14:textId="77777777" w:rsidTr="000408B1">
        <w:tc>
          <w:tcPr>
            <w:tcW w:w="3402" w:type="dxa"/>
            <w:shd w:val="clear" w:color="auto" w:fill="auto"/>
          </w:tcPr>
          <w:p w14:paraId="380CA3EC" w14:textId="77777777" w:rsidR="00EA5B9F" w:rsidRPr="00A518C1" w:rsidRDefault="00EA5B9F" w:rsidP="00EA5B9F">
            <w:pPr>
              <w:autoSpaceDE w:val="0"/>
              <w:autoSpaceDN w:val="0"/>
              <w:adjustRightInd w:val="0"/>
              <w:rPr>
                <w:sz w:val="24"/>
                <w:szCs w:val="24"/>
              </w:rPr>
            </w:pPr>
            <w:r w:rsidRPr="00A518C1">
              <w:rPr>
                <w:sz w:val="24"/>
                <w:szCs w:val="24"/>
              </w:rPr>
              <w:t>Operational</w:t>
            </w:r>
          </w:p>
        </w:tc>
        <w:tc>
          <w:tcPr>
            <w:tcW w:w="1276" w:type="dxa"/>
            <w:shd w:val="clear" w:color="auto" w:fill="auto"/>
            <w:vAlign w:val="center"/>
          </w:tcPr>
          <w:p w14:paraId="57F96AD3" w14:textId="77777777" w:rsidR="00EA5B9F" w:rsidRPr="00A518C1" w:rsidRDefault="00EA5B9F" w:rsidP="00EA5B9F">
            <w:pPr>
              <w:autoSpaceDE w:val="0"/>
              <w:autoSpaceDN w:val="0"/>
              <w:adjustRightInd w:val="0"/>
              <w:jc w:val="right"/>
              <w:rPr>
                <w:sz w:val="24"/>
                <w:szCs w:val="24"/>
              </w:rPr>
            </w:pPr>
            <w:r w:rsidRPr="00A518C1">
              <w:rPr>
                <w:color w:val="000000"/>
              </w:rPr>
              <w:t>1,175</w:t>
            </w:r>
          </w:p>
        </w:tc>
        <w:tc>
          <w:tcPr>
            <w:tcW w:w="1701" w:type="dxa"/>
            <w:shd w:val="clear" w:color="auto" w:fill="auto"/>
            <w:vAlign w:val="center"/>
          </w:tcPr>
          <w:p w14:paraId="1684158B" w14:textId="77777777" w:rsidR="00EA5B9F" w:rsidRPr="00A518C1" w:rsidRDefault="00EA5B9F" w:rsidP="00EA5B9F">
            <w:pPr>
              <w:autoSpaceDE w:val="0"/>
              <w:autoSpaceDN w:val="0"/>
              <w:adjustRightInd w:val="0"/>
              <w:jc w:val="right"/>
              <w:rPr>
                <w:sz w:val="24"/>
                <w:szCs w:val="24"/>
              </w:rPr>
            </w:pPr>
            <w:r w:rsidRPr="00A518C1">
              <w:rPr>
                <w:color w:val="000000"/>
              </w:rPr>
              <w:t>678</w:t>
            </w:r>
          </w:p>
        </w:tc>
        <w:tc>
          <w:tcPr>
            <w:tcW w:w="1391" w:type="dxa"/>
            <w:shd w:val="clear" w:color="auto" w:fill="auto"/>
            <w:vAlign w:val="center"/>
          </w:tcPr>
          <w:p w14:paraId="643B36C2" w14:textId="77777777" w:rsidR="00EA5B9F" w:rsidRPr="00A518C1" w:rsidRDefault="00EA5B9F" w:rsidP="00EA5B9F">
            <w:pPr>
              <w:autoSpaceDE w:val="0"/>
              <w:autoSpaceDN w:val="0"/>
              <w:adjustRightInd w:val="0"/>
              <w:jc w:val="right"/>
              <w:rPr>
                <w:sz w:val="24"/>
                <w:szCs w:val="24"/>
              </w:rPr>
            </w:pPr>
            <w:r w:rsidRPr="00A518C1">
              <w:rPr>
                <w:color w:val="000000"/>
              </w:rPr>
              <w:t>678</w:t>
            </w:r>
          </w:p>
        </w:tc>
        <w:tc>
          <w:tcPr>
            <w:tcW w:w="1364" w:type="dxa"/>
            <w:shd w:val="clear" w:color="auto" w:fill="auto"/>
            <w:vAlign w:val="center"/>
          </w:tcPr>
          <w:p w14:paraId="4EB09255" w14:textId="77777777" w:rsidR="00EA5B9F" w:rsidRPr="00A518C1" w:rsidRDefault="00EA5B9F" w:rsidP="00EA5B9F">
            <w:pPr>
              <w:autoSpaceDE w:val="0"/>
              <w:autoSpaceDN w:val="0"/>
              <w:adjustRightInd w:val="0"/>
              <w:jc w:val="right"/>
              <w:rPr>
                <w:sz w:val="24"/>
                <w:szCs w:val="24"/>
              </w:rPr>
            </w:pPr>
            <w:r w:rsidRPr="00A518C1">
              <w:rPr>
                <w:color w:val="000000"/>
              </w:rPr>
              <w:t>0</w:t>
            </w:r>
          </w:p>
        </w:tc>
      </w:tr>
      <w:tr w:rsidR="00EA5B9F" w:rsidRPr="00A518C1" w14:paraId="26B49F9B" w14:textId="77777777" w:rsidTr="000408B1">
        <w:tc>
          <w:tcPr>
            <w:tcW w:w="3402" w:type="dxa"/>
            <w:shd w:val="clear" w:color="auto" w:fill="auto"/>
          </w:tcPr>
          <w:p w14:paraId="536C35C6" w14:textId="77777777" w:rsidR="00EA5B9F" w:rsidRPr="00A518C1" w:rsidRDefault="00EA5B9F" w:rsidP="00EA5B9F">
            <w:pPr>
              <w:autoSpaceDE w:val="0"/>
              <w:autoSpaceDN w:val="0"/>
              <w:adjustRightInd w:val="0"/>
              <w:rPr>
                <w:sz w:val="24"/>
                <w:szCs w:val="24"/>
              </w:rPr>
            </w:pPr>
            <w:r w:rsidRPr="00A518C1">
              <w:rPr>
                <w:sz w:val="24"/>
                <w:szCs w:val="24"/>
              </w:rPr>
              <w:t>Pensions</w:t>
            </w:r>
          </w:p>
        </w:tc>
        <w:tc>
          <w:tcPr>
            <w:tcW w:w="1276" w:type="dxa"/>
            <w:shd w:val="clear" w:color="auto" w:fill="auto"/>
            <w:vAlign w:val="center"/>
          </w:tcPr>
          <w:p w14:paraId="7957BCE0" w14:textId="77777777" w:rsidR="00EA5B9F" w:rsidRPr="00A518C1" w:rsidRDefault="00EA5B9F" w:rsidP="00EA5B9F">
            <w:pPr>
              <w:autoSpaceDE w:val="0"/>
              <w:autoSpaceDN w:val="0"/>
              <w:adjustRightInd w:val="0"/>
              <w:jc w:val="right"/>
              <w:rPr>
                <w:sz w:val="24"/>
                <w:szCs w:val="24"/>
              </w:rPr>
            </w:pPr>
            <w:r w:rsidRPr="00A518C1">
              <w:rPr>
                <w:color w:val="000000"/>
              </w:rPr>
              <w:t>325</w:t>
            </w:r>
          </w:p>
        </w:tc>
        <w:tc>
          <w:tcPr>
            <w:tcW w:w="1701" w:type="dxa"/>
            <w:shd w:val="clear" w:color="auto" w:fill="auto"/>
            <w:vAlign w:val="center"/>
          </w:tcPr>
          <w:p w14:paraId="35F5D64F" w14:textId="77777777" w:rsidR="00EA5B9F" w:rsidRPr="00A518C1" w:rsidRDefault="00EA5B9F" w:rsidP="00EA5B9F">
            <w:pPr>
              <w:autoSpaceDE w:val="0"/>
              <w:autoSpaceDN w:val="0"/>
              <w:adjustRightInd w:val="0"/>
              <w:jc w:val="right"/>
              <w:rPr>
                <w:sz w:val="24"/>
                <w:szCs w:val="24"/>
              </w:rPr>
            </w:pPr>
            <w:r w:rsidRPr="00A518C1">
              <w:rPr>
                <w:color w:val="000000"/>
              </w:rPr>
              <w:t>325</w:t>
            </w:r>
          </w:p>
        </w:tc>
        <w:tc>
          <w:tcPr>
            <w:tcW w:w="1391" w:type="dxa"/>
            <w:shd w:val="clear" w:color="auto" w:fill="auto"/>
            <w:vAlign w:val="center"/>
          </w:tcPr>
          <w:p w14:paraId="332B7522" w14:textId="77777777" w:rsidR="00EA5B9F" w:rsidRPr="00A518C1" w:rsidRDefault="00EA5B9F" w:rsidP="00EA5B9F">
            <w:pPr>
              <w:autoSpaceDE w:val="0"/>
              <w:autoSpaceDN w:val="0"/>
              <w:adjustRightInd w:val="0"/>
              <w:jc w:val="right"/>
              <w:rPr>
                <w:sz w:val="24"/>
                <w:szCs w:val="24"/>
              </w:rPr>
            </w:pPr>
            <w:r w:rsidRPr="00A518C1">
              <w:rPr>
                <w:color w:val="000000"/>
              </w:rPr>
              <w:t>325</w:t>
            </w:r>
          </w:p>
        </w:tc>
        <w:tc>
          <w:tcPr>
            <w:tcW w:w="1364" w:type="dxa"/>
            <w:shd w:val="clear" w:color="auto" w:fill="auto"/>
            <w:vAlign w:val="center"/>
          </w:tcPr>
          <w:p w14:paraId="25396A6D" w14:textId="77777777" w:rsidR="00EA5B9F" w:rsidRPr="00A518C1" w:rsidRDefault="00EA5B9F" w:rsidP="00EA5B9F">
            <w:pPr>
              <w:autoSpaceDE w:val="0"/>
              <w:autoSpaceDN w:val="0"/>
              <w:adjustRightInd w:val="0"/>
              <w:jc w:val="right"/>
              <w:rPr>
                <w:sz w:val="24"/>
                <w:szCs w:val="24"/>
              </w:rPr>
            </w:pPr>
            <w:r w:rsidRPr="00A518C1">
              <w:rPr>
                <w:color w:val="000000"/>
              </w:rPr>
              <w:t>0</w:t>
            </w:r>
          </w:p>
        </w:tc>
      </w:tr>
      <w:tr w:rsidR="00EA5B9F" w:rsidRPr="00A518C1" w14:paraId="48D507A0" w14:textId="77777777" w:rsidTr="000408B1">
        <w:tc>
          <w:tcPr>
            <w:tcW w:w="3402" w:type="dxa"/>
            <w:shd w:val="clear" w:color="auto" w:fill="auto"/>
          </w:tcPr>
          <w:p w14:paraId="7A5BC623" w14:textId="77777777" w:rsidR="00EA5B9F" w:rsidRPr="00A518C1" w:rsidRDefault="00EA5B9F" w:rsidP="00EA5B9F">
            <w:pPr>
              <w:autoSpaceDE w:val="0"/>
              <w:autoSpaceDN w:val="0"/>
              <w:adjustRightInd w:val="0"/>
              <w:rPr>
                <w:sz w:val="24"/>
                <w:szCs w:val="24"/>
              </w:rPr>
            </w:pPr>
            <w:r w:rsidRPr="00A518C1">
              <w:rPr>
                <w:sz w:val="24"/>
                <w:szCs w:val="24"/>
              </w:rPr>
              <w:t>Budget Pressure Support</w:t>
            </w:r>
          </w:p>
        </w:tc>
        <w:tc>
          <w:tcPr>
            <w:tcW w:w="1276" w:type="dxa"/>
            <w:shd w:val="clear" w:color="auto" w:fill="auto"/>
            <w:vAlign w:val="center"/>
          </w:tcPr>
          <w:p w14:paraId="2DCD1BD6" w14:textId="77777777" w:rsidR="00EA5B9F" w:rsidRPr="00A518C1" w:rsidRDefault="00EA5B9F" w:rsidP="00EA5B9F">
            <w:pPr>
              <w:autoSpaceDE w:val="0"/>
              <w:autoSpaceDN w:val="0"/>
              <w:adjustRightInd w:val="0"/>
              <w:jc w:val="right"/>
              <w:rPr>
                <w:sz w:val="24"/>
                <w:szCs w:val="24"/>
              </w:rPr>
            </w:pPr>
            <w:r w:rsidRPr="00A518C1">
              <w:rPr>
                <w:color w:val="000000"/>
              </w:rPr>
              <w:t>1,126</w:t>
            </w:r>
          </w:p>
        </w:tc>
        <w:tc>
          <w:tcPr>
            <w:tcW w:w="1701" w:type="dxa"/>
            <w:shd w:val="clear" w:color="auto" w:fill="auto"/>
            <w:vAlign w:val="center"/>
          </w:tcPr>
          <w:p w14:paraId="30B1A29B" w14:textId="77777777" w:rsidR="00EA5B9F" w:rsidRPr="00A518C1" w:rsidRDefault="00EA5B9F" w:rsidP="00EA5B9F">
            <w:pPr>
              <w:autoSpaceDE w:val="0"/>
              <w:autoSpaceDN w:val="0"/>
              <w:adjustRightInd w:val="0"/>
              <w:jc w:val="right"/>
              <w:rPr>
                <w:sz w:val="24"/>
                <w:szCs w:val="24"/>
              </w:rPr>
            </w:pPr>
            <w:r w:rsidRPr="00A518C1">
              <w:rPr>
                <w:color w:val="000000"/>
              </w:rPr>
              <w:t>1,126</w:t>
            </w:r>
          </w:p>
        </w:tc>
        <w:tc>
          <w:tcPr>
            <w:tcW w:w="1391" w:type="dxa"/>
            <w:shd w:val="clear" w:color="auto" w:fill="auto"/>
            <w:vAlign w:val="center"/>
          </w:tcPr>
          <w:p w14:paraId="29B7E130" w14:textId="77777777" w:rsidR="00EA5B9F" w:rsidRPr="00A518C1" w:rsidRDefault="00EA5B9F" w:rsidP="00EA5B9F">
            <w:pPr>
              <w:autoSpaceDE w:val="0"/>
              <w:autoSpaceDN w:val="0"/>
              <w:adjustRightInd w:val="0"/>
              <w:jc w:val="right"/>
              <w:rPr>
                <w:sz w:val="24"/>
                <w:szCs w:val="24"/>
              </w:rPr>
            </w:pPr>
            <w:r w:rsidRPr="00A518C1">
              <w:rPr>
                <w:color w:val="000000"/>
              </w:rPr>
              <w:t>1,126</w:t>
            </w:r>
          </w:p>
        </w:tc>
        <w:tc>
          <w:tcPr>
            <w:tcW w:w="1364" w:type="dxa"/>
            <w:shd w:val="clear" w:color="auto" w:fill="auto"/>
            <w:vAlign w:val="center"/>
          </w:tcPr>
          <w:p w14:paraId="0E46AFDA" w14:textId="77777777" w:rsidR="00EA5B9F" w:rsidRPr="00A518C1" w:rsidRDefault="00EA5B9F" w:rsidP="00EA5B9F">
            <w:pPr>
              <w:autoSpaceDE w:val="0"/>
              <w:autoSpaceDN w:val="0"/>
              <w:adjustRightInd w:val="0"/>
              <w:jc w:val="right"/>
              <w:rPr>
                <w:sz w:val="24"/>
                <w:szCs w:val="24"/>
              </w:rPr>
            </w:pPr>
            <w:r w:rsidRPr="00A518C1">
              <w:rPr>
                <w:color w:val="000000"/>
              </w:rPr>
              <w:t>0</w:t>
            </w:r>
          </w:p>
        </w:tc>
      </w:tr>
      <w:tr w:rsidR="00EA5B9F" w:rsidRPr="00A518C1" w14:paraId="4A164F4C" w14:textId="77777777" w:rsidTr="000408B1">
        <w:tc>
          <w:tcPr>
            <w:tcW w:w="3402" w:type="dxa"/>
            <w:shd w:val="clear" w:color="auto" w:fill="auto"/>
          </w:tcPr>
          <w:p w14:paraId="2F925F44" w14:textId="77777777" w:rsidR="00EA5B9F" w:rsidRPr="00A518C1" w:rsidRDefault="00EA5B9F" w:rsidP="00EA5B9F">
            <w:pPr>
              <w:autoSpaceDE w:val="0"/>
              <w:autoSpaceDN w:val="0"/>
              <w:adjustRightInd w:val="0"/>
              <w:rPr>
                <w:sz w:val="24"/>
                <w:szCs w:val="24"/>
              </w:rPr>
            </w:pPr>
            <w:r w:rsidRPr="00A518C1">
              <w:rPr>
                <w:sz w:val="24"/>
                <w:szCs w:val="24"/>
              </w:rPr>
              <w:t>Futures 25 Efficiency Strategy</w:t>
            </w:r>
          </w:p>
        </w:tc>
        <w:tc>
          <w:tcPr>
            <w:tcW w:w="1276" w:type="dxa"/>
            <w:shd w:val="clear" w:color="auto" w:fill="auto"/>
            <w:vAlign w:val="center"/>
          </w:tcPr>
          <w:p w14:paraId="1D5D7AE3" w14:textId="77777777" w:rsidR="00EA5B9F" w:rsidRPr="00A518C1" w:rsidRDefault="00EA5B9F" w:rsidP="00EA5B9F">
            <w:pPr>
              <w:autoSpaceDE w:val="0"/>
              <w:autoSpaceDN w:val="0"/>
              <w:adjustRightInd w:val="0"/>
              <w:jc w:val="right"/>
              <w:rPr>
                <w:sz w:val="24"/>
                <w:szCs w:val="24"/>
              </w:rPr>
            </w:pPr>
            <w:r w:rsidRPr="00A518C1">
              <w:rPr>
                <w:color w:val="000000"/>
              </w:rPr>
              <w:t>900</w:t>
            </w:r>
          </w:p>
        </w:tc>
        <w:tc>
          <w:tcPr>
            <w:tcW w:w="1701" w:type="dxa"/>
            <w:shd w:val="clear" w:color="auto" w:fill="auto"/>
            <w:vAlign w:val="center"/>
          </w:tcPr>
          <w:p w14:paraId="26401F5F" w14:textId="77777777" w:rsidR="00EA5B9F" w:rsidRPr="00A518C1" w:rsidRDefault="00EA5B9F" w:rsidP="00EA5B9F">
            <w:pPr>
              <w:autoSpaceDE w:val="0"/>
              <w:autoSpaceDN w:val="0"/>
              <w:adjustRightInd w:val="0"/>
              <w:jc w:val="right"/>
              <w:rPr>
                <w:sz w:val="24"/>
                <w:szCs w:val="24"/>
              </w:rPr>
            </w:pPr>
            <w:r w:rsidRPr="00A518C1">
              <w:rPr>
                <w:color w:val="000000"/>
              </w:rPr>
              <w:t>717</w:t>
            </w:r>
          </w:p>
        </w:tc>
        <w:tc>
          <w:tcPr>
            <w:tcW w:w="1391" w:type="dxa"/>
            <w:shd w:val="clear" w:color="auto" w:fill="auto"/>
            <w:vAlign w:val="center"/>
          </w:tcPr>
          <w:p w14:paraId="05004F3D" w14:textId="77777777" w:rsidR="00EA5B9F" w:rsidRPr="00A518C1" w:rsidRDefault="00EA5B9F" w:rsidP="00EA5B9F">
            <w:pPr>
              <w:autoSpaceDE w:val="0"/>
              <w:autoSpaceDN w:val="0"/>
              <w:adjustRightInd w:val="0"/>
              <w:jc w:val="right"/>
              <w:rPr>
                <w:sz w:val="24"/>
                <w:szCs w:val="24"/>
              </w:rPr>
            </w:pPr>
            <w:r w:rsidRPr="00A518C1">
              <w:rPr>
                <w:color w:val="000000"/>
              </w:rPr>
              <w:t>0</w:t>
            </w:r>
          </w:p>
        </w:tc>
        <w:tc>
          <w:tcPr>
            <w:tcW w:w="1364" w:type="dxa"/>
            <w:shd w:val="clear" w:color="auto" w:fill="auto"/>
            <w:vAlign w:val="center"/>
          </w:tcPr>
          <w:p w14:paraId="77EC94D3" w14:textId="77777777" w:rsidR="00EA5B9F" w:rsidRPr="00A518C1" w:rsidRDefault="00EA5B9F" w:rsidP="00EA5B9F">
            <w:pPr>
              <w:autoSpaceDE w:val="0"/>
              <w:autoSpaceDN w:val="0"/>
              <w:adjustRightInd w:val="0"/>
              <w:jc w:val="right"/>
              <w:rPr>
                <w:sz w:val="24"/>
                <w:szCs w:val="24"/>
              </w:rPr>
            </w:pPr>
            <w:r w:rsidRPr="00A518C1">
              <w:rPr>
                <w:color w:val="000000"/>
              </w:rPr>
              <w:t>717</w:t>
            </w:r>
          </w:p>
        </w:tc>
      </w:tr>
      <w:tr w:rsidR="00EA5B9F" w:rsidRPr="00A518C1" w14:paraId="0CC03D23" w14:textId="77777777" w:rsidTr="000408B1">
        <w:tc>
          <w:tcPr>
            <w:tcW w:w="3402" w:type="dxa"/>
            <w:shd w:val="clear" w:color="auto" w:fill="auto"/>
          </w:tcPr>
          <w:p w14:paraId="54ECFF22" w14:textId="77777777" w:rsidR="00EA5B9F" w:rsidRPr="00A518C1" w:rsidRDefault="00EA5B9F" w:rsidP="00EA5B9F">
            <w:pPr>
              <w:autoSpaceDE w:val="0"/>
              <w:autoSpaceDN w:val="0"/>
              <w:adjustRightInd w:val="0"/>
              <w:rPr>
                <w:sz w:val="24"/>
                <w:szCs w:val="24"/>
              </w:rPr>
            </w:pPr>
            <w:r w:rsidRPr="00A518C1">
              <w:rPr>
                <w:sz w:val="24"/>
                <w:szCs w:val="24"/>
              </w:rPr>
              <w:t>Other</w:t>
            </w:r>
          </w:p>
        </w:tc>
        <w:tc>
          <w:tcPr>
            <w:tcW w:w="1276" w:type="dxa"/>
            <w:shd w:val="clear" w:color="auto" w:fill="auto"/>
            <w:vAlign w:val="center"/>
          </w:tcPr>
          <w:p w14:paraId="2304A41A" w14:textId="77777777" w:rsidR="00EA5B9F" w:rsidRPr="00A518C1" w:rsidRDefault="00EA5B9F" w:rsidP="00EA5B9F">
            <w:pPr>
              <w:autoSpaceDE w:val="0"/>
              <w:autoSpaceDN w:val="0"/>
              <w:adjustRightInd w:val="0"/>
              <w:jc w:val="right"/>
              <w:rPr>
                <w:sz w:val="24"/>
                <w:szCs w:val="24"/>
              </w:rPr>
            </w:pPr>
            <w:r w:rsidRPr="00A518C1">
              <w:rPr>
                <w:color w:val="000000"/>
              </w:rPr>
              <w:t>384</w:t>
            </w:r>
          </w:p>
        </w:tc>
        <w:tc>
          <w:tcPr>
            <w:tcW w:w="1701" w:type="dxa"/>
            <w:shd w:val="clear" w:color="auto" w:fill="auto"/>
            <w:vAlign w:val="center"/>
          </w:tcPr>
          <w:p w14:paraId="041850BE" w14:textId="77777777" w:rsidR="00EA5B9F" w:rsidRPr="00A518C1" w:rsidRDefault="00EA5B9F" w:rsidP="00EA5B9F">
            <w:pPr>
              <w:autoSpaceDE w:val="0"/>
              <w:autoSpaceDN w:val="0"/>
              <w:adjustRightInd w:val="0"/>
              <w:jc w:val="right"/>
              <w:rPr>
                <w:sz w:val="24"/>
                <w:szCs w:val="24"/>
              </w:rPr>
            </w:pPr>
            <w:r w:rsidRPr="00A518C1">
              <w:rPr>
                <w:color w:val="000000"/>
              </w:rPr>
              <w:t>219</w:t>
            </w:r>
          </w:p>
        </w:tc>
        <w:tc>
          <w:tcPr>
            <w:tcW w:w="1391" w:type="dxa"/>
            <w:shd w:val="clear" w:color="auto" w:fill="auto"/>
            <w:vAlign w:val="center"/>
          </w:tcPr>
          <w:p w14:paraId="33DE2D97" w14:textId="77777777" w:rsidR="00EA5B9F" w:rsidRPr="00A518C1" w:rsidRDefault="00EA5B9F" w:rsidP="00EA5B9F">
            <w:pPr>
              <w:autoSpaceDE w:val="0"/>
              <w:autoSpaceDN w:val="0"/>
              <w:adjustRightInd w:val="0"/>
              <w:jc w:val="right"/>
              <w:rPr>
                <w:sz w:val="24"/>
                <w:szCs w:val="24"/>
              </w:rPr>
            </w:pPr>
            <w:r w:rsidRPr="00A518C1">
              <w:rPr>
                <w:color w:val="000000"/>
              </w:rPr>
              <w:t>193</w:t>
            </w:r>
          </w:p>
        </w:tc>
        <w:tc>
          <w:tcPr>
            <w:tcW w:w="1364" w:type="dxa"/>
            <w:shd w:val="clear" w:color="auto" w:fill="auto"/>
            <w:vAlign w:val="center"/>
          </w:tcPr>
          <w:p w14:paraId="6D87C5E8" w14:textId="77777777" w:rsidR="00EA5B9F" w:rsidRPr="00A518C1" w:rsidRDefault="00EA5B9F" w:rsidP="00EA5B9F">
            <w:pPr>
              <w:autoSpaceDE w:val="0"/>
              <w:autoSpaceDN w:val="0"/>
              <w:adjustRightInd w:val="0"/>
              <w:jc w:val="right"/>
              <w:rPr>
                <w:sz w:val="24"/>
                <w:szCs w:val="24"/>
              </w:rPr>
            </w:pPr>
            <w:r w:rsidRPr="00A518C1">
              <w:rPr>
                <w:color w:val="000000"/>
              </w:rPr>
              <w:t>26</w:t>
            </w:r>
          </w:p>
        </w:tc>
      </w:tr>
      <w:tr w:rsidR="00EA5B9F" w:rsidRPr="00A518C1" w14:paraId="38F0B4F8" w14:textId="77777777" w:rsidTr="000408B1">
        <w:tc>
          <w:tcPr>
            <w:tcW w:w="3402" w:type="dxa"/>
            <w:shd w:val="clear" w:color="auto" w:fill="auto"/>
          </w:tcPr>
          <w:p w14:paraId="45F611E6" w14:textId="77777777" w:rsidR="00EA5B9F" w:rsidRPr="00A518C1" w:rsidRDefault="00EA5B9F" w:rsidP="00EA5B9F">
            <w:pPr>
              <w:autoSpaceDE w:val="0"/>
              <w:autoSpaceDN w:val="0"/>
              <w:adjustRightInd w:val="0"/>
              <w:rPr>
                <w:b/>
                <w:bCs/>
                <w:sz w:val="24"/>
                <w:szCs w:val="24"/>
              </w:rPr>
            </w:pPr>
            <w:r w:rsidRPr="00A518C1">
              <w:rPr>
                <w:b/>
                <w:bCs/>
                <w:sz w:val="24"/>
                <w:szCs w:val="24"/>
              </w:rPr>
              <w:t>Total</w:t>
            </w:r>
          </w:p>
        </w:tc>
        <w:tc>
          <w:tcPr>
            <w:tcW w:w="1276" w:type="dxa"/>
            <w:shd w:val="clear" w:color="auto" w:fill="auto"/>
            <w:vAlign w:val="center"/>
          </w:tcPr>
          <w:p w14:paraId="0C198883" w14:textId="77777777" w:rsidR="00EA5B9F" w:rsidRPr="00A518C1" w:rsidRDefault="00EA5B9F" w:rsidP="00EA5B9F">
            <w:pPr>
              <w:autoSpaceDE w:val="0"/>
              <w:autoSpaceDN w:val="0"/>
              <w:adjustRightInd w:val="0"/>
              <w:jc w:val="right"/>
              <w:rPr>
                <w:b/>
                <w:bCs/>
                <w:sz w:val="24"/>
                <w:szCs w:val="24"/>
              </w:rPr>
            </w:pPr>
            <w:r w:rsidRPr="00A518C1">
              <w:rPr>
                <w:b/>
                <w:bCs/>
                <w:color w:val="000000"/>
              </w:rPr>
              <w:t>5,337</w:t>
            </w:r>
          </w:p>
        </w:tc>
        <w:tc>
          <w:tcPr>
            <w:tcW w:w="1701" w:type="dxa"/>
            <w:shd w:val="clear" w:color="auto" w:fill="auto"/>
            <w:vAlign w:val="center"/>
          </w:tcPr>
          <w:p w14:paraId="4A96C8E7" w14:textId="77777777" w:rsidR="00EA5B9F" w:rsidRPr="00A518C1" w:rsidRDefault="00EA5B9F" w:rsidP="00EA5B9F">
            <w:pPr>
              <w:autoSpaceDE w:val="0"/>
              <w:autoSpaceDN w:val="0"/>
              <w:adjustRightInd w:val="0"/>
              <w:jc w:val="right"/>
              <w:rPr>
                <w:b/>
                <w:bCs/>
                <w:sz w:val="24"/>
                <w:szCs w:val="24"/>
              </w:rPr>
            </w:pPr>
            <w:r w:rsidRPr="00A518C1">
              <w:rPr>
                <w:b/>
                <w:bCs/>
                <w:color w:val="000000"/>
              </w:rPr>
              <w:t>4,353</w:t>
            </w:r>
          </w:p>
        </w:tc>
        <w:tc>
          <w:tcPr>
            <w:tcW w:w="1391" w:type="dxa"/>
            <w:shd w:val="clear" w:color="auto" w:fill="auto"/>
            <w:vAlign w:val="center"/>
          </w:tcPr>
          <w:p w14:paraId="15A6326B" w14:textId="77777777" w:rsidR="00EA5B9F" w:rsidRPr="00A518C1" w:rsidRDefault="00EA5B9F" w:rsidP="00EA5B9F">
            <w:pPr>
              <w:autoSpaceDE w:val="0"/>
              <w:autoSpaceDN w:val="0"/>
              <w:adjustRightInd w:val="0"/>
              <w:jc w:val="right"/>
              <w:rPr>
                <w:b/>
                <w:bCs/>
                <w:sz w:val="24"/>
                <w:szCs w:val="24"/>
              </w:rPr>
            </w:pPr>
            <w:r w:rsidRPr="00A518C1">
              <w:rPr>
                <w:b/>
                <w:bCs/>
                <w:color w:val="000000"/>
              </w:rPr>
              <w:t>2,612</w:t>
            </w:r>
          </w:p>
        </w:tc>
        <w:tc>
          <w:tcPr>
            <w:tcW w:w="1364" w:type="dxa"/>
            <w:shd w:val="clear" w:color="auto" w:fill="auto"/>
            <w:vAlign w:val="center"/>
          </w:tcPr>
          <w:p w14:paraId="23E8E6F3" w14:textId="77777777" w:rsidR="00EA5B9F" w:rsidRPr="00A518C1" w:rsidRDefault="00EA5B9F" w:rsidP="00EA5B9F">
            <w:pPr>
              <w:autoSpaceDE w:val="0"/>
              <w:autoSpaceDN w:val="0"/>
              <w:adjustRightInd w:val="0"/>
              <w:jc w:val="right"/>
              <w:rPr>
                <w:b/>
                <w:bCs/>
                <w:sz w:val="24"/>
                <w:szCs w:val="24"/>
              </w:rPr>
            </w:pPr>
            <w:r w:rsidRPr="00A518C1">
              <w:rPr>
                <w:b/>
                <w:bCs/>
                <w:color w:val="000000"/>
              </w:rPr>
              <w:t>1,741</w:t>
            </w:r>
          </w:p>
        </w:tc>
      </w:tr>
    </w:tbl>
    <w:p w14:paraId="055B6CE2" w14:textId="77777777" w:rsidR="00DB08E0" w:rsidRPr="0029537D" w:rsidRDefault="00DB08E0" w:rsidP="004D73CE">
      <w:pPr>
        <w:autoSpaceDE w:val="0"/>
        <w:autoSpaceDN w:val="0"/>
        <w:adjustRightInd w:val="0"/>
        <w:ind w:left="709" w:hanging="709"/>
        <w:rPr>
          <w:sz w:val="24"/>
          <w:szCs w:val="24"/>
          <w:highlight w:val="yellow"/>
        </w:rPr>
      </w:pPr>
    </w:p>
    <w:p w14:paraId="1F6CC4F6" w14:textId="77777777" w:rsidR="006A3505" w:rsidRPr="00A518C1" w:rsidRDefault="00DB08E0" w:rsidP="007F642E">
      <w:pPr>
        <w:autoSpaceDE w:val="0"/>
        <w:autoSpaceDN w:val="0"/>
        <w:adjustRightInd w:val="0"/>
        <w:ind w:left="709" w:hanging="709"/>
        <w:rPr>
          <w:sz w:val="24"/>
          <w:szCs w:val="24"/>
        </w:rPr>
      </w:pPr>
      <w:bookmarkStart w:id="28" w:name="_Hlk25764080"/>
      <w:r w:rsidRPr="00A518C1">
        <w:rPr>
          <w:sz w:val="24"/>
          <w:szCs w:val="24"/>
        </w:rPr>
        <w:t>3.</w:t>
      </w:r>
      <w:r w:rsidR="006A3505" w:rsidRPr="00A518C1">
        <w:rPr>
          <w:sz w:val="24"/>
          <w:szCs w:val="24"/>
        </w:rPr>
        <w:t>4</w:t>
      </w:r>
      <w:r w:rsidRPr="00A518C1">
        <w:rPr>
          <w:sz w:val="24"/>
          <w:szCs w:val="24"/>
        </w:rPr>
        <w:tab/>
        <w:t>The relevance of, and value in, each reserve is reviewed annually</w:t>
      </w:r>
      <w:r w:rsidR="006A3505" w:rsidRPr="00A518C1">
        <w:rPr>
          <w:sz w:val="24"/>
          <w:szCs w:val="24"/>
        </w:rPr>
        <w:t xml:space="preserve"> with a view to identifying any surplus reserves and realigning available funding to the service’s priorities</w:t>
      </w:r>
      <w:r w:rsidRPr="00A518C1">
        <w:rPr>
          <w:sz w:val="24"/>
          <w:szCs w:val="24"/>
        </w:rPr>
        <w:t>.</w:t>
      </w:r>
      <w:r w:rsidR="006A3505" w:rsidRPr="00A518C1">
        <w:rPr>
          <w:sz w:val="24"/>
          <w:szCs w:val="24"/>
        </w:rPr>
        <w:t xml:space="preserve">  </w:t>
      </w:r>
    </w:p>
    <w:p w14:paraId="2ACCE750" w14:textId="77777777" w:rsidR="006A3505" w:rsidRPr="00A518C1" w:rsidRDefault="006A3505" w:rsidP="007F642E">
      <w:pPr>
        <w:autoSpaceDE w:val="0"/>
        <w:autoSpaceDN w:val="0"/>
        <w:adjustRightInd w:val="0"/>
        <w:ind w:left="709" w:hanging="709"/>
        <w:rPr>
          <w:sz w:val="24"/>
          <w:szCs w:val="24"/>
        </w:rPr>
      </w:pPr>
    </w:p>
    <w:p w14:paraId="11D2A8A7" w14:textId="77777777" w:rsidR="00A623C7" w:rsidRPr="00A518C1" w:rsidRDefault="006A3505" w:rsidP="007F642E">
      <w:pPr>
        <w:autoSpaceDE w:val="0"/>
        <w:autoSpaceDN w:val="0"/>
        <w:adjustRightInd w:val="0"/>
        <w:ind w:left="709" w:hanging="709"/>
        <w:rPr>
          <w:sz w:val="24"/>
          <w:szCs w:val="24"/>
        </w:rPr>
      </w:pPr>
      <w:r w:rsidRPr="00A518C1">
        <w:rPr>
          <w:sz w:val="24"/>
          <w:szCs w:val="24"/>
        </w:rPr>
        <w:t>3.5</w:t>
      </w:r>
      <w:r w:rsidRPr="00A518C1">
        <w:rPr>
          <w:sz w:val="24"/>
          <w:szCs w:val="24"/>
        </w:rPr>
        <w:tab/>
      </w:r>
      <w:bookmarkStart w:id="29" w:name="_Hlk55883066"/>
      <w:bookmarkStart w:id="30" w:name="_Hlk26541787"/>
      <w:bookmarkStart w:id="31" w:name="_Hlk25763998"/>
      <w:bookmarkEnd w:id="28"/>
      <w:r w:rsidR="007F642E" w:rsidRPr="00A518C1">
        <w:rPr>
          <w:sz w:val="24"/>
          <w:szCs w:val="24"/>
        </w:rPr>
        <w:t>Given the potential deficit identified in the</w:t>
      </w:r>
      <w:r w:rsidR="00CE3936" w:rsidRPr="00A518C1">
        <w:rPr>
          <w:sz w:val="24"/>
          <w:szCs w:val="24"/>
        </w:rPr>
        <w:t xml:space="preserve"> </w:t>
      </w:r>
      <w:r w:rsidR="004B6C98" w:rsidRPr="00A518C1">
        <w:rPr>
          <w:sz w:val="24"/>
          <w:szCs w:val="24"/>
        </w:rPr>
        <w:t>2024/25</w:t>
      </w:r>
      <w:r w:rsidR="007F642E" w:rsidRPr="00A518C1">
        <w:rPr>
          <w:sz w:val="24"/>
          <w:szCs w:val="24"/>
        </w:rPr>
        <w:t xml:space="preserve"> </w:t>
      </w:r>
      <w:r w:rsidR="007136BE" w:rsidRPr="00A518C1">
        <w:rPr>
          <w:sz w:val="24"/>
          <w:szCs w:val="24"/>
        </w:rPr>
        <w:t>Medium Term Financial Strategy (</w:t>
      </w:r>
      <w:r w:rsidR="007F642E" w:rsidRPr="00A518C1">
        <w:rPr>
          <w:sz w:val="24"/>
          <w:szCs w:val="24"/>
        </w:rPr>
        <w:t>MTFS</w:t>
      </w:r>
      <w:r w:rsidR="007136BE" w:rsidRPr="00A518C1">
        <w:rPr>
          <w:sz w:val="24"/>
          <w:szCs w:val="24"/>
        </w:rPr>
        <w:t>)</w:t>
      </w:r>
      <w:r w:rsidR="00CE3936" w:rsidRPr="00A518C1">
        <w:rPr>
          <w:sz w:val="24"/>
          <w:szCs w:val="24"/>
        </w:rPr>
        <w:t>, all existing earmarked reserves have bee</w:t>
      </w:r>
      <w:r w:rsidR="00151442" w:rsidRPr="00A518C1">
        <w:rPr>
          <w:sz w:val="24"/>
          <w:szCs w:val="24"/>
        </w:rPr>
        <w:t>n</w:t>
      </w:r>
      <w:r w:rsidR="00CE3936" w:rsidRPr="00A518C1">
        <w:rPr>
          <w:sz w:val="24"/>
          <w:szCs w:val="24"/>
        </w:rPr>
        <w:t xml:space="preserve"> scrutinised with the purpose of </w:t>
      </w:r>
      <w:r w:rsidR="00DE3ACF" w:rsidRPr="00A518C1">
        <w:rPr>
          <w:sz w:val="24"/>
          <w:szCs w:val="24"/>
        </w:rPr>
        <w:t xml:space="preserve">identifying surplus resources that can be used to support </w:t>
      </w:r>
      <w:r w:rsidR="00934C71" w:rsidRPr="00A518C1">
        <w:rPr>
          <w:sz w:val="24"/>
          <w:szCs w:val="24"/>
        </w:rPr>
        <w:t>know pressures for</w:t>
      </w:r>
      <w:r w:rsidR="00DE3ACF" w:rsidRPr="00A518C1">
        <w:rPr>
          <w:sz w:val="24"/>
          <w:szCs w:val="24"/>
        </w:rPr>
        <w:t xml:space="preserve"> </w:t>
      </w:r>
      <w:r w:rsidR="004B6C98" w:rsidRPr="00A518C1">
        <w:rPr>
          <w:sz w:val="24"/>
          <w:szCs w:val="24"/>
        </w:rPr>
        <w:t>2024/25</w:t>
      </w:r>
      <w:r w:rsidR="00934C71" w:rsidRPr="00A518C1">
        <w:rPr>
          <w:sz w:val="24"/>
          <w:szCs w:val="24"/>
        </w:rPr>
        <w:t xml:space="preserve"> and beyond</w:t>
      </w:r>
      <w:r w:rsidR="00DE3ACF" w:rsidRPr="00A518C1">
        <w:rPr>
          <w:sz w:val="24"/>
          <w:szCs w:val="24"/>
        </w:rPr>
        <w:t>.</w:t>
      </w:r>
      <w:r w:rsidR="00934C71" w:rsidRPr="00A518C1">
        <w:rPr>
          <w:sz w:val="24"/>
          <w:szCs w:val="24"/>
        </w:rPr>
        <w:t xml:space="preserve">  This review has</w:t>
      </w:r>
      <w:r w:rsidR="00DE3ACF" w:rsidRPr="00A518C1">
        <w:rPr>
          <w:sz w:val="24"/>
          <w:szCs w:val="24"/>
        </w:rPr>
        <w:t xml:space="preserve"> identified</w:t>
      </w:r>
      <w:r w:rsidR="00A623C7" w:rsidRPr="00A518C1">
        <w:rPr>
          <w:sz w:val="24"/>
          <w:szCs w:val="24"/>
        </w:rPr>
        <w:t xml:space="preserve"> £</w:t>
      </w:r>
      <w:r w:rsidR="004F47DA" w:rsidRPr="00A518C1">
        <w:rPr>
          <w:sz w:val="24"/>
          <w:szCs w:val="24"/>
        </w:rPr>
        <w:t>485</w:t>
      </w:r>
      <w:r w:rsidR="00934C71" w:rsidRPr="00A518C1">
        <w:rPr>
          <w:sz w:val="24"/>
          <w:szCs w:val="24"/>
        </w:rPr>
        <w:t>k</w:t>
      </w:r>
      <w:r w:rsidR="00A623C7" w:rsidRPr="00A518C1">
        <w:rPr>
          <w:sz w:val="24"/>
          <w:szCs w:val="24"/>
        </w:rPr>
        <w:t xml:space="preserve"> </w:t>
      </w:r>
      <w:r w:rsidR="00DE3ACF" w:rsidRPr="00A518C1">
        <w:rPr>
          <w:sz w:val="24"/>
          <w:szCs w:val="24"/>
        </w:rPr>
        <w:t>for re-distribution</w:t>
      </w:r>
      <w:r w:rsidR="00934C71" w:rsidRPr="00A518C1">
        <w:rPr>
          <w:sz w:val="24"/>
          <w:szCs w:val="24"/>
        </w:rPr>
        <w:t xml:space="preserve">. </w:t>
      </w:r>
    </w:p>
    <w:p w14:paraId="599CD82C" w14:textId="77777777" w:rsidR="00FF62F4" w:rsidRPr="00A518C1" w:rsidRDefault="00FF62F4" w:rsidP="007F642E">
      <w:pPr>
        <w:autoSpaceDE w:val="0"/>
        <w:autoSpaceDN w:val="0"/>
        <w:adjustRightInd w:val="0"/>
        <w:ind w:left="709" w:hanging="709"/>
        <w:rPr>
          <w:sz w:val="24"/>
          <w:szCs w:val="24"/>
        </w:rPr>
      </w:pPr>
    </w:p>
    <w:p w14:paraId="711DF117" w14:textId="77777777" w:rsidR="00DB08E0" w:rsidRPr="00A518C1" w:rsidRDefault="00DB08E0" w:rsidP="00151442">
      <w:pPr>
        <w:autoSpaceDE w:val="0"/>
        <w:autoSpaceDN w:val="0"/>
        <w:adjustRightInd w:val="0"/>
        <w:ind w:left="709" w:hanging="709"/>
        <w:rPr>
          <w:sz w:val="24"/>
          <w:szCs w:val="24"/>
        </w:rPr>
      </w:pPr>
      <w:bookmarkStart w:id="32" w:name="_Hlk55883037"/>
      <w:bookmarkEnd w:id="29"/>
      <w:r w:rsidRPr="00A518C1">
        <w:rPr>
          <w:sz w:val="24"/>
          <w:szCs w:val="24"/>
        </w:rPr>
        <w:t>3.</w:t>
      </w:r>
      <w:r w:rsidR="00C125E9" w:rsidRPr="00A518C1">
        <w:rPr>
          <w:sz w:val="24"/>
          <w:szCs w:val="24"/>
        </w:rPr>
        <w:t>6</w:t>
      </w:r>
      <w:r w:rsidRPr="00A518C1">
        <w:rPr>
          <w:sz w:val="24"/>
          <w:szCs w:val="24"/>
        </w:rPr>
        <w:tab/>
      </w:r>
      <w:r w:rsidR="00980984" w:rsidRPr="00A518C1">
        <w:rPr>
          <w:sz w:val="24"/>
          <w:szCs w:val="24"/>
        </w:rPr>
        <w:t>Appendix B contains details of all Earmarked Reserves along with propos</w:t>
      </w:r>
      <w:r w:rsidR="007136BE" w:rsidRPr="00A518C1">
        <w:rPr>
          <w:sz w:val="24"/>
          <w:szCs w:val="24"/>
        </w:rPr>
        <w:t xml:space="preserve">ed amounts </w:t>
      </w:r>
      <w:r w:rsidR="00980984" w:rsidRPr="00A518C1">
        <w:rPr>
          <w:sz w:val="24"/>
          <w:szCs w:val="24"/>
        </w:rPr>
        <w:t xml:space="preserve">for </w:t>
      </w:r>
      <w:r w:rsidRPr="00A518C1">
        <w:rPr>
          <w:sz w:val="24"/>
          <w:szCs w:val="24"/>
        </w:rPr>
        <w:t>reallocat</w:t>
      </w:r>
      <w:r w:rsidR="00842C75" w:rsidRPr="00A518C1">
        <w:rPr>
          <w:sz w:val="24"/>
          <w:szCs w:val="24"/>
        </w:rPr>
        <w:t>ion</w:t>
      </w:r>
      <w:r w:rsidR="007136BE" w:rsidRPr="00A518C1">
        <w:rPr>
          <w:sz w:val="24"/>
          <w:szCs w:val="24"/>
        </w:rPr>
        <w:t xml:space="preserve">.  </w:t>
      </w:r>
      <w:r w:rsidR="00151442" w:rsidRPr="00A518C1">
        <w:rPr>
          <w:sz w:val="24"/>
          <w:szCs w:val="24"/>
        </w:rPr>
        <w:t xml:space="preserve">Table 2 </w:t>
      </w:r>
      <w:bookmarkStart w:id="33" w:name="_Hlk54187356"/>
      <w:r w:rsidR="00D60827" w:rsidRPr="00A518C1">
        <w:rPr>
          <w:sz w:val="24"/>
          <w:szCs w:val="24"/>
        </w:rPr>
        <w:t>provides a summary of those reserves identified for reallocation</w:t>
      </w:r>
      <w:r w:rsidR="00E6078D" w:rsidRPr="00A518C1">
        <w:rPr>
          <w:sz w:val="24"/>
          <w:szCs w:val="24"/>
        </w:rPr>
        <w:t>.</w:t>
      </w:r>
    </w:p>
    <w:p w14:paraId="24B6E8C8" w14:textId="77777777" w:rsidR="00E6078D" w:rsidRPr="00A518C1" w:rsidRDefault="00934C71" w:rsidP="00151442">
      <w:pPr>
        <w:autoSpaceDE w:val="0"/>
        <w:autoSpaceDN w:val="0"/>
        <w:adjustRightInd w:val="0"/>
        <w:ind w:left="709" w:hanging="709"/>
        <w:rPr>
          <w:sz w:val="24"/>
          <w:szCs w:val="24"/>
        </w:rPr>
      </w:pPr>
      <w:r w:rsidRPr="00A518C1">
        <w:rPr>
          <w:sz w:val="24"/>
          <w:szCs w:val="24"/>
        </w:rPr>
        <w:br w:type="page"/>
      </w:r>
    </w:p>
    <w:p w14:paraId="180D0A04" w14:textId="77777777" w:rsidR="00D60827" w:rsidRPr="00A518C1" w:rsidRDefault="00D60827" w:rsidP="00D60827">
      <w:pPr>
        <w:spacing w:after="160" w:line="259" w:lineRule="auto"/>
        <w:ind w:firstLine="709"/>
        <w:rPr>
          <w:sz w:val="24"/>
          <w:szCs w:val="24"/>
        </w:rPr>
      </w:pPr>
      <w:r w:rsidRPr="00A518C1">
        <w:rPr>
          <w:b/>
          <w:sz w:val="24"/>
          <w:szCs w:val="24"/>
        </w:rPr>
        <w:lastRenderedPageBreak/>
        <w:t>Table 2 – Summary of Earmarked Reserves</w:t>
      </w:r>
      <w:r w:rsidR="005714CB" w:rsidRPr="00A518C1">
        <w:rPr>
          <w:b/>
          <w:sz w:val="24"/>
          <w:szCs w:val="24"/>
        </w:rPr>
        <w:t xml:space="preserve"> </w:t>
      </w:r>
      <w:r w:rsidR="005A50D3" w:rsidRPr="00A518C1">
        <w:rPr>
          <w:b/>
          <w:sz w:val="24"/>
          <w:szCs w:val="24"/>
        </w:rPr>
        <w:t>I</w:t>
      </w:r>
      <w:r w:rsidR="005714CB" w:rsidRPr="00A518C1">
        <w:rPr>
          <w:b/>
          <w:sz w:val="24"/>
          <w:szCs w:val="24"/>
        </w:rPr>
        <w:t xml:space="preserve">dentified for </w:t>
      </w:r>
      <w:r w:rsidR="005A50D3" w:rsidRPr="00A518C1">
        <w:rPr>
          <w:b/>
          <w:sz w:val="24"/>
          <w:szCs w:val="24"/>
        </w:rPr>
        <w:t>R</w:t>
      </w:r>
      <w:r w:rsidR="005714CB" w:rsidRPr="00A518C1">
        <w:rPr>
          <w:b/>
          <w:sz w:val="24"/>
          <w:szCs w:val="24"/>
        </w:rPr>
        <w:t>e-allocation</w:t>
      </w:r>
    </w:p>
    <w:tbl>
      <w:tblPr>
        <w:tblW w:w="8380" w:type="dxa"/>
        <w:tblInd w:w="959" w:type="dxa"/>
        <w:tblLook w:val="04A0" w:firstRow="1" w:lastRow="0" w:firstColumn="1" w:lastColumn="0" w:noHBand="0" w:noVBand="1"/>
      </w:tblPr>
      <w:tblGrid>
        <w:gridCol w:w="2977"/>
        <w:gridCol w:w="1275"/>
        <w:gridCol w:w="1276"/>
        <w:gridCol w:w="1401"/>
        <w:gridCol w:w="1451"/>
      </w:tblGrid>
      <w:tr w:rsidR="00CC2654" w:rsidRPr="00A518C1" w14:paraId="6F5702C5" w14:textId="77777777" w:rsidTr="00A85C00">
        <w:trPr>
          <w:trHeight w:val="1265"/>
        </w:trPr>
        <w:tc>
          <w:tcPr>
            <w:tcW w:w="2977" w:type="dxa"/>
            <w:tcBorders>
              <w:top w:val="single" w:sz="8" w:space="0" w:color="auto"/>
              <w:left w:val="single" w:sz="8" w:space="0" w:color="auto"/>
              <w:right w:val="single" w:sz="4" w:space="0" w:color="auto"/>
            </w:tcBorders>
            <w:shd w:val="clear" w:color="auto" w:fill="auto"/>
            <w:noWrap/>
            <w:vAlign w:val="bottom"/>
          </w:tcPr>
          <w:p w14:paraId="4745E843" w14:textId="77777777" w:rsidR="00CC2654" w:rsidRPr="00A518C1" w:rsidRDefault="00CC2654" w:rsidP="00CC2654">
            <w:pPr>
              <w:rPr>
                <w:b/>
                <w:bCs/>
                <w:color w:val="000000"/>
                <w:lang w:eastAsia="en-GB"/>
              </w:rPr>
            </w:pPr>
            <w:r w:rsidRPr="00A518C1">
              <w:rPr>
                <w:b/>
                <w:bCs/>
                <w:color w:val="000000"/>
                <w:lang w:eastAsia="en-GB"/>
              </w:rPr>
              <w:t> </w:t>
            </w:r>
            <w:r w:rsidR="00673F95" w:rsidRPr="00A518C1">
              <w:rPr>
                <w:b/>
                <w:bCs/>
                <w:sz w:val="24"/>
                <w:szCs w:val="24"/>
              </w:rPr>
              <w:t>Reserve</w:t>
            </w:r>
          </w:p>
          <w:p w14:paraId="5FEC1DA4" w14:textId="77777777" w:rsidR="00CC2654" w:rsidRPr="00A518C1" w:rsidRDefault="00CC2654" w:rsidP="00CC2654">
            <w:pPr>
              <w:rPr>
                <w:b/>
                <w:bCs/>
                <w:color w:val="000000"/>
                <w:lang w:eastAsia="en-GB"/>
              </w:rPr>
            </w:pPr>
            <w:r w:rsidRPr="00A518C1">
              <w:rPr>
                <w:b/>
                <w:bCs/>
                <w:color w:val="000000"/>
                <w:lang w:eastAsia="en-GB"/>
              </w:rPr>
              <w:t> </w:t>
            </w:r>
          </w:p>
          <w:p w14:paraId="003A0B7A" w14:textId="77777777" w:rsidR="00CC2654" w:rsidRPr="00A518C1" w:rsidRDefault="00CC2654" w:rsidP="00CC2654">
            <w:pPr>
              <w:rPr>
                <w:b/>
                <w:bCs/>
                <w:color w:val="000000"/>
                <w:lang w:eastAsia="en-GB"/>
              </w:rPr>
            </w:pPr>
            <w:r w:rsidRPr="00A518C1">
              <w:rPr>
                <w:b/>
                <w:bCs/>
                <w:color w:val="000000"/>
                <w:lang w:eastAsia="en-GB"/>
              </w:rPr>
              <w:t> </w:t>
            </w:r>
          </w:p>
          <w:p w14:paraId="4DD6F434" w14:textId="77777777" w:rsidR="00CC2654" w:rsidRPr="00A518C1" w:rsidRDefault="00CC2654" w:rsidP="00CC2654">
            <w:pPr>
              <w:rPr>
                <w:b/>
                <w:bCs/>
                <w:color w:val="000000"/>
                <w:lang w:eastAsia="en-GB"/>
              </w:rPr>
            </w:pPr>
            <w:r w:rsidRPr="00A518C1">
              <w:rPr>
                <w:b/>
                <w:bCs/>
                <w:color w:val="000000"/>
                <w:lang w:eastAsia="en-GB"/>
              </w:rPr>
              <w:t> </w:t>
            </w:r>
          </w:p>
        </w:tc>
        <w:tc>
          <w:tcPr>
            <w:tcW w:w="1275" w:type="dxa"/>
            <w:tcBorders>
              <w:top w:val="single" w:sz="8" w:space="0" w:color="auto"/>
              <w:left w:val="nil"/>
              <w:right w:val="single" w:sz="4" w:space="0" w:color="auto"/>
            </w:tcBorders>
            <w:shd w:val="clear" w:color="auto" w:fill="auto"/>
            <w:noWrap/>
            <w:vAlign w:val="bottom"/>
          </w:tcPr>
          <w:p w14:paraId="4A63412A" w14:textId="77777777" w:rsidR="00CC2654" w:rsidRPr="00A518C1" w:rsidRDefault="00CC2654" w:rsidP="00CC2654">
            <w:pPr>
              <w:jc w:val="center"/>
              <w:rPr>
                <w:b/>
                <w:bCs/>
                <w:color w:val="000000"/>
                <w:lang w:eastAsia="en-GB"/>
              </w:rPr>
            </w:pPr>
            <w:r w:rsidRPr="00A518C1">
              <w:rPr>
                <w:b/>
                <w:bCs/>
                <w:color w:val="000000"/>
                <w:lang w:eastAsia="en-GB"/>
              </w:rPr>
              <w:t xml:space="preserve"> Balance </w:t>
            </w:r>
          </w:p>
          <w:p w14:paraId="5CC7BB0D" w14:textId="77777777" w:rsidR="00CC2654" w:rsidRPr="00A518C1" w:rsidRDefault="00CC2654" w:rsidP="00CC2654">
            <w:pPr>
              <w:jc w:val="center"/>
              <w:rPr>
                <w:b/>
                <w:bCs/>
                <w:color w:val="000000"/>
                <w:lang w:eastAsia="en-GB"/>
              </w:rPr>
            </w:pPr>
            <w:r w:rsidRPr="00A518C1">
              <w:rPr>
                <w:b/>
                <w:bCs/>
                <w:color w:val="000000"/>
                <w:lang w:eastAsia="en-GB"/>
              </w:rPr>
              <w:t>01-Apr-23</w:t>
            </w:r>
          </w:p>
          <w:p w14:paraId="755FD6E8" w14:textId="77777777" w:rsidR="00CC2654" w:rsidRPr="00A518C1" w:rsidRDefault="00CC2654" w:rsidP="00CC2654">
            <w:pPr>
              <w:jc w:val="center"/>
              <w:rPr>
                <w:b/>
                <w:bCs/>
                <w:color w:val="000000"/>
                <w:lang w:eastAsia="en-GB"/>
              </w:rPr>
            </w:pPr>
            <w:r w:rsidRPr="00A518C1">
              <w:rPr>
                <w:b/>
                <w:bCs/>
                <w:color w:val="000000"/>
                <w:lang w:eastAsia="en-GB"/>
              </w:rPr>
              <w:t> </w:t>
            </w:r>
          </w:p>
          <w:p w14:paraId="78C485C7" w14:textId="77777777" w:rsidR="00CC2654" w:rsidRPr="00A518C1" w:rsidRDefault="00CC2654" w:rsidP="00C876C8">
            <w:pPr>
              <w:autoSpaceDE w:val="0"/>
              <w:autoSpaceDN w:val="0"/>
              <w:adjustRightInd w:val="0"/>
              <w:jc w:val="right"/>
              <w:rPr>
                <w:b/>
                <w:bCs/>
                <w:color w:val="000000"/>
                <w:lang w:eastAsia="en-GB"/>
              </w:rPr>
            </w:pPr>
            <w:r w:rsidRPr="00A518C1">
              <w:rPr>
                <w:b/>
                <w:bCs/>
                <w:color w:val="000000"/>
                <w:lang w:eastAsia="en-GB"/>
              </w:rPr>
              <w:t xml:space="preserve"> </w:t>
            </w:r>
            <w:r w:rsidR="00C876C8" w:rsidRPr="00A518C1">
              <w:rPr>
                <w:b/>
                <w:bCs/>
                <w:color w:val="000000"/>
                <w:lang w:eastAsia="en-GB"/>
              </w:rPr>
              <w:t>£</w:t>
            </w:r>
            <w:r w:rsidR="00C876C8" w:rsidRPr="00A518C1">
              <w:rPr>
                <w:b/>
                <w:bCs/>
                <w:sz w:val="24"/>
                <w:szCs w:val="24"/>
              </w:rPr>
              <w:t>’000</w:t>
            </w:r>
          </w:p>
        </w:tc>
        <w:tc>
          <w:tcPr>
            <w:tcW w:w="1276" w:type="dxa"/>
            <w:tcBorders>
              <w:top w:val="single" w:sz="8" w:space="0" w:color="auto"/>
              <w:left w:val="nil"/>
              <w:right w:val="single" w:sz="4" w:space="0" w:color="auto"/>
            </w:tcBorders>
            <w:shd w:val="clear" w:color="auto" w:fill="auto"/>
            <w:noWrap/>
            <w:vAlign w:val="bottom"/>
          </w:tcPr>
          <w:p w14:paraId="264D1B1B" w14:textId="77777777" w:rsidR="00CC2654" w:rsidRPr="00A518C1" w:rsidRDefault="00CC2654" w:rsidP="00CC2654">
            <w:pPr>
              <w:jc w:val="center"/>
              <w:rPr>
                <w:b/>
                <w:bCs/>
                <w:color w:val="000000"/>
                <w:lang w:eastAsia="en-GB"/>
              </w:rPr>
            </w:pPr>
            <w:r w:rsidRPr="00A518C1">
              <w:rPr>
                <w:b/>
                <w:bCs/>
                <w:color w:val="000000"/>
                <w:lang w:eastAsia="en-GB"/>
              </w:rPr>
              <w:t xml:space="preserve"> Required </w:t>
            </w:r>
          </w:p>
          <w:p w14:paraId="77159F5D" w14:textId="77777777" w:rsidR="00CC2654" w:rsidRPr="00A518C1" w:rsidRDefault="00CC2654" w:rsidP="00CC2654">
            <w:pPr>
              <w:jc w:val="center"/>
              <w:rPr>
                <w:b/>
                <w:bCs/>
                <w:color w:val="000000"/>
                <w:lang w:eastAsia="en-GB"/>
              </w:rPr>
            </w:pPr>
            <w:r w:rsidRPr="00A518C1">
              <w:rPr>
                <w:b/>
                <w:bCs/>
                <w:color w:val="000000"/>
                <w:lang w:eastAsia="en-GB"/>
              </w:rPr>
              <w:t>2023/24</w:t>
            </w:r>
          </w:p>
          <w:p w14:paraId="138FBAB5" w14:textId="77777777" w:rsidR="00CC2654" w:rsidRPr="00A518C1" w:rsidRDefault="00CC2654" w:rsidP="00CC2654">
            <w:pPr>
              <w:jc w:val="center"/>
              <w:rPr>
                <w:b/>
                <w:bCs/>
                <w:color w:val="000000"/>
                <w:lang w:eastAsia="en-GB"/>
              </w:rPr>
            </w:pPr>
            <w:r w:rsidRPr="00A518C1">
              <w:rPr>
                <w:b/>
                <w:bCs/>
                <w:color w:val="000000"/>
                <w:lang w:eastAsia="en-GB"/>
              </w:rPr>
              <w:t> </w:t>
            </w:r>
          </w:p>
          <w:p w14:paraId="0BFA786A" w14:textId="77777777" w:rsidR="00CC2654" w:rsidRPr="00A518C1" w:rsidRDefault="00C876C8" w:rsidP="00C876C8">
            <w:pPr>
              <w:jc w:val="center"/>
              <w:rPr>
                <w:b/>
                <w:bCs/>
                <w:color w:val="000000"/>
                <w:lang w:eastAsia="en-GB"/>
              </w:rPr>
            </w:pPr>
            <w:r w:rsidRPr="00A518C1">
              <w:rPr>
                <w:b/>
                <w:bCs/>
                <w:color w:val="000000"/>
                <w:lang w:eastAsia="en-GB"/>
              </w:rPr>
              <w:t>£</w:t>
            </w:r>
            <w:r w:rsidRPr="00A518C1">
              <w:rPr>
                <w:b/>
                <w:bCs/>
                <w:sz w:val="24"/>
                <w:szCs w:val="24"/>
              </w:rPr>
              <w:t>’000</w:t>
            </w:r>
            <w:r w:rsidR="00CC2654" w:rsidRPr="00A518C1">
              <w:rPr>
                <w:b/>
                <w:bCs/>
                <w:color w:val="000000"/>
                <w:lang w:eastAsia="en-GB"/>
              </w:rPr>
              <w:t xml:space="preserve"> </w:t>
            </w:r>
          </w:p>
        </w:tc>
        <w:tc>
          <w:tcPr>
            <w:tcW w:w="1401" w:type="dxa"/>
            <w:tcBorders>
              <w:top w:val="single" w:sz="8" w:space="0" w:color="auto"/>
              <w:left w:val="nil"/>
              <w:right w:val="nil"/>
            </w:tcBorders>
            <w:shd w:val="clear" w:color="auto" w:fill="auto"/>
            <w:noWrap/>
            <w:vAlign w:val="bottom"/>
          </w:tcPr>
          <w:p w14:paraId="22EA3900" w14:textId="77777777" w:rsidR="00CC2654" w:rsidRPr="00A518C1" w:rsidRDefault="00CC2654" w:rsidP="00CC2654">
            <w:pPr>
              <w:jc w:val="center"/>
              <w:rPr>
                <w:b/>
                <w:bCs/>
                <w:color w:val="000000"/>
                <w:lang w:eastAsia="en-GB"/>
              </w:rPr>
            </w:pPr>
            <w:r w:rsidRPr="00A518C1">
              <w:rPr>
                <w:b/>
                <w:bCs/>
                <w:color w:val="000000"/>
                <w:lang w:eastAsia="en-GB"/>
              </w:rPr>
              <w:t xml:space="preserve"> Required </w:t>
            </w:r>
          </w:p>
          <w:p w14:paraId="0E997B36" w14:textId="77777777" w:rsidR="00CC2654" w:rsidRPr="00A518C1" w:rsidRDefault="00CC2654" w:rsidP="00CC2654">
            <w:pPr>
              <w:jc w:val="center"/>
              <w:rPr>
                <w:b/>
                <w:bCs/>
                <w:color w:val="000000"/>
                <w:lang w:eastAsia="en-GB"/>
              </w:rPr>
            </w:pPr>
            <w:r w:rsidRPr="00A518C1">
              <w:rPr>
                <w:b/>
                <w:bCs/>
                <w:color w:val="000000"/>
                <w:lang w:eastAsia="en-GB"/>
              </w:rPr>
              <w:t>2024/25 to</w:t>
            </w:r>
          </w:p>
          <w:p w14:paraId="311881A9" w14:textId="77777777" w:rsidR="00CC2654" w:rsidRPr="00A518C1" w:rsidRDefault="00CC2654" w:rsidP="00CC2654">
            <w:pPr>
              <w:jc w:val="center"/>
              <w:rPr>
                <w:b/>
                <w:bCs/>
                <w:color w:val="000000"/>
                <w:lang w:eastAsia="en-GB"/>
              </w:rPr>
            </w:pPr>
            <w:r w:rsidRPr="00A518C1">
              <w:rPr>
                <w:b/>
                <w:bCs/>
                <w:color w:val="000000"/>
                <w:lang w:eastAsia="en-GB"/>
              </w:rPr>
              <w:t xml:space="preserve"> 2026/27</w:t>
            </w:r>
          </w:p>
          <w:p w14:paraId="14330F55" w14:textId="77777777" w:rsidR="00CC2654" w:rsidRPr="00A518C1" w:rsidRDefault="00CC2654" w:rsidP="00CC2654">
            <w:pPr>
              <w:jc w:val="center"/>
              <w:rPr>
                <w:b/>
                <w:bCs/>
                <w:color w:val="000000"/>
                <w:lang w:eastAsia="en-GB"/>
              </w:rPr>
            </w:pPr>
            <w:r w:rsidRPr="00A518C1">
              <w:rPr>
                <w:b/>
                <w:bCs/>
                <w:color w:val="000000"/>
                <w:lang w:eastAsia="en-GB"/>
              </w:rPr>
              <w:t xml:space="preserve"> </w:t>
            </w:r>
            <w:r w:rsidR="00C876C8" w:rsidRPr="00A518C1">
              <w:rPr>
                <w:b/>
                <w:bCs/>
                <w:color w:val="000000"/>
                <w:lang w:eastAsia="en-GB"/>
              </w:rPr>
              <w:t>£</w:t>
            </w:r>
            <w:r w:rsidR="00C876C8" w:rsidRPr="00A518C1">
              <w:rPr>
                <w:b/>
                <w:bCs/>
                <w:sz w:val="24"/>
                <w:szCs w:val="24"/>
              </w:rPr>
              <w:t>’000</w:t>
            </w:r>
          </w:p>
        </w:tc>
        <w:tc>
          <w:tcPr>
            <w:tcW w:w="1451" w:type="dxa"/>
            <w:tcBorders>
              <w:top w:val="single" w:sz="8" w:space="0" w:color="auto"/>
              <w:left w:val="single" w:sz="4" w:space="0" w:color="auto"/>
              <w:right w:val="single" w:sz="8" w:space="0" w:color="auto"/>
            </w:tcBorders>
            <w:shd w:val="clear" w:color="auto" w:fill="auto"/>
            <w:noWrap/>
            <w:vAlign w:val="bottom"/>
          </w:tcPr>
          <w:p w14:paraId="05DFE8AE" w14:textId="77777777" w:rsidR="00CC2654" w:rsidRPr="00A518C1" w:rsidRDefault="00CC2654" w:rsidP="00CC2654">
            <w:pPr>
              <w:jc w:val="center"/>
              <w:rPr>
                <w:b/>
                <w:bCs/>
                <w:color w:val="000000"/>
                <w:lang w:eastAsia="en-GB"/>
              </w:rPr>
            </w:pPr>
            <w:r w:rsidRPr="00A518C1">
              <w:rPr>
                <w:b/>
                <w:bCs/>
                <w:color w:val="000000"/>
                <w:lang w:eastAsia="en-GB"/>
              </w:rPr>
              <w:t xml:space="preserve"> To be </w:t>
            </w:r>
          </w:p>
          <w:p w14:paraId="79EE028C" w14:textId="77777777" w:rsidR="00CC2654" w:rsidRPr="00A518C1" w:rsidRDefault="00CC2654" w:rsidP="00CC2654">
            <w:pPr>
              <w:jc w:val="center"/>
              <w:rPr>
                <w:b/>
                <w:bCs/>
                <w:color w:val="000000"/>
                <w:lang w:eastAsia="en-GB"/>
              </w:rPr>
            </w:pPr>
            <w:r w:rsidRPr="00A518C1">
              <w:rPr>
                <w:b/>
                <w:bCs/>
                <w:color w:val="000000"/>
                <w:lang w:eastAsia="en-GB"/>
              </w:rPr>
              <w:t>Reallocated</w:t>
            </w:r>
          </w:p>
          <w:p w14:paraId="3AE49C90" w14:textId="77777777" w:rsidR="00CC2654" w:rsidRPr="00A518C1" w:rsidRDefault="00CC2654" w:rsidP="00CC2654">
            <w:pPr>
              <w:jc w:val="center"/>
              <w:rPr>
                <w:b/>
                <w:bCs/>
                <w:color w:val="000000"/>
                <w:lang w:eastAsia="en-GB"/>
              </w:rPr>
            </w:pPr>
            <w:r w:rsidRPr="00A518C1">
              <w:rPr>
                <w:b/>
                <w:bCs/>
                <w:color w:val="000000"/>
                <w:lang w:eastAsia="en-GB"/>
              </w:rPr>
              <w:t xml:space="preserve"> </w:t>
            </w:r>
            <w:r w:rsidR="00C876C8" w:rsidRPr="00A518C1">
              <w:rPr>
                <w:b/>
                <w:bCs/>
                <w:color w:val="000000"/>
                <w:lang w:eastAsia="en-GB"/>
              </w:rPr>
              <w:t>£</w:t>
            </w:r>
            <w:r w:rsidR="00C876C8" w:rsidRPr="00A518C1">
              <w:rPr>
                <w:b/>
                <w:bCs/>
                <w:sz w:val="24"/>
                <w:szCs w:val="24"/>
              </w:rPr>
              <w:t>’000</w:t>
            </w:r>
          </w:p>
        </w:tc>
      </w:tr>
      <w:tr w:rsidR="00CC2654" w:rsidRPr="00A518C1" w14:paraId="78645E90"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78124430" w14:textId="77777777" w:rsidR="00CC2654" w:rsidRPr="00A518C1" w:rsidRDefault="00CC2654" w:rsidP="008F6D33">
            <w:pPr>
              <w:autoSpaceDE w:val="0"/>
              <w:autoSpaceDN w:val="0"/>
              <w:adjustRightInd w:val="0"/>
              <w:rPr>
                <w:sz w:val="24"/>
                <w:szCs w:val="24"/>
              </w:rPr>
            </w:pPr>
            <w:r w:rsidRPr="00A518C1">
              <w:rPr>
                <w:sz w:val="24"/>
                <w:szCs w:val="24"/>
              </w:rPr>
              <w:t>Tri Service Control / Mobilising System</w:t>
            </w:r>
          </w:p>
        </w:tc>
        <w:tc>
          <w:tcPr>
            <w:tcW w:w="1275" w:type="dxa"/>
            <w:tcBorders>
              <w:top w:val="single" w:sz="8" w:space="0" w:color="auto"/>
              <w:left w:val="nil"/>
              <w:bottom w:val="nil"/>
              <w:right w:val="single" w:sz="4" w:space="0" w:color="auto"/>
            </w:tcBorders>
            <w:shd w:val="clear" w:color="auto" w:fill="auto"/>
            <w:noWrap/>
            <w:vAlign w:val="bottom"/>
          </w:tcPr>
          <w:p w14:paraId="6FCED2C1" w14:textId="77777777" w:rsidR="00CC2654" w:rsidRPr="00A518C1" w:rsidRDefault="00CC2654" w:rsidP="008F6D33">
            <w:pPr>
              <w:autoSpaceDE w:val="0"/>
              <w:autoSpaceDN w:val="0"/>
              <w:adjustRightInd w:val="0"/>
              <w:jc w:val="right"/>
              <w:rPr>
                <w:sz w:val="24"/>
                <w:szCs w:val="24"/>
              </w:rPr>
            </w:pPr>
            <w:r w:rsidRPr="00A518C1">
              <w:rPr>
                <w:sz w:val="24"/>
                <w:szCs w:val="24"/>
              </w:rPr>
              <w:t>3</w:t>
            </w:r>
            <w:r w:rsidR="00C876C8" w:rsidRPr="00A518C1">
              <w:rPr>
                <w:sz w:val="24"/>
                <w:szCs w:val="24"/>
              </w:rPr>
              <w:t>50</w:t>
            </w:r>
          </w:p>
        </w:tc>
        <w:tc>
          <w:tcPr>
            <w:tcW w:w="1276" w:type="dxa"/>
            <w:tcBorders>
              <w:top w:val="single" w:sz="8" w:space="0" w:color="auto"/>
              <w:left w:val="nil"/>
              <w:bottom w:val="nil"/>
              <w:right w:val="single" w:sz="4" w:space="0" w:color="auto"/>
            </w:tcBorders>
            <w:shd w:val="clear" w:color="auto" w:fill="auto"/>
            <w:noWrap/>
            <w:vAlign w:val="bottom"/>
          </w:tcPr>
          <w:p w14:paraId="6C7836EA"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5ADF9223"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4DF62E8B" w14:textId="77777777" w:rsidR="00CC2654" w:rsidRPr="00A518C1" w:rsidRDefault="00C876C8" w:rsidP="008F6D33">
            <w:pPr>
              <w:autoSpaceDE w:val="0"/>
              <w:autoSpaceDN w:val="0"/>
              <w:adjustRightInd w:val="0"/>
              <w:jc w:val="right"/>
              <w:rPr>
                <w:sz w:val="24"/>
                <w:szCs w:val="24"/>
              </w:rPr>
            </w:pPr>
            <w:r w:rsidRPr="00A518C1">
              <w:rPr>
                <w:sz w:val="24"/>
                <w:szCs w:val="24"/>
              </w:rPr>
              <w:t>350</w:t>
            </w:r>
          </w:p>
        </w:tc>
      </w:tr>
      <w:tr w:rsidR="00CC2654" w:rsidRPr="00A518C1" w14:paraId="2937C01F"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3D8CB2DF" w14:textId="77777777" w:rsidR="00CC2654" w:rsidRPr="00A518C1" w:rsidRDefault="00CC2654" w:rsidP="008F6D33">
            <w:pPr>
              <w:autoSpaceDE w:val="0"/>
              <w:autoSpaceDN w:val="0"/>
              <w:adjustRightInd w:val="0"/>
              <w:rPr>
                <w:sz w:val="24"/>
                <w:szCs w:val="24"/>
              </w:rPr>
            </w:pPr>
            <w:r w:rsidRPr="00A518C1">
              <w:rPr>
                <w:sz w:val="24"/>
                <w:szCs w:val="24"/>
              </w:rPr>
              <w:t xml:space="preserve">Fire Cover Review </w:t>
            </w:r>
          </w:p>
        </w:tc>
        <w:tc>
          <w:tcPr>
            <w:tcW w:w="1275" w:type="dxa"/>
            <w:tcBorders>
              <w:top w:val="single" w:sz="8" w:space="0" w:color="auto"/>
              <w:left w:val="nil"/>
              <w:bottom w:val="nil"/>
              <w:right w:val="single" w:sz="4" w:space="0" w:color="auto"/>
            </w:tcBorders>
            <w:shd w:val="clear" w:color="auto" w:fill="auto"/>
            <w:noWrap/>
            <w:vAlign w:val="bottom"/>
          </w:tcPr>
          <w:p w14:paraId="59B6F8E4" w14:textId="77777777" w:rsidR="00CC2654" w:rsidRPr="00A518C1" w:rsidRDefault="00CC2654" w:rsidP="008F6D33">
            <w:pPr>
              <w:autoSpaceDE w:val="0"/>
              <w:autoSpaceDN w:val="0"/>
              <w:adjustRightInd w:val="0"/>
              <w:jc w:val="right"/>
              <w:rPr>
                <w:sz w:val="24"/>
                <w:szCs w:val="24"/>
              </w:rPr>
            </w:pPr>
            <w:r w:rsidRPr="00A518C1">
              <w:rPr>
                <w:sz w:val="24"/>
                <w:szCs w:val="24"/>
              </w:rPr>
              <w:t>10</w:t>
            </w:r>
          </w:p>
        </w:tc>
        <w:tc>
          <w:tcPr>
            <w:tcW w:w="1276" w:type="dxa"/>
            <w:tcBorders>
              <w:top w:val="single" w:sz="8" w:space="0" w:color="auto"/>
              <w:left w:val="nil"/>
              <w:bottom w:val="nil"/>
              <w:right w:val="single" w:sz="4" w:space="0" w:color="auto"/>
            </w:tcBorders>
            <w:shd w:val="clear" w:color="auto" w:fill="auto"/>
            <w:noWrap/>
            <w:vAlign w:val="bottom"/>
          </w:tcPr>
          <w:p w14:paraId="5B772189"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044E7564"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50FA3107" w14:textId="77777777" w:rsidR="00CC2654" w:rsidRPr="00A518C1" w:rsidRDefault="00CC2654" w:rsidP="008F6D33">
            <w:pPr>
              <w:autoSpaceDE w:val="0"/>
              <w:autoSpaceDN w:val="0"/>
              <w:adjustRightInd w:val="0"/>
              <w:jc w:val="right"/>
              <w:rPr>
                <w:sz w:val="24"/>
                <w:szCs w:val="24"/>
              </w:rPr>
            </w:pPr>
            <w:r w:rsidRPr="00A518C1">
              <w:rPr>
                <w:sz w:val="24"/>
                <w:szCs w:val="24"/>
              </w:rPr>
              <w:t>10</w:t>
            </w:r>
          </w:p>
        </w:tc>
      </w:tr>
      <w:tr w:rsidR="00CC2654" w:rsidRPr="00A518C1" w14:paraId="79B4C712"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5AD23249" w14:textId="77777777" w:rsidR="00CC2654" w:rsidRPr="00A518C1" w:rsidRDefault="00CC2654" w:rsidP="008F6D33">
            <w:pPr>
              <w:autoSpaceDE w:val="0"/>
              <w:autoSpaceDN w:val="0"/>
              <w:adjustRightInd w:val="0"/>
              <w:rPr>
                <w:sz w:val="24"/>
                <w:szCs w:val="24"/>
              </w:rPr>
            </w:pPr>
            <w:r w:rsidRPr="00A518C1">
              <w:rPr>
                <w:sz w:val="24"/>
                <w:szCs w:val="24"/>
              </w:rPr>
              <w:t xml:space="preserve">Remedial Fire Risk Assessment </w:t>
            </w:r>
          </w:p>
        </w:tc>
        <w:tc>
          <w:tcPr>
            <w:tcW w:w="1275" w:type="dxa"/>
            <w:tcBorders>
              <w:top w:val="single" w:sz="8" w:space="0" w:color="auto"/>
              <w:left w:val="nil"/>
              <w:bottom w:val="nil"/>
              <w:right w:val="single" w:sz="4" w:space="0" w:color="auto"/>
            </w:tcBorders>
            <w:shd w:val="clear" w:color="auto" w:fill="auto"/>
            <w:noWrap/>
            <w:vAlign w:val="bottom"/>
          </w:tcPr>
          <w:p w14:paraId="4CE0103B" w14:textId="77777777" w:rsidR="00CC2654" w:rsidRPr="00A518C1" w:rsidRDefault="00CC2654" w:rsidP="008F6D33">
            <w:pPr>
              <w:autoSpaceDE w:val="0"/>
              <w:autoSpaceDN w:val="0"/>
              <w:adjustRightInd w:val="0"/>
              <w:jc w:val="right"/>
              <w:rPr>
                <w:sz w:val="24"/>
                <w:szCs w:val="24"/>
              </w:rPr>
            </w:pPr>
            <w:r w:rsidRPr="00A518C1">
              <w:rPr>
                <w:sz w:val="24"/>
                <w:szCs w:val="24"/>
              </w:rPr>
              <w:t>30</w:t>
            </w:r>
          </w:p>
        </w:tc>
        <w:tc>
          <w:tcPr>
            <w:tcW w:w="1276" w:type="dxa"/>
            <w:tcBorders>
              <w:top w:val="single" w:sz="8" w:space="0" w:color="auto"/>
              <w:left w:val="nil"/>
              <w:bottom w:val="nil"/>
              <w:right w:val="single" w:sz="4" w:space="0" w:color="auto"/>
            </w:tcBorders>
            <w:shd w:val="clear" w:color="auto" w:fill="auto"/>
            <w:noWrap/>
            <w:vAlign w:val="bottom"/>
          </w:tcPr>
          <w:p w14:paraId="4ADB8EFC"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6409346F"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502D6CD3" w14:textId="77777777" w:rsidR="00CC2654" w:rsidRPr="00A518C1" w:rsidRDefault="00C876C8" w:rsidP="008F6D33">
            <w:pPr>
              <w:autoSpaceDE w:val="0"/>
              <w:autoSpaceDN w:val="0"/>
              <w:adjustRightInd w:val="0"/>
              <w:jc w:val="right"/>
              <w:rPr>
                <w:sz w:val="24"/>
                <w:szCs w:val="24"/>
              </w:rPr>
            </w:pPr>
            <w:r w:rsidRPr="00A518C1">
              <w:rPr>
                <w:sz w:val="24"/>
                <w:szCs w:val="24"/>
              </w:rPr>
              <w:t>30</w:t>
            </w:r>
          </w:p>
        </w:tc>
      </w:tr>
      <w:tr w:rsidR="00CC2654" w:rsidRPr="00A518C1" w14:paraId="57F0DD98"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2745F760" w14:textId="77777777" w:rsidR="00CC2654" w:rsidRPr="00A518C1" w:rsidRDefault="00CC2654" w:rsidP="008F6D33">
            <w:pPr>
              <w:autoSpaceDE w:val="0"/>
              <w:autoSpaceDN w:val="0"/>
              <w:adjustRightInd w:val="0"/>
              <w:rPr>
                <w:sz w:val="24"/>
                <w:szCs w:val="24"/>
              </w:rPr>
            </w:pPr>
            <w:r w:rsidRPr="00A518C1">
              <w:rPr>
                <w:sz w:val="24"/>
                <w:szCs w:val="24"/>
              </w:rPr>
              <w:t>Headquarters Move</w:t>
            </w:r>
          </w:p>
        </w:tc>
        <w:tc>
          <w:tcPr>
            <w:tcW w:w="1275" w:type="dxa"/>
            <w:tcBorders>
              <w:top w:val="single" w:sz="8" w:space="0" w:color="auto"/>
              <w:left w:val="nil"/>
              <w:bottom w:val="nil"/>
              <w:right w:val="single" w:sz="4" w:space="0" w:color="auto"/>
            </w:tcBorders>
            <w:shd w:val="clear" w:color="auto" w:fill="auto"/>
            <w:noWrap/>
            <w:vAlign w:val="bottom"/>
          </w:tcPr>
          <w:p w14:paraId="422FDED7" w14:textId="77777777" w:rsidR="00CC2654" w:rsidRPr="00A518C1" w:rsidRDefault="00CC2654" w:rsidP="008F6D33">
            <w:pPr>
              <w:autoSpaceDE w:val="0"/>
              <w:autoSpaceDN w:val="0"/>
              <w:adjustRightInd w:val="0"/>
              <w:jc w:val="right"/>
              <w:rPr>
                <w:sz w:val="24"/>
                <w:szCs w:val="24"/>
              </w:rPr>
            </w:pPr>
            <w:r w:rsidRPr="00A518C1">
              <w:rPr>
                <w:sz w:val="24"/>
                <w:szCs w:val="24"/>
              </w:rPr>
              <w:t>4</w:t>
            </w:r>
            <w:r w:rsidR="00C876C8" w:rsidRPr="00A518C1">
              <w:rPr>
                <w:sz w:val="24"/>
                <w:szCs w:val="24"/>
              </w:rPr>
              <w:t>9</w:t>
            </w:r>
          </w:p>
        </w:tc>
        <w:tc>
          <w:tcPr>
            <w:tcW w:w="1276" w:type="dxa"/>
            <w:tcBorders>
              <w:top w:val="single" w:sz="8" w:space="0" w:color="auto"/>
              <w:left w:val="nil"/>
              <w:bottom w:val="nil"/>
              <w:right w:val="single" w:sz="4" w:space="0" w:color="auto"/>
            </w:tcBorders>
            <w:shd w:val="clear" w:color="auto" w:fill="auto"/>
            <w:noWrap/>
            <w:vAlign w:val="bottom"/>
          </w:tcPr>
          <w:p w14:paraId="4184A417"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1897D2DC"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138106DC" w14:textId="77777777" w:rsidR="00CC2654" w:rsidRPr="00A518C1" w:rsidRDefault="00C876C8" w:rsidP="008F6D33">
            <w:pPr>
              <w:autoSpaceDE w:val="0"/>
              <w:autoSpaceDN w:val="0"/>
              <w:adjustRightInd w:val="0"/>
              <w:jc w:val="right"/>
              <w:rPr>
                <w:sz w:val="24"/>
                <w:szCs w:val="24"/>
              </w:rPr>
            </w:pPr>
            <w:r w:rsidRPr="00A518C1">
              <w:rPr>
                <w:sz w:val="24"/>
                <w:szCs w:val="24"/>
              </w:rPr>
              <w:t>49</w:t>
            </w:r>
          </w:p>
        </w:tc>
      </w:tr>
      <w:tr w:rsidR="00CC2654" w:rsidRPr="00A518C1" w14:paraId="1CF5A428"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4E71E87C" w14:textId="77777777" w:rsidR="00CC2654" w:rsidRPr="00A518C1" w:rsidRDefault="00CC2654" w:rsidP="008F6D33">
            <w:pPr>
              <w:autoSpaceDE w:val="0"/>
              <w:autoSpaceDN w:val="0"/>
              <w:adjustRightInd w:val="0"/>
              <w:rPr>
                <w:sz w:val="24"/>
                <w:szCs w:val="24"/>
              </w:rPr>
            </w:pPr>
            <w:r w:rsidRPr="00A518C1">
              <w:rPr>
                <w:sz w:val="24"/>
                <w:szCs w:val="24"/>
              </w:rPr>
              <w:t>Covid-19 2019/20 unused grant</w:t>
            </w:r>
          </w:p>
        </w:tc>
        <w:tc>
          <w:tcPr>
            <w:tcW w:w="1275" w:type="dxa"/>
            <w:tcBorders>
              <w:top w:val="single" w:sz="8" w:space="0" w:color="auto"/>
              <w:left w:val="nil"/>
              <w:bottom w:val="nil"/>
              <w:right w:val="single" w:sz="4" w:space="0" w:color="auto"/>
            </w:tcBorders>
            <w:shd w:val="clear" w:color="auto" w:fill="auto"/>
            <w:noWrap/>
            <w:vAlign w:val="bottom"/>
          </w:tcPr>
          <w:p w14:paraId="02F0B5D7" w14:textId="77777777" w:rsidR="00CC2654" w:rsidRPr="00A518C1" w:rsidRDefault="00C876C8" w:rsidP="008F6D33">
            <w:pPr>
              <w:autoSpaceDE w:val="0"/>
              <w:autoSpaceDN w:val="0"/>
              <w:adjustRightInd w:val="0"/>
              <w:jc w:val="right"/>
              <w:rPr>
                <w:sz w:val="24"/>
                <w:szCs w:val="24"/>
              </w:rPr>
            </w:pPr>
            <w:r w:rsidRPr="00A518C1">
              <w:rPr>
                <w:sz w:val="24"/>
                <w:szCs w:val="24"/>
              </w:rPr>
              <w:t>15</w:t>
            </w:r>
          </w:p>
        </w:tc>
        <w:tc>
          <w:tcPr>
            <w:tcW w:w="1276" w:type="dxa"/>
            <w:tcBorders>
              <w:top w:val="single" w:sz="8" w:space="0" w:color="auto"/>
              <w:left w:val="nil"/>
              <w:bottom w:val="nil"/>
              <w:right w:val="single" w:sz="4" w:space="0" w:color="auto"/>
            </w:tcBorders>
            <w:shd w:val="clear" w:color="auto" w:fill="auto"/>
            <w:noWrap/>
            <w:vAlign w:val="bottom"/>
          </w:tcPr>
          <w:p w14:paraId="677CB5F2"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365CF1A3"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26AEDA33" w14:textId="77777777" w:rsidR="00CC2654" w:rsidRPr="00A518C1" w:rsidRDefault="00C876C8" w:rsidP="008F6D33">
            <w:pPr>
              <w:autoSpaceDE w:val="0"/>
              <w:autoSpaceDN w:val="0"/>
              <w:adjustRightInd w:val="0"/>
              <w:jc w:val="right"/>
              <w:rPr>
                <w:sz w:val="24"/>
                <w:szCs w:val="24"/>
              </w:rPr>
            </w:pPr>
            <w:r w:rsidRPr="00A518C1">
              <w:rPr>
                <w:sz w:val="24"/>
                <w:szCs w:val="24"/>
              </w:rPr>
              <w:t>15</w:t>
            </w:r>
          </w:p>
        </w:tc>
      </w:tr>
      <w:tr w:rsidR="00CC2654" w:rsidRPr="00A518C1" w14:paraId="49BD4853" w14:textId="77777777" w:rsidTr="00A85C00">
        <w:trPr>
          <w:trHeight w:val="263"/>
        </w:trPr>
        <w:tc>
          <w:tcPr>
            <w:tcW w:w="2977" w:type="dxa"/>
            <w:tcBorders>
              <w:top w:val="single" w:sz="8" w:space="0" w:color="auto"/>
              <w:left w:val="single" w:sz="8" w:space="0" w:color="auto"/>
              <w:bottom w:val="nil"/>
              <w:right w:val="single" w:sz="4" w:space="0" w:color="auto"/>
            </w:tcBorders>
            <w:shd w:val="clear" w:color="auto" w:fill="auto"/>
            <w:noWrap/>
            <w:vAlign w:val="bottom"/>
          </w:tcPr>
          <w:p w14:paraId="16A74CE7" w14:textId="77777777" w:rsidR="00CC2654" w:rsidRPr="00A518C1" w:rsidRDefault="00CC2654" w:rsidP="008F6D33">
            <w:pPr>
              <w:autoSpaceDE w:val="0"/>
              <w:autoSpaceDN w:val="0"/>
              <w:adjustRightInd w:val="0"/>
              <w:rPr>
                <w:sz w:val="24"/>
                <w:szCs w:val="24"/>
              </w:rPr>
            </w:pPr>
            <w:r w:rsidRPr="00A518C1">
              <w:rPr>
                <w:sz w:val="24"/>
                <w:szCs w:val="24"/>
              </w:rPr>
              <w:t xml:space="preserve">Joint HQ Comms officer </w:t>
            </w:r>
          </w:p>
        </w:tc>
        <w:tc>
          <w:tcPr>
            <w:tcW w:w="1275" w:type="dxa"/>
            <w:tcBorders>
              <w:top w:val="single" w:sz="8" w:space="0" w:color="auto"/>
              <w:left w:val="nil"/>
              <w:bottom w:val="nil"/>
              <w:right w:val="single" w:sz="4" w:space="0" w:color="auto"/>
            </w:tcBorders>
            <w:shd w:val="clear" w:color="auto" w:fill="auto"/>
            <w:noWrap/>
            <w:vAlign w:val="bottom"/>
          </w:tcPr>
          <w:p w14:paraId="2B3E0081" w14:textId="77777777" w:rsidR="00CC2654" w:rsidRPr="00A518C1" w:rsidRDefault="00C876C8" w:rsidP="008F6D33">
            <w:pPr>
              <w:autoSpaceDE w:val="0"/>
              <w:autoSpaceDN w:val="0"/>
              <w:adjustRightInd w:val="0"/>
              <w:jc w:val="right"/>
              <w:rPr>
                <w:sz w:val="24"/>
                <w:szCs w:val="24"/>
              </w:rPr>
            </w:pPr>
            <w:r w:rsidRPr="00A518C1">
              <w:rPr>
                <w:sz w:val="24"/>
                <w:szCs w:val="24"/>
              </w:rPr>
              <w:t>1</w:t>
            </w:r>
          </w:p>
        </w:tc>
        <w:tc>
          <w:tcPr>
            <w:tcW w:w="1276" w:type="dxa"/>
            <w:tcBorders>
              <w:top w:val="single" w:sz="8" w:space="0" w:color="auto"/>
              <w:left w:val="nil"/>
              <w:bottom w:val="nil"/>
              <w:right w:val="single" w:sz="4" w:space="0" w:color="auto"/>
            </w:tcBorders>
            <w:shd w:val="clear" w:color="auto" w:fill="auto"/>
            <w:noWrap/>
            <w:vAlign w:val="bottom"/>
          </w:tcPr>
          <w:p w14:paraId="04A60C64"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nil"/>
              <w:right w:val="nil"/>
            </w:tcBorders>
            <w:shd w:val="clear" w:color="auto" w:fill="auto"/>
            <w:noWrap/>
            <w:vAlign w:val="bottom"/>
          </w:tcPr>
          <w:p w14:paraId="7135FC4B"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nil"/>
              <w:right w:val="single" w:sz="8" w:space="0" w:color="auto"/>
            </w:tcBorders>
            <w:shd w:val="clear" w:color="auto" w:fill="auto"/>
            <w:noWrap/>
            <w:vAlign w:val="bottom"/>
          </w:tcPr>
          <w:p w14:paraId="3F1CAA47" w14:textId="77777777" w:rsidR="00CC2654" w:rsidRPr="00A518C1" w:rsidRDefault="00C876C8" w:rsidP="008F6D33">
            <w:pPr>
              <w:autoSpaceDE w:val="0"/>
              <w:autoSpaceDN w:val="0"/>
              <w:adjustRightInd w:val="0"/>
              <w:jc w:val="right"/>
              <w:rPr>
                <w:sz w:val="24"/>
                <w:szCs w:val="24"/>
              </w:rPr>
            </w:pPr>
            <w:r w:rsidRPr="00A518C1">
              <w:rPr>
                <w:sz w:val="24"/>
                <w:szCs w:val="24"/>
              </w:rPr>
              <w:t>1</w:t>
            </w:r>
          </w:p>
        </w:tc>
      </w:tr>
      <w:tr w:rsidR="00CC2654" w:rsidRPr="00A518C1" w14:paraId="12DF4144" w14:textId="77777777" w:rsidTr="00A85C00">
        <w:trPr>
          <w:trHeight w:val="263"/>
        </w:trPr>
        <w:tc>
          <w:tcPr>
            <w:tcW w:w="2977" w:type="dxa"/>
            <w:tcBorders>
              <w:top w:val="single" w:sz="8" w:space="0" w:color="auto"/>
              <w:left w:val="single" w:sz="8" w:space="0" w:color="auto"/>
              <w:bottom w:val="single" w:sz="8" w:space="0" w:color="auto"/>
              <w:right w:val="single" w:sz="4" w:space="0" w:color="auto"/>
            </w:tcBorders>
            <w:shd w:val="clear" w:color="auto" w:fill="auto"/>
            <w:noWrap/>
            <w:vAlign w:val="bottom"/>
          </w:tcPr>
          <w:p w14:paraId="7D8C6C85" w14:textId="77777777" w:rsidR="00CC2654" w:rsidRPr="00A518C1" w:rsidRDefault="00CC2654" w:rsidP="008F6D33">
            <w:pPr>
              <w:autoSpaceDE w:val="0"/>
              <w:autoSpaceDN w:val="0"/>
              <w:adjustRightInd w:val="0"/>
              <w:rPr>
                <w:sz w:val="24"/>
                <w:szCs w:val="24"/>
              </w:rPr>
            </w:pPr>
            <w:r w:rsidRPr="00A518C1">
              <w:rPr>
                <w:sz w:val="24"/>
                <w:szCs w:val="24"/>
              </w:rPr>
              <w:t>Transformation and Collaboration</w:t>
            </w:r>
          </w:p>
        </w:tc>
        <w:tc>
          <w:tcPr>
            <w:tcW w:w="1275" w:type="dxa"/>
            <w:tcBorders>
              <w:top w:val="single" w:sz="8" w:space="0" w:color="auto"/>
              <w:left w:val="nil"/>
              <w:bottom w:val="single" w:sz="8" w:space="0" w:color="auto"/>
              <w:right w:val="single" w:sz="4" w:space="0" w:color="auto"/>
            </w:tcBorders>
            <w:shd w:val="clear" w:color="auto" w:fill="auto"/>
            <w:noWrap/>
            <w:vAlign w:val="bottom"/>
          </w:tcPr>
          <w:p w14:paraId="0F2C1864" w14:textId="77777777" w:rsidR="00CC2654" w:rsidRPr="00A518C1" w:rsidRDefault="00C876C8" w:rsidP="008F6D33">
            <w:pPr>
              <w:autoSpaceDE w:val="0"/>
              <w:autoSpaceDN w:val="0"/>
              <w:adjustRightInd w:val="0"/>
              <w:jc w:val="right"/>
              <w:rPr>
                <w:sz w:val="24"/>
                <w:szCs w:val="24"/>
              </w:rPr>
            </w:pPr>
            <w:r w:rsidRPr="00A518C1">
              <w:rPr>
                <w:sz w:val="24"/>
                <w:szCs w:val="24"/>
              </w:rPr>
              <w:t>30</w:t>
            </w:r>
          </w:p>
        </w:tc>
        <w:tc>
          <w:tcPr>
            <w:tcW w:w="1276" w:type="dxa"/>
            <w:tcBorders>
              <w:top w:val="single" w:sz="8" w:space="0" w:color="auto"/>
              <w:left w:val="nil"/>
              <w:bottom w:val="single" w:sz="8" w:space="0" w:color="auto"/>
              <w:right w:val="single" w:sz="4" w:space="0" w:color="auto"/>
            </w:tcBorders>
            <w:shd w:val="clear" w:color="auto" w:fill="auto"/>
            <w:noWrap/>
            <w:vAlign w:val="bottom"/>
          </w:tcPr>
          <w:p w14:paraId="29B0615D"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single" w:sz="8" w:space="0" w:color="auto"/>
              <w:right w:val="nil"/>
            </w:tcBorders>
            <w:shd w:val="clear" w:color="auto" w:fill="auto"/>
            <w:noWrap/>
            <w:vAlign w:val="bottom"/>
          </w:tcPr>
          <w:p w14:paraId="6E93E6A1"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single" w:sz="8" w:space="0" w:color="auto"/>
              <w:right w:val="single" w:sz="8" w:space="0" w:color="auto"/>
            </w:tcBorders>
            <w:shd w:val="clear" w:color="auto" w:fill="auto"/>
            <w:noWrap/>
            <w:vAlign w:val="bottom"/>
          </w:tcPr>
          <w:p w14:paraId="3B039105" w14:textId="77777777" w:rsidR="00CC2654" w:rsidRPr="00A518C1" w:rsidRDefault="00CC2654" w:rsidP="008F6D33">
            <w:pPr>
              <w:autoSpaceDE w:val="0"/>
              <w:autoSpaceDN w:val="0"/>
              <w:adjustRightInd w:val="0"/>
              <w:jc w:val="right"/>
              <w:rPr>
                <w:sz w:val="24"/>
                <w:szCs w:val="24"/>
              </w:rPr>
            </w:pPr>
            <w:r w:rsidRPr="00A518C1">
              <w:rPr>
                <w:sz w:val="24"/>
                <w:szCs w:val="24"/>
              </w:rPr>
              <w:t>30</w:t>
            </w:r>
          </w:p>
        </w:tc>
      </w:tr>
      <w:tr w:rsidR="00CC2654" w:rsidRPr="00A518C1" w14:paraId="647B6387" w14:textId="77777777" w:rsidTr="00A85C00">
        <w:trPr>
          <w:trHeight w:val="263"/>
        </w:trPr>
        <w:tc>
          <w:tcPr>
            <w:tcW w:w="2977"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9D77604" w14:textId="77777777" w:rsidR="00CC2654" w:rsidRPr="00A518C1" w:rsidRDefault="00CC2654" w:rsidP="008F6D33">
            <w:pPr>
              <w:autoSpaceDE w:val="0"/>
              <w:autoSpaceDN w:val="0"/>
              <w:adjustRightInd w:val="0"/>
              <w:rPr>
                <w:sz w:val="24"/>
                <w:szCs w:val="24"/>
              </w:rPr>
            </w:pPr>
            <w:r w:rsidRPr="00A518C1">
              <w:rPr>
                <w:sz w:val="24"/>
                <w:szCs w:val="24"/>
              </w:rPr>
              <w:t>Total</w:t>
            </w:r>
          </w:p>
        </w:tc>
        <w:tc>
          <w:tcPr>
            <w:tcW w:w="1275" w:type="dxa"/>
            <w:tcBorders>
              <w:top w:val="single" w:sz="8" w:space="0" w:color="auto"/>
              <w:left w:val="nil"/>
              <w:bottom w:val="single" w:sz="4" w:space="0" w:color="auto"/>
              <w:right w:val="single" w:sz="4" w:space="0" w:color="auto"/>
            </w:tcBorders>
            <w:shd w:val="clear" w:color="auto" w:fill="auto"/>
            <w:noWrap/>
            <w:vAlign w:val="bottom"/>
          </w:tcPr>
          <w:p w14:paraId="79D746A6" w14:textId="77777777" w:rsidR="00CC2654" w:rsidRPr="00A518C1" w:rsidRDefault="00CC2654" w:rsidP="008F6D33">
            <w:pPr>
              <w:autoSpaceDE w:val="0"/>
              <w:autoSpaceDN w:val="0"/>
              <w:adjustRightInd w:val="0"/>
              <w:jc w:val="right"/>
              <w:rPr>
                <w:sz w:val="24"/>
                <w:szCs w:val="24"/>
              </w:rPr>
            </w:pPr>
            <w:r w:rsidRPr="00A518C1">
              <w:rPr>
                <w:sz w:val="24"/>
                <w:szCs w:val="24"/>
              </w:rPr>
              <w:t>48</w:t>
            </w:r>
            <w:r w:rsidR="00C876C8" w:rsidRPr="00A518C1">
              <w:rPr>
                <w:sz w:val="24"/>
                <w:szCs w:val="24"/>
              </w:rPr>
              <w:t>5</w:t>
            </w:r>
          </w:p>
        </w:tc>
        <w:tc>
          <w:tcPr>
            <w:tcW w:w="1276" w:type="dxa"/>
            <w:tcBorders>
              <w:top w:val="single" w:sz="8" w:space="0" w:color="auto"/>
              <w:left w:val="nil"/>
              <w:bottom w:val="single" w:sz="4" w:space="0" w:color="auto"/>
              <w:right w:val="single" w:sz="4" w:space="0" w:color="auto"/>
            </w:tcBorders>
            <w:shd w:val="clear" w:color="auto" w:fill="auto"/>
            <w:noWrap/>
            <w:vAlign w:val="bottom"/>
          </w:tcPr>
          <w:p w14:paraId="52BE4E48"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01" w:type="dxa"/>
            <w:tcBorders>
              <w:top w:val="single" w:sz="8" w:space="0" w:color="auto"/>
              <w:left w:val="nil"/>
              <w:bottom w:val="single" w:sz="4" w:space="0" w:color="auto"/>
              <w:right w:val="nil"/>
            </w:tcBorders>
            <w:shd w:val="clear" w:color="auto" w:fill="auto"/>
            <w:noWrap/>
            <w:vAlign w:val="bottom"/>
          </w:tcPr>
          <w:p w14:paraId="69CE0349" w14:textId="77777777" w:rsidR="00CC2654" w:rsidRPr="00A518C1" w:rsidRDefault="00CC2654" w:rsidP="008F6D33">
            <w:pPr>
              <w:autoSpaceDE w:val="0"/>
              <w:autoSpaceDN w:val="0"/>
              <w:adjustRightInd w:val="0"/>
              <w:jc w:val="right"/>
              <w:rPr>
                <w:sz w:val="24"/>
                <w:szCs w:val="24"/>
              </w:rPr>
            </w:pPr>
            <w:r w:rsidRPr="00A518C1">
              <w:rPr>
                <w:sz w:val="24"/>
                <w:szCs w:val="24"/>
              </w:rPr>
              <w:t>0</w:t>
            </w:r>
          </w:p>
        </w:tc>
        <w:tc>
          <w:tcPr>
            <w:tcW w:w="1451"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F60ED46" w14:textId="77777777" w:rsidR="00CC2654" w:rsidRPr="00A518C1" w:rsidRDefault="00C876C8" w:rsidP="008F6D33">
            <w:pPr>
              <w:autoSpaceDE w:val="0"/>
              <w:autoSpaceDN w:val="0"/>
              <w:adjustRightInd w:val="0"/>
              <w:jc w:val="right"/>
              <w:rPr>
                <w:sz w:val="24"/>
                <w:szCs w:val="24"/>
              </w:rPr>
            </w:pPr>
            <w:r w:rsidRPr="00A518C1">
              <w:rPr>
                <w:sz w:val="24"/>
                <w:szCs w:val="24"/>
              </w:rPr>
              <w:t>485</w:t>
            </w:r>
          </w:p>
        </w:tc>
      </w:tr>
    </w:tbl>
    <w:p w14:paraId="6CA62EB9" w14:textId="77777777" w:rsidR="00E6078D" w:rsidRPr="00A518C1" w:rsidRDefault="00E6078D" w:rsidP="00151442">
      <w:pPr>
        <w:autoSpaceDE w:val="0"/>
        <w:autoSpaceDN w:val="0"/>
        <w:adjustRightInd w:val="0"/>
        <w:ind w:left="709" w:hanging="709"/>
        <w:rPr>
          <w:sz w:val="24"/>
          <w:szCs w:val="24"/>
        </w:rPr>
      </w:pPr>
    </w:p>
    <w:p w14:paraId="3E5B52A3" w14:textId="77777777" w:rsidR="006D1861" w:rsidRPr="00A518C1" w:rsidRDefault="00DB08E0" w:rsidP="004D73CE">
      <w:pPr>
        <w:autoSpaceDE w:val="0"/>
        <w:autoSpaceDN w:val="0"/>
        <w:adjustRightInd w:val="0"/>
        <w:ind w:left="709" w:hanging="709"/>
        <w:rPr>
          <w:sz w:val="24"/>
          <w:szCs w:val="24"/>
        </w:rPr>
      </w:pPr>
      <w:bookmarkStart w:id="34" w:name="_Hlk530593652"/>
      <w:bookmarkEnd w:id="30"/>
      <w:bookmarkEnd w:id="31"/>
      <w:bookmarkEnd w:id="32"/>
      <w:bookmarkEnd w:id="33"/>
      <w:r w:rsidRPr="00A518C1">
        <w:rPr>
          <w:sz w:val="24"/>
          <w:szCs w:val="24"/>
        </w:rPr>
        <w:t>3.</w:t>
      </w:r>
      <w:r w:rsidR="00C125E9" w:rsidRPr="00A518C1">
        <w:rPr>
          <w:sz w:val="24"/>
          <w:szCs w:val="24"/>
        </w:rPr>
        <w:t>7</w:t>
      </w:r>
      <w:r w:rsidRPr="00A518C1">
        <w:rPr>
          <w:sz w:val="24"/>
          <w:szCs w:val="24"/>
        </w:rPr>
        <w:tab/>
      </w:r>
      <w:r w:rsidR="00D60827" w:rsidRPr="00A518C1">
        <w:rPr>
          <w:sz w:val="24"/>
          <w:szCs w:val="24"/>
        </w:rPr>
        <w:t>The review of Earmarked Reserves has identified £</w:t>
      </w:r>
      <w:r w:rsidR="00CC2654" w:rsidRPr="00A518C1">
        <w:rPr>
          <w:sz w:val="24"/>
          <w:szCs w:val="24"/>
        </w:rPr>
        <w:t>485</w:t>
      </w:r>
      <w:r w:rsidR="00034653" w:rsidRPr="00A518C1">
        <w:rPr>
          <w:sz w:val="24"/>
          <w:szCs w:val="24"/>
        </w:rPr>
        <w:t xml:space="preserve">k </w:t>
      </w:r>
      <w:r w:rsidR="006D1861" w:rsidRPr="00A518C1">
        <w:rPr>
          <w:sz w:val="24"/>
          <w:szCs w:val="24"/>
        </w:rPr>
        <w:t>for reallocation</w:t>
      </w:r>
      <w:r w:rsidR="00D60827" w:rsidRPr="00A518C1">
        <w:rPr>
          <w:sz w:val="24"/>
          <w:szCs w:val="24"/>
        </w:rPr>
        <w:t>.</w:t>
      </w:r>
      <w:r w:rsidR="006D1861" w:rsidRPr="00A518C1">
        <w:rPr>
          <w:sz w:val="24"/>
          <w:szCs w:val="24"/>
        </w:rPr>
        <w:t xml:space="preserve">  It is proposed that this be </w:t>
      </w:r>
      <w:r w:rsidR="00034653" w:rsidRPr="00A518C1">
        <w:rPr>
          <w:sz w:val="24"/>
          <w:szCs w:val="24"/>
        </w:rPr>
        <w:t>transferred to the following</w:t>
      </w:r>
      <w:r w:rsidR="006D1861" w:rsidRPr="00A518C1">
        <w:rPr>
          <w:sz w:val="24"/>
          <w:szCs w:val="24"/>
        </w:rPr>
        <w:t xml:space="preserve"> earmarked reserves:</w:t>
      </w:r>
    </w:p>
    <w:p w14:paraId="507E128D" w14:textId="77777777" w:rsidR="006D1861" w:rsidRPr="00A518C1" w:rsidRDefault="006D1861" w:rsidP="004D73CE">
      <w:pPr>
        <w:autoSpaceDE w:val="0"/>
        <w:autoSpaceDN w:val="0"/>
        <w:adjustRightInd w:val="0"/>
        <w:ind w:left="709" w:hanging="709"/>
        <w:rPr>
          <w:sz w:val="24"/>
          <w:szCs w:val="24"/>
        </w:rPr>
      </w:pPr>
    </w:p>
    <w:p w14:paraId="0F9A952D" w14:textId="77777777" w:rsidR="00457C73" w:rsidRPr="00A518C1" w:rsidRDefault="00457C73" w:rsidP="004D73CE">
      <w:pPr>
        <w:autoSpaceDE w:val="0"/>
        <w:autoSpaceDN w:val="0"/>
        <w:adjustRightInd w:val="0"/>
        <w:ind w:left="709" w:hanging="709"/>
        <w:rPr>
          <w:b/>
          <w:bCs/>
          <w:sz w:val="24"/>
          <w:szCs w:val="24"/>
        </w:rPr>
      </w:pPr>
      <w:r w:rsidRPr="00A518C1">
        <w:rPr>
          <w:sz w:val="24"/>
          <w:szCs w:val="24"/>
        </w:rPr>
        <w:tab/>
      </w:r>
      <w:r w:rsidRPr="00A518C1">
        <w:rPr>
          <w:b/>
          <w:bCs/>
          <w:sz w:val="24"/>
          <w:szCs w:val="24"/>
        </w:rPr>
        <w:t xml:space="preserve">Table 3 – </w:t>
      </w:r>
      <w:r w:rsidR="005714CB" w:rsidRPr="00A518C1">
        <w:rPr>
          <w:b/>
          <w:bCs/>
          <w:sz w:val="24"/>
          <w:szCs w:val="24"/>
        </w:rPr>
        <w:t xml:space="preserve">Proposed </w:t>
      </w:r>
      <w:r w:rsidR="005A50D3" w:rsidRPr="00A518C1">
        <w:rPr>
          <w:b/>
          <w:bCs/>
          <w:sz w:val="24"/>
          <w:szCs w:val="24"/>
        </w:rPr>
        <w:t>re-allocation of Earmarked Reserves</w:t>
      </w:r>
    </w:p>
    <w:p w14:paraId="38598CAE" w14:textId="77777777" w:rsidR="00457C73" w:rsidRPr="00A518C1" w:rsidRDefault="00457C73" w:rsidP="004D73CE">
      <w:pPr>
        <w:autoSpaceDE w:val="0"/>
        <w:autoSpaceDN w:val="0"/>
        <w:adjustRightInd w:val="0"/>
        <w:ind w:left="709" w:hanging="709"/>
        <w:rPr>
          <w:sz w:val="24"/>
          <w:szCs w:val="24"/>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984"/>
      </w:tblGrid>
      <w:tr w:rsidR="00486B61" w:rsidRPr="00A518C1" w14:paraId="17E315B4" w14:textId="77777777" w:rsidTr="00787C4C">
        <w:tc>
          <w:tcPr>
            <w:tcW w:w="6521" w:type="dxa"/>
            <w:shd w:val="clear" w:color="auto" w:fill="auto"/>
          </w:tcPr>
          <w:p w14:paraId="5E76C4ED" w14:textId="77777777" w:rsidR="00486B61" w:rsidRPr="00A518C1" w:rsidRDefault="00486B61" w:rsidP="00673F95">
            <w:pPr>
              <w:autoSpaceDE w:val="0"/>
              <w:autoSpaceDN w:val="0"/>
              <w:adjustRightInd w:val="0"/>
              <w:rPr>
                <w:b/>
                <w:bCs/>
                <w:sz w:val="24"/>
                <w:szCs w:val="24"/>
              </w:rPr>
            </w:pPr>
            <w:r w:rsidRPr="00A518C1">
              <w:rPr>
                <w:b/>
                <w:bCs/>
                <w:sz w:val="24"/>
                <w:szCs w:val="24"/>
              </w:rPr>
              <w:t>Reserve</w:t>
            </w:r>
          </w:p>
        </w:tc>
        <w:tc>
          <w:tcPr>
            <w:tcW w:w="1984" w:type="dxa"/>
            <w:shd w:val="clear" w:color="auto" w:fill="auto"/>
          </w:tcPr>
          <w:p w14:paraId="0D6DB083" w14:textId="77777777" w:rsidR="00486B61" w:rsidRPr="00A518C1" w:rsidRDefault="00486B61" w:rsidP="00C12EA9">
            <w:pPr>
              <w:autoSpaceDE w:val="0"/>
              <w:autoSpaceDN w:val="0"/>
              <w:adjustRightInd w:val="0"/>
              <w:jc w:val="right"/>
              <w:rPr>
                <w:b/>
                <w:bCs/>
                <w:sz w:val="24"/>
                <w:szCs w:val="24"/>
              </w:rPr>
            </w:pPr>
            <w:r w:rsidRPr="00A518C1">
              <w:rPr>
                <w:b/>
                <w:bCs/>
                <w:sz w:val="24"/>
                <w:szCs w:val="24"/>
              </w:rPr>
              <w:t>Amount</w:t>
            </w:r>
          </w:p>
          <w:p w14:paraId="44194118" w14:textId="77777777" w:rsidR="00486B61" w:rsidRPr="00A518C1" w:rsidRDefault="00C876C8" w:rsidP="00C12EA9">
            <w:pPr>
              <w:autoSpaceDE w:val="0"/>
              <w:autoSpaceDN w:val="0"/>
              <w:adjustRightInd w:val="0"/>
              <w:jc w:val="right"/>
              <w:rPr>
                <w:b/>
                <w:bCs/>
                <w:sz w:val="24"/>
                <w:szCs w:val="24"/>
              </w:rPr>
            </w:pPr>
            <w:r w:rsidRPr="00A518C1">
              <w:rPr>
                <w:b/>
                <w:bCs/>
                <w:sz w:val="24"/>
                <w:szCs w:val="24"/>
              </w:rPr>
              <w:t>£’000</w:t>
            </w:r>
          </w:p>
        </w:tc>
      </w:tr>
      <w:tr w:rsidR="00486B61" w:rsidRPr="00A518C1" w14:paraId="4712F218" w14:textId="77777777" w:rsidTr="00787C4C">
        <w:tc>
          <w:tcPr>
            <w:tcW w:w="6521" w:type="dxa"/>
            <w:shd w:val="clear" w:color="auto" w:fill="auto"/>
          </w:tcPr>
          <w:p w14:paraId="7DC46803" w14:textId="77777777" w:rsidR="00486B61" w:rsidRPr="00A518C1" w:rsidRDefault="00CC2654" w:rsidP="00C12EA9">
            <w:pPr>
              <w:autoSpaceDE w:val="0"/>
              <w:autoSpaceDN w:val="0"/>
              <w:adjustRightInd w:val="0"/>
              <w:rPr>
                <w:sz w:val="24"/>
                <w:szCs w:val="24"/>
              </w:rPr>
            </w:pPr>
            <w:r w:rsidRPr="00A518C1">
              <w:rPr>
                <w:sz w:val="24"/>
                <w:szCs w:val="24"/>
              </w:rPr>
              <w:t>Replacement Mobilising System</w:t>
            </w:r>
          </w:p>
        </w:tc>
        <w:tc>
          <w:tcPr>
            <w:tcW w:w="1984" w:type="dxa"/>
            <w:shd w:val="clear" w:color="auto" w:fill="auto"/>
          </w:tcPr>
          <w:p w14:paraId="72D7422F" w14:textId="77777777" w:rsidR="00486B61" w:rsidRPr="00A518C1" w:rsidRDefault="00C876C8" w:rsidP="00C12EA9">
            <w:pPr>
              <w:autoSpaceDE w:val="0"/>
              <w:autoSpaceDN w:val="0"/>
              <w:adjustRightInd w:val="0"/>
              <w:jc w:val="right"/>
              <w:rPr>
                <w:sz w:val="24"/>
                <w:szCs w:val="24"/>
              </w:rPr>
            </w:pPr>
            <w:r w:rsidRPr="00A518C1">
              <w:rPr>
                <w:sz w:val="24"/>
                <w:szCs w:val="24"/>
              </w:rPr>
              <w:t>475</w:t>
            </w:r>
          </w:p>
        </w:tc>
      </w:tr>
      <w:tr w:rsidR="00486B61" w:rsidRPr="00A518C1" w14:paraId="652703F8" w14:textId="77777777" w:rsidTr="00787C4C">
        <w:tc>
          <w:tcPr>
            <w:tcW w:w="6521" w:type="dxa"/>
            <w:shd w:val="clear" w:color="auto" w:fill="auto"/>
          </w:tcPr>
          <w:p w14:paraId="3CDE67A6" w14:textId="77777777" w:rsidR="00486B61" w:rsidRPr="00A518C1" w:rsidRDefault="00CC2654" w:rsidP="00C12EA9">
            <w:pPr>
              <w:autoSpaceDE w:val="0"/>
              <w:autoSpaceDN w:val="0"/>
              <w:adjustRightInd w:val="0"/>
              <w:rPr>
                <w:sz w:val="24"/>
                <w:szCs w:val="24"/>
              </w:rPr>
            </w:pPr>
            <w:r w:rsidRPr="00A518C1">
              <w:rPr>
                <w:sz w:val="24"/>
                <w:szCs w:val="24"/>
              </w:rPr>
              <w:t>Efficiency Programme</w:t>
            </w:r>
          </w:p>
        </w:tc>
        <w:tc>
          <w:tcPr>
            <w:tcW w:w="1984" w:type="dxa"/>
            <w:shd w:val="clear" w:color="auto" w:fill="auto"/>
          </w:tcPr>
          <w:p w14:paraId="3B3B187B" w14:textId="77777777" w:rsidR="00934C71" w:rsidRPr="00A518C1" w:rsidRDefault="00C876C8" w:rsidP="00934C71">
            <w:pPr>
              <w:autoSpaceDE w:val="0"/>
              <w:autoSpaceDN w:val="0"/>
              <w:adjustRightInd w:val="0"/>
              <w:jc w:val="right"/>
              <w:rPr>
                <w:sz w:val="24"/>
                <w:szCs w:val="24"/>
              </w:rPr>
            </w:pPr>
            <w:r w:rsidRPr="00A518C1">
              <w:rPr>
                <w:sz w:val="24"/>
                <w:szCs w:val="24"/>
              </w:rPr>
              <w:t>1</w:t>
            </w:r>
            <w:r w:rsidR="00CC2654" w:rsidRPr="00A518C1">
              <w:rPr>
                <w:sz w:val="24"/>
                <w:szCs w:val="24"/>
              </w:rPr>
              <w:t>0</w:t>
            </w:r>
          </w:p>
        </w:tc>
      </w:tr>
      <w:tr w:rsidR="00486B61" w:rsidRPr="00A518C1" w14:paraId="1681578C" w14:textId="77777777" w:rsidTr="00787C4C">
        <w:tc>
          <w:tcPr>
            <w:tcW w:w="6521" w:type="dxa"/>
            <w:shd w:val="clear" w:color="auto" w:fill="auto"/>
          </w:tcPr>
          <w:p w14:paraId="24D02068" w14:textId="77777777" w:rsidR="00486B61" w:rsidRPr="00A518C1" w:rsidRDefault="00457C73" w:rsidP="00C12EA9">
            <w:pPr>
              <w:autoSpaceDE w:val="0"/>
              <w:autoSpaceDN w:val="0"/>
              <w:adjustRightInd w:val="0"/>
              <w:rPr>
                <w:b/>
                <w:bCs/>
                <w:sz w:val="24"/>
                <w:szCs w:val="24"/>
              </w:rPr>
            </w:pPr>
            <w:r w:rsidRPr="00A518C1">
              <w:rPr>
                <w:b/>
                <w:bCs/>
                <w:sz w:val="24"/>
                <w:szCs w:val="24"/>
              </w:rPr>
              <w:t>Total</w:t>
            </w:r>
          </w:p>
        </w:tc>
        <w:tc>
          <w:tcPr>
            <w:tcW w:w="1984" w:type="dxa"/>
            <w:shd w:val="clear" w:color="auto" w:fill="auto"/>
          </w:tcPr>
          <w:p w14:paraId="5F77EB0E" w14:textId="77777777" w:rsidR="00CC2654" w:rsidRPr="00A518C1" w:rsidRDefault="00C876C8" w:rsidP="00CC2654">
            <w:pPr>
              <w:autoSpaceDE w:val="0"/>
              <w:autoSpaceDN w:val="0"/>
              <w:adjustRightInd w:val="0"/>
              <w:jc w:val="right"/>
              <w:rPr>
                <w:b/>
                <w:bCs/>
                <w:sz w:val="24"/>
                <w:szCs w:val="24"/>
              </w:rPr>
            </w:pPr>
            <w:r w:rsidRPr="00A518C1">
              <w:rPr>
                <w:b/>
                <w:bCs/>
                <w:sz w:val="24"/>
                <w:szCs w:val="24"/>
              </w:rPr>
              <w:t>485</w:t>
            </w:r>
          </w:p>
        </w:tc>
      </w:tr>
    </w:tbl>
    <w:p w14:paraId="7B085911" w14:textId="77777777" w:rsidR="00486B61" w:rsidRPr="00A518C1" w:rsidRDefault="00486B61" w:rsidP="004D73CE">
      <w:pPr>
        <w:autoSpaceDE w:val="0"/>
        <w:autoSpaceDN w:val="0"/>
        <w:adjustRightInd w:val="0"/>
        <w:ind w:left="709" w:hanging="709"/>
        <w:rPr>
          <w:sz w:val="24"/>
          <w:szCs w:val="24"/>
        </w:rPr>
      </w:pPr>
    </w:p>
    <w:p w14:paraId="0A4DDEC2" w14:textId="77777777" w:rsidR="00DB08E0" w:rsidRPr="00A518C1" w:rsidRDefault="00DB08E0" w:rsidP="00DB08E0">
      <w:pPr>
        <w:autoSpaceDE w:val="0"/>
        <w:autoSpaceDN w:val="0"/>
        <w:adjustRightInd w:val="0"/>
        <w:rPr>
          <w:b/>
          <w:sz w:val="24"/>
          <w:szCs w:val="24"/>
        </w:rPr>
      </w:pPr>
      <w:bookmarkStart w:id="35" w:name="_Hlk530593984"/>
      <w:bookmarkEnd w:id="34"/>
      <w:r w:rsidRPr="00A518C1">
        <w:rPr>
          <w:b/>
          <w:sz w:val="24"/>
          <w:szCs w:val="24"/>
        </w:rPr>
        <w:t>4</w:t>
      </w:r>
      <w:r w:rsidRPr="00A518C1">
        <w:rPr>
          <w:b/>
          <w:sz w:val="24"/>
          <w:szCs w:val="24"/>
        </w:rPr>
        <w:tab/>
        <w:t>SUMMARY</w:t>
      </w:r>
    </w:p>
    <w:p w14:paraId="68677C6F" w14:textId="77777777" w:rsidR="00AA60E8" w:rsidRPr="00A518C1" w:rsidRDefault="00AA60E8" w:rsidP="00DB08E0">
      <w:pPr>
        <w:autoSpaceDE w:val="0"/>
        <w:autoSpaceDN w:val="0"/>
        <w:adjustRightInd w:val="0"/>
        <w:rPr>
          <w:sz w:val="24"/>
          <w:szCs w:val="24"/>
        </w:rPr>
      </w:pPr>
    </w:p>
    <w:p w14:paraId="651DA4DC" w14:textId="77777777" w:rsidR="000A4B10" w:rsidRPr="00A518C1" w:rsidRDefault="00DE7238" w:rsidP="00AA60E8">
      <w:pPr>
        <w:ind w:left="709" w:hanging="709"/>
        <w:rPr>
          <w:sz w:val="24"/>
          <w:szCs w:val="24"/>
          <w:lang w:val="en-US"/>
        </w:rPr>
      </w:pPr>
      <w:r w:rsidRPr="00A518C1">
        <w:rPr>
          <w:sz w:val="24"/>
          <w:szCs w:val="24"/>
          <w:lang w:val="en-US"/>
        </w:rPr>
        <w:t>4.1</w:t>
      </w:r>
      <w:r w:rsidR="00AA60E8" w:rsidRPr="00A518C1">
        <w:rPr>
          <w:sz w:val="24"/>
          <w:szCs w:val="24"/>
          <w:lang w:val="en-US"/>
        </w:rPr>
        <w:tab/>
        <w:t xml:space="preserve">It is appropriate to advise Members that the level of reserves held by the Authority will be sufficient during </w:t>
      </w:r>
      <w:r w:rsidR="004B6C98" w:rsidRPr="00A518C1">
        <w:rPr>
          <w:sz w:val="24"/>
          <w:szCs w:val="24"/>
          <w:lang w:val="en-US"/>
        </w:rPr>
        <w:t>2024/25</w:t>
      </w:r>
      <w:r w:rsidR="00AA60E8" w:rsidRPr="00A518C1">
        <w:rPr>
          <w:sz w:val="24"/>
          <w:szCs w:val="24"/>
          <w:lang w:val="en-US"/>
        </w:rPr>
        <w:t xml:space="preserve"> to cover the risk-based liabilities which may arise, and the Treasurer will report on this as part of </w:t>
      </w:r>
      <w:r w:rsidR="00736FFD" w:rsidRPr="00A518C1">
        <w:rPr>
          <w:sz w:val="24"/>
          <w:szCs w:val="24"/>
          <w:lang w:val="en-US"/>
        </w:rPr>
        <w:t>their</w:t>
      </w:r>
      <w:r w:rsidR="00AA60E8" w:rsidRPr="00A518C1">
        <w:rPr>
          <w:sz w:val="24"/>
          <w:szCs w:val="24"/>
          <w:lang w:val="en-US"/>
        </w:rPr>
        <w:t xml:space="preserve"> duties under Section 25 of the Local Government Act 2003 when the </w:t>
      </w:r>
      <w:r w:rsidR="004B6C98" w:rsidRPr="00A518C1">
        <w:rPr>
          <w:sz w:val="24"/>
          <w:szCs w:val="24"/>
          <w:lang w:val="en-US"/>
        </w:rPr>
        <w:t>2024/25</w:t>
      </w:r>
      <w:r w:rsidR="00AA60E8" w:rsidRPr="00A518C1">
        <w:rPr>
          <w:sz w:val="24"/>
          <w:szCs w:val="24"/>
          <w:lang w:val="en-US"/>
        </w:rPr>
        <w:t xml:space="preserve"> budgets are set in February 202</w:t>
      </w:r>
      <w:r w:rsidR="00C751AD" w:rsidRPr="00A518C1">
        <w:rPr>
          <w:sz w:val="24"/>
          <w:szCs w:val="24"/>
          <w:lang w:val="en-US"/>
        </w:rPr>
        <w:t>3</w:t>
      </w:r>
      <w:r w:rsidR="00AA60E8" w:rsidRPr="00A518C1">
        <w:rPr>
          <w:sz w:val="24"/>
          <w:szCs w:val="24"/>
          <w:lang w:val="en-US"/>
        </w:rPr>
        <w:t xml:space="preserve">.  </w:t>
      </w:r>
    </w:p>
    <w:p w14:paraId="3D4A7366" w14:textId="77777777" w:rsidR="000A4B10" w:rsidRPr="00A518C1" w:rsidRDefault="000A4B10" w:rsidP="00AA60E8">
      <w:pPr>
        <w:ind w:left="709" w:hanging="709"/>
        <w:rPr>
          <w:sz w:val="24"/>
          <w:szCs w:val="24"/>
          <w:lang w:val="en-US"/>
        </w:rPr>
      </w:pPr>
    </w:p>
    <w:p w14:paraId="6C39E3F9" w14:textId="77777777" w:rsidR="00AA60E8" w:rsidRPr="00A518C1" w:rsidRDefault="000A4B10" w:rsidP="00B74646">
      <w:pPr>
        <w:ind w:left="709" w:hanging="709"/>
        <w:rPr>
          <w:sz w:val="24"/>
          <w:szCs w:val="24"/>
        </w:rPr>
      </w:pPr>
      <w:r w:rsidRPr="00A518C1">
        <w:rPr>
          <w:sz w:val="24"/>
          <w:szCs w:val="24"/>
          <w:lang w:val="en-US"/>
        </w:rPr>
        <w:t>4.2</w:t>
      </w:r>
      <w:r w:rsidRPr="00A518C1">
        <w:rPr>
          <w:sz w:val="24"/>
          <w:szCs w:val="24"/>
          <w:lang w:val="en-US"/>
        </w:rPr>
        <w:tab/>
      </w:r>
      <w:r w:rsidR="00AA60E8" w:rsidRPr="00A518C1">
        <w:rPr>
          <w:sz w:val="24"/>
          <w:szCs w:val="24"/>
          <w:lang w:val="en-US"/>
        </w:rPr>
        <w:t>There remains significant pressure on budgets going forward</w:t>
      </w:r>
      <w:r w:rsidR="00AD596B" w:rsidRPr="00A518C1">
        <w:rPr>
          <w:sz w:val="24"/>
          <w:szCs w:val="24"/>
        </w:rPr>
        <w:t xml:space="preserve">. </w:t>
      </w:r>
      <w:r w:rsidRPr="00A518C1">
        <w:rPr>
          <w:sz w:val="24"/>
          <w:szCs w:val="24"/>
        </w:rPr>
        <w:t>It is anticipated</w:t>
      </w:r>
      <w:r w:rsidR="00AA60E8" w:rsidRPr="00A518C1">
        <w:rPr>
          <w:sz w:val="24"/>
          <w:szCs w:val="24"/>
        </w:rPr>
        <w:t xml:space="preserve"> that the service will need to identify savings </w:t>
      </w:r>
      <w:r w:rsidR="008A0B23" w:rsidRPr="00A518C1">
        <w:rPr>
          <w:sz w:val="24"/>
          <w:szCs w:val="24"/>
        </w:rPr>
        <w:t>to</w:t>
      </w:r>
      <w:r w:rsidR="00AA60E8" w:rsidRPr="00A518C1">
        <w:rPr>
          <w:sz w:val="24"/>
          <w:szCs w:val="24"/>
        </w:rPr>
        <w:t xml:space="preserve"> balance the budget in future years.  </w:t>
      </w:r>
    </w:p>
    <w:p w14:paraId="03EBB216" w14:textId="77777777" w:rsidR="00AA60E8" w:rsidRPr="0029537D" w:rsidRDefault="00AA60E8" w:rsidP="00DB08E0">
      <w:pPr>
        <w:autoSpaceDE w:val="0"/>
        <w:autoSpaceDN w:val="0"/>
        <w:adjustRightInd w:val="0"/>
        <w:rPr>
          <w:sz w:val="24"/>
          <w:szCs w:val="24"/>
          <w:highlight w:val="yellow"/>
        </w:rPr>
      </w:pPr>
    </w:p>
    <w:p w14:paraId="041B9564" w14:textId="77777777" w:rsidR="00DB08E0" w:rsidRPr="008A0B23" w:rsidRDefault="00DB08E0" w:rsidP="004D73CE">
      <w:pPr>
        <w:autoSpaceDE w:val="0"/>
        <w:autoSpaceDN w:val="0"/>
        <w:adjustRightInd w:val="0"/>
        <w:ind w:left="709" w:hanging="709"/>
        <w:rPr>
          <w:sz w:val="24"/>
          <w:szCs w:val="24"/>
          <w:highlight w:val="yellow"/>
        </w:rPr>
      </w:pPr>
      <w:bookmarkStart w:id="36" w:name="_Hlk121162928"/>
      <w:r w:rsidRPr="006E72B0">
        <w:rPr>
          <w:sz w:val="24"/>
          <w:szCs w:val="24"/>
        </w:rPr>
        <w:t>4.</w:t>
      </w:r>
      <w:r w:rsidR="000A4B10" w:rsidRPr="006E72B0">
        <w:rPr>
          <w:sz w:val="24"/>
          <w:szCs w:val="24"/>
        </w:rPr>
        <w:t>3</w:t>
      </w:r>
      <w:r w:rsidRPr="006E72B0">
        <w:rPr>
          <w:sz w:val="24"/>
          <w:szCs w:val="24"/>
        </w:rPr>
        <w:tab/>
        <w:t>The total value of the Authority’s reserves on 1 April 202</w:t>
      </w:r>
      <w:r w:rsidR="00736FFD" w:rsidRPr="006E72B0">
        <w:rPr>
          <w:sz w:val="24"/>
          <w:szCs w:val="24"/>
        </w:rPr>
        <w:t>4</w:t>
      </w:r>
      <w:r w:rsidRPr="006E72B0">
        <w:rPr>
          <w:sz w:val="24"/>
          <w:szCs w:val="24"/>
        </w:rPr>
        <w:t xml:space="preserve"> is expected to be in the region of £</w:t>
      </w:r>
      <w:r w:rsidR="006E72B0" w:rsidRPr="006E72B0">
        <w:rPr>
          <w:sz w:val="24"/>
          <w:szCs w:val="24"/>
        </w:rPr>
        <w:t>9.</w:t>
      </w:r>
      <w:r w:rsidR="006E72B0">
        <w:rPr>
          <w:sz w:val="24"/>
          <w:szCs w:val="24"/>
        </w:rPr>
        <w:t>4</w:t>
      </w:r>
      <w:r w:rsidR="00DD258D" w:rsidRPr="006E72B0">
        <w:rPr>
          <w:sz w:val="24"/>
          <w:szCs w:val="24"/>
        </w:rPr>
        <w:t>m</w:t>
      </w:r>
      <w:r w:rsidRPr="006E72B0">
        <w:rPr>
          <w:sz w:val="24"/>
          <w:szCs w:val="24"/>
        </w:rPr>
        <w:t>.</w:t>
      </w:r>
    </w:p>
    <w:p w14:paraId="313ED4ED" w14:textId="77777777" w:rsidR="00DB08E0" w:rsidRPr="008A0B23" w:rsidRDefault="00DB08E0" w:rsidP="004D73CE">
      <w:pPr>
        <w:autoSpaceDE w:val="0"/>
        <w:autoSpaceDN w:val="0"/>
        <w:adjustRightInd w:val="0"/>
        <w:ind w:left="709" w:hanging="709"/>
        <w:rPr>
          <w:sz w:val="24"/>
          <w:szCs w:val="24"/>
          <w:highlight w:val="yellow"/>
        </w:rPr>
      </w:pPr>
    </w:p>
    <w:p w14:paraId="527B5965" w14:textId="77777777" w:rsidR="00DB08E0" w:rsidRPr="006E72B0" w:rsidRDefault="00DB08E0" w:rsidP="004D73CE">
      <w:pPr>
        <w:autoSpaceDE w:val="0"/>
        <w:autoSpaceDN w:val="0"/>
        <w:adjustRightInd w:val="0"/>
        <w:ind w:left="709" w:hanging="709"/>
        <w:rPr>
          <w:sz w:val="24"/>
          <w:szCs w:val="24"/>
        </w:rPr>
      </w:pPr>
      <w:r w:rsidRPr="006E72B0">
        <w:rPr>
          <w:sz w:val="24"/>
          <w:szCs w:val="24"/>
        </w:rPr>
        <w:t>4.</w:t>
      </w:r>
      <w:r w:rsidR="008172FB" w:rsidRPr="006E72B0">
        <w:rPr>
          <w:sz w:val="24"/>
          <w:szCs w:val="24"/>
        </w:rPr>
        <w:t>4</w:t>
      </w:r>
      <w:r w:rsidRPr="006E72B0">
        <w:rPr>
          <w:sz w:val="24"/>
          <w:szCs w:val="24"/>
        </w:rPr>
        <w:tab/>
        <w:t>The expected level of General Fund Reserves as at 1 April 202</w:t>
      </w:r>
      <w:r w:rsidR="00736FFD" w:rsidRPr="006E72B0">
        <w:rPr>
          <w:sz w:val="24"/>
          <w:szCs w:val="24"/>
        </w:rPr>
        <w:t>4</w:t>
      </w:r>
      <w:r w:rsidRPr="006E72B0">
        <w:rPr>
          <w:sz w:val="24"/>
          <w:szCs w:val="24"/>
        </w:rPr>
        <w:t xml:space="preserve"> is expected to be in the region of £5.</w:t>
      </w:r>
      <w:r w:rsidR="00736FFD" w:rsidRPr="006E72B0">
        <w:rPr>
          <w:sz w:val="24"/>
          <w:szCs w:val="24"/>
        </w:rPr>
        <w:t>0</w:t>
      </w:r>
      <w:r w:rsidRPr="006E72B0">
        <w:rPr>
          <w:sz w:val="24"/>
          <w:szCs w:val="24"/>
        </w:rPr>
        <w:t>m, which exceeds the £4.</w:t>
      </w:r>
      <w:r w:rsidR="00736FFD" w:rsidRPr="006E72B0">
        <w:rPr>
          <w:sz w:val="24"/>
          <w:szCs w:val="24"/>
        </w:rPr>
        <w:t>1</w:t>
      </w:r>
      <w:r w:rsidRPr="006E72B0">
        <w:rPr>
          <w:sz w:val="24"/>
          <w:szCs w:val="24"/>
        </w:rPr>
        <w:t xml:space="preserve">m minimum level identified for </w:t>
      </w:r>
      <w:r w:rsidR="004B6C98" w:rsidRPr="006E72B0">
        <w:rPr>
          <w:sz w:val="24"/>
          <w:szCs w:val="24"/>
        </w:rPr>
        <w:t>2024/25</w:t>
      </w:r>
      <w:r w:rsidRPr="006E72B0">
        <w:rPr>
          <w:sz w:val="24"/>
          <w:szCs w:val="24"/>
        </w:rPr>
        <w:t xml:space="preserve"> by £</w:t>
      </w:r>
      <w:r w:rsidR="000A4B10" w:rsidRPr="006E72B0">
        <w:rPr>
          <w:sz w:val="24"/>
          <w:szCs w:val="24"/>
        </w:rPr>
        <w:t>0.</w:t>
      </w:r>
      <w:r w:rsidR="00736FFD" w:rsidRPr="006E72B0">
        <w:rPr>
          <w:sz w:val="24"/>
          <w:szCs w:val="24"/>
        </w:rPr>
        <w:t>9</w:t>
      </w:r>
      <w:r w:rsidRPr="006E72B0">
        <w:rPr>
          <w:sz w:val="24"/>
          <w:szCs w:val="24"/>
        </w:rPr>
        <w:t>m.</w:t>
      </w:r>
    </w:p>
    <w:p w14:paraId="6121549A" w14:textId="77777777" w:rsidR="00DB08E0" w:rsidRPr="008A0B23" w:rsidRDefault="00DB08E0" w:rsidP="004D73CE">
      <w:pPr>
        <w:autoSpaceDE w:val="0"/>
        <w:autoSpaceDN w:val="0"/>
        <w:adjustRightInd w:val="0"/>
        <w:ind w:left="709" w:hanging="709"/>
        <w:rPr>
          <w:sz w:val="24"/>
          <w:szCs w:val="24"/>
          <w:highlight w:val="yellow"/>
        </w:rPr>
      </w:pPr>
    </w:p>
    <w:p w14:paraId="56B77AC6" w14:textId="77777777" w:rsidR="00DB08E0" w:rsidRPr="000712E8" w:rsidRDefault="00DB08E0" w:rsidP="004D73CE">
      <w:pPr>
        <w:autoSpaceDE w:val="0"/>
        <w:autoSpaceDN w:val="0"/>
        <w:adjustRightInd w:val="0"/>
        <w:ind w:left="709" w:hanging="709"/>
        <w:rPr>
          <w:sz w:val="24"/>
          <w:szCs w:val="24"/>
        </w:rPr>
      </w:pPr>
      <w:r w:rsidRPr="000712E8">
        <w:rPr>
          <w:sz w:val="24"/>
          <w:szCs w:val="24"/>
        </w:rPr>
        <w:lastRenderedPageBreak/>
        <w:t>4.</w:t>
      </w:r>
      <w:r w:rsidR="001A3E65">
        <w:rPr>
          <w:sz w:val="24"/>
          <w:szCs w:val="24"/>
        </w:rPr>
        <w:t>5</w:t>
      </w:r>
      <w:r w:rsidR="001A3E65">
        <w:rPr>
          <w:sz w:val="24"/>
          <w:szCs w:val="24"/>
        </w:rPr>
        <w:tab/>
      </w:r>
      <w:r w:rsidRPr="000712E8">
        <w:rPr>
          <w:sz w:val="24"/>
          <w:szCs w:val="24"/>
        </w:rPr>
        <w:t>Earmarked Reserves are expected to be in the region of £</w:t>
      </w:r>
      <w:r w:rsidR="008A0B23" w:rsidRPr="000712E8">
        <w:rPr>
          <w:sz w:val="24"/>
          <w:szCs w:val="24"/>
        </w:rPr>
        <w:t>4.4m</w:t>
      </w:r>
      <w:r w:rsidRPr="000712E8">
        <w:rPr>
          <w:sz w:val="24"/>
          <w:szCs w:val="24"/>
        </w:rPr>
        <w:t xml:space="preserve"> at 1 April 202</w:t>
      </w:r>
      <w:r w:rsidR="004F47DA" w:rsidRPr="000712E8">
        <w:rPr>
          <w:sz w:val="24"/>
          <w:szCs w:val="24"/>
        </w:rPr>
        <w:t>4</w:t>
      </w:r>
      <w:r w:rsidR="008172FB" w:rsidRPr="000712E8">
        <w:rPr>
          <w:sz w:val="24"/>
          <w:szCs w:val="24"/>
        </w:rPr>
        <w:t xml:space="preserve">.  These are expected to be fully spent by the end of </w:t>
      </w:r>
      <w:r w:rsidR="004B6C98" w:rsidRPr="000712E8">
        <w:rPr>
          <w:sz w:val="24"/>
          <w:szCs w:val="24"/>
        </w:rPr>
        <w:t>2027/28</w:t>
      </w:r>
      <w:r w:rsidR="005A50D3" w:rsidRPr="000712E8">
        <w:rPr>
          <w:sz w:val="24"/>
          <w:szCs w:val="24"/>
        </w:rPr>
        <w:t xml:space="preserve"> with the exception of ESN project related reserves due to the national project being put on hold.  It is</w:t>
      </w:r>
      <w:r w:rsidR="008172FB" w:rsidRPr="000712E8">
        <w:rPr>
          <w:sz w:val="24"/>
          <w:szCs w:val="24"/>
        </w:rPr>
        <w:t xml:space="preserve"> likely</w:t>
      </w:r>
      <w:r w:rsidR="005A50D3" w:rsidRPr="000712E8">
        <w:rPr>
          <w:sz w:val="24"/>
          <w:szCs w:val="24"/>
        </w:rPr>
        <w:t xml:space="preserve"> that additional reserves will</w:t>
      </w:r>
      <w:r w:rsidR="008172FB" w:rsidRPr="000712E8">
        <w:rPr>
          <w:sz w:val="24"/>
          <w:szCs w:val="24"/>
        </w:rPr>
        <w:t xml:space="preserve"> be created </w:t>
      </w:r>
      <w:r w:rsidR="005A50D3" w:rsidRPr="000712E8">
        <w:rPr>
          <w:sz w:val="24"/>
          <w:szCs w:val="24"/>
        </w:rPr>
        <w:t xml:space="preserve">during this period </w:t>
      </w:r>
      <w:r w:rsidR="008172FB" w:rsidRPr="000712E8">
        <w:rPr>
          <w:sz w:val="24"/>
          <w:szCs w:val="24"/>
        </w:rPr>
        <w:t>due to ongoing receipts of grant</w:t>
      </w:r>
      <w:r w:rsidRPr="000712E8">
        <w:rPr>
          <w:sz w:val="24"/>
          <w:szCs w:val="24"/>
        </w:rPr>
        <w:t xml:space="preserve">. </w:t>
      </w:r>
    </w:p>
    <w:p w14:paraId="57EDEE2C" w14:textId="77777777" w:rsidR="00DB08E0" w:rsidRPr="0029537D" w:rsidRDefault="00DB08E0" w:rsidP="00DB08E0">
      <w:pPr>
        <w:autoSpaceDE w:val="0"/>
        <w:autoSpaceDN w:val="0"/>
        <w:adjustRightInd w:val="0"/>
        <w:rPr>
          <w:sz w:val="24"/>
          <w:szCs w:val="24"/>
          <w:highlight w:val="yellow"/>
        </w:rPr>
      </w:pPr>
    </w:p>
    <w:p w14:paraId="5DD6EB91" w14:textId="77777777" w:rsidR="00DB08E0" w:rsidRPr="00A518C1" w:rsidRDefault="00DB08E0" w:rsidP="00DB08E0">
      <w:pPr>
        <w:autoSpaceDE w:val="0"/>
        <w:autoSpaceDN w:val="0"/>
        <w:adjustRightInd w:val="0"/>
        <w:rPr>
          <w:sz w:val="24"/>
          <w:szCs w:val="24"/>
        </w:rPr>
      </w:pPr>
      <w:r w:rsidRPr="00A518C1">
        <w:rPr>
          <w:sz w:val="24"/>
          <w:szCs w:val="24"/>
        </w:rPr>
        <w:t>4.</w:t>
      </w:r>
      <w:r w:rsidR="001A3E65">
        <w:rPr>
          <w:sz w:val="24"/>
          <w:szCs w:val="24"/>
        </w:rPr>
        <w:t>6</w:t>
      </w:r>
      <w:r w:rsidRPr="00A518C1">
        <w:rPr>
          <w:sz w:val="24"/>
          <w:szCs w:val="24"/>
        </w:rPr>
        <w:tab/>
      </w:r>
      <w:r w:rsidR="008172FB" w:rsidRPr="00A518C1">
        <w:rPr>
          <w:sz w:val="24"/>
          <w:szCs w:val="24"/>
        </w:rPr>
        <w:t>£</w:t>
      </w:r>
      <w:r w:rsidR="004F47DA" w:rsidRPr="00A518C1">
        <w:rPr>
          <w:sz w:val="24"/>
          <w:szCs w:val="24"/>
        </w:rPr>
        <w:t>485</w:t>
      </w:r>
      <w:r w:rsidR="00C751AD" w:rsidRPr="00A518C1">
        <w:rPr>
          <w:sz w:val="24"/>
          <w:szCs w:val="24"/>
        </w:rPr>
        <w:t>k</w:t>
      </w:r>
      <w:r w:rsidR="008172FB" w:rsidRPr="00A518C1">
        <w:rPr>
          <w:sz w:val="24"/>
          <w:szCs w:val="24"/>
        </w:rPr>
        <w:t xml:space="preserve"> of earmarked reserves have been identified for</w:t>
      </w:r>
      <w:r w:rsidRPr="00A518C1">
        <w:rPr>
          <w:sz w:val="24"/>
          <w:szCs w:val="24"/>
        </w:rPr>
        <w:t xml:space="preserve"> reallocated to:</w:t>
      </w:r>
    </w:p>
    <w:p w14:paraId="191814DC" w14:textId="77777777" w:rsidR="00DB08E0" w:rsidRPr="00A518C1" w:rsidRDefault="00DB08E0" w:rsidP="00DB08E0">
      <w:pPr>
        <w:autoSpaceDE w:val="0"/>
        <w:autoSpaceDN w:val="0"/>
        <w:adjustRightInd w:val="0"/>
        <w:rPr>
          <w:sz w:val="24"/>
          <w:szCs w:val="24"/>
        </w:rPr>
      </w:pPr>
    </w:p>
    <w:p w14:paraId="4BE50713" w14:textId="77777777" w:rsidR="00DB08E0" w:rsidRPr="00A518C1" w:rsidRDefault="004F47DA" w:rsidP="00332C87">
      <w:pPr>
        <w:numPr>
          <w:ilvl w:val="0"/>
          <w:numId w:val="19"/>
        </w:numPr>
        <w:autoSpaceDE w:val="0"/>
        <w:autoSpaceDN w:val="0"/>
        <w:adjustRightInd w:val="0"/>
        <w:spacing w:after="200" w:line="276" w:lineRule="auto"/>
        <w:ind w:left="1134" w:hanging="425"/>
        <w:contextualSpacing/>
        <w:rPr>
          <w:rFonts w:eastAsia="Calibri"/>
          <w:sz w:val="24"/>
          <w:szCs w:val="24"/>
        </w:rPr>
      </w:pPr>
      <w:r w:rsidRPr="00A518C1">
        <w:rPr>
          <w:rFonts w:eastAsia="Calibri"/>
          <w:sz w:val="24"/>
          <w:szCs w:val="24"/>
        </w:rPr>
        <w:t>Replacement Mobilising System</w:t>
      </w:r>
      <w:r w:rsidR="008172FB" w:rsidRPr="00A518C1">
        <w:rPr>
          <w:rFonts w:eastAsia="Calibri"/>
          <w:sz w:val="24"/>
          <w:szCs w:val="24"/>
        </w:rPr>
        <w:t xml:space="preserve"> </w:t>
      </w:r>
      <w:r w:rsidR="000712E8">
        <w:rPr>
          <w:rFonts w:eastAsia="Calibri"/>
          <w:sz w:val="24"/>
          <w:szCs w:val="24"/>
        </w:rPr>
        <w:tab/>
      </w:r>
      <w:r w:rsidR="000712E8">
        <w:rPr>
          <w:rFonts w:eastAsia="Calibri"/>
          <w:sz w:val="24"/>
          <w:szCs w:val="24"/>
        </w:rPr>
        <w:tab/>
      </w:r>
      <w:r w:rsidR="008172FB" w:rsidRPr="00A518C1">
        <w:rPr>
          <w:rFonts w:eastAsia="Calibri"/>
          <w:sz w:val="24"/>
          <w:szCs w:val="24"/>
        </w:rPr>
        <w:t xml:space="preserve"> £</w:t>
      </w:r>
      <w:r w:rsidRPr="00A518C1">
        <w:rPr>
          <w:rFonts w:eastAsia="Calibri"/>
          <w:sz w:val="24"/>
          <w:szCs w:val="24"/>
        </w:rPr>
        <w:t>475</w:t>
      </w:r>
      <w:r w:rsidR="008172FB" w:rsidRPr="00A518C1">
        <w:rPr>
          <w:rFonts w:eastAsia="Calibri"/>
          <w:sz w:val="24"/>
          <w:szCs w:val="24"/>
        </w:rPr>
        <w:t>k</w:t>
      </w:r>
      <w:r w:rsidR="00DB08E0" w:rsidRPr="00A518C1">
        <w:rPr>
          <w:rFonts w:eastAsia="Calibri"/>
          <w:sz w:val="24"/>
          <w:szCs w:val="24"/>
        </w:rPr>
        <w:t>;</w:t>
      </w:r>
    </w:p>
    <w:p w14:paraId="2C4D44DC" w14:textId="77777777" w:rsidR="00DB08E0" w:rsidRPr="00A518C1" w:rsidRDefault="00065143" w:rsidP="00332C87">
      <w:pPr>
        <w:numPr>
          <w:ilvl w:val="0"/>
          <w:numId w:val="19"/>
        </w:numPr>
        <w:autoSpaceDE w:val="0"/>
        <w:autoSpaceDN w:val="0"/>
        <w:adjustRightInd w:val="0"/>
        <w:spacing w:after="200" w:line="276" w:lineRule="auto"/>
        <w:ind w:left="1134" w:hanging="425"/>
        <w:contextualSpacing/>
        <w:rPr>
          <w:rFonts w:eastAsia="Calibri"/>
          <w:sz w:val="24"/>
          <w:szCs w:val="24"/>
        </w:rPr>
      </w:pPr>
      <w:r w:rsidRPr="00A518C1">
        <w:rPr>
          <w:rFonts w:eastAsia="Calibri"/>
          <w:sz w:val="24"/>
          <w:szCs w:val="24"/>
        </w:rPr>
        <w:t>Efficiency Programme</w:t>
      </w:r>
      <w:r w:rsidR="000712E8">
        <w:rPr>
          <w:rFonts w:eastAsia="Calibri"/>
          <w:sz w:val="24"/>
          <w:szCs w:val="24"/>
        </w:rPr>
        <w:tab/>
      </w:r>
      <w:r w:rsidR="000712E8">
        <w:rPr>
          <w:rFonts w:eastAsia="Calibri"/>
          <w:sz w:val="24"/>
          <w:szCs w:val="24"/>
        </w:rPr>
        <w:tab/>
      </w:r>
      <w:r w:rsidR="000712E8">
        <w:rPr>
          <w:rFonts w:eastAsia="Calibri"/>
          <w:sz w:val="24"/>
          <w:szCs w:val="24"/>
        </w:rPr>
        <w:tab/>
      </w:r>
      <w:r w:rsidR="000712E8">
        <w:rPr>
          <w:rFonts w:eastAsia="Calibri"/>
          <w:sz w:val="24"/>
          <w:szCs w:val="24"/>
        </w:rPr>
        <w:tab/>
      </w:r>
      <w:r w:rsidR="008172FB" w:rsidRPr="00A518C1">
        <w:rPr>
          <w:rFonts w:eastAsia="Calibri"/>
          <w:sz w:val="24"/>
          <w:szCs w:val="24"/>
        </w:rPr>
        <w:t xml:space="preserve"> £</w:t>
      </w:r>
      <w:r w:rsidR="00C751AD" w:rsidRPr="00A518C1">
        <w:rPr>
          <w:rFonts w:eastAsia="Calibri"/>
          <w:sz w:val="24"/>
          <w:szCs w:val="24"/>
        </w:rPr>
        <w:t>1</w:t>
      </w:r>
      <w:r w:rsidRPr="00A518C1">
        <w:rPr>
          <w:rFonts w:eastAsia="Calibri"/>
          <w:sz w:val="24"/>
          <w:szCs w:val="24"/>
        </w:rPr>
        <w:t>0</w:t>
      </w:r>
      <w:r w:rsidR="00C751AD" w:rsidRPr="00A518C1">
        <w:rPr>
          <w:rFonts w:eastAsia="Calibri"/>
          <w:sz w:val="24"/>
          <w:szCs w:val="24"/>
        </w:rPr>
        <w:t>k</w:t>
      </w:r>
      <w:r w:rsidR="00DB08E0" w:rsidRPr="00A518C1">
        <w:rPr>
          <w:rFonts w:eastAsia="Calibri"/>
          <w:sz w:val="24"/>
          <w:szCs w:val="24"/>
        </w:rPr>
        <w:t>.</w:t>
      </w:r>
    </w:p>
    <w:p w14:paraId="2B578769" w14:textId="77777777" w:rsidR="00DB08E0" w:rsidRPr="00E05E60" w:rsidRDefault="00DB08E0" w:rsidP="00DB08E0">
      <w:pPr>
        <w:autoSpaceDE w:val="0"/>
        <w:autoSpaceDN w:val="0"/>
        <w:adjustRightInd w:val="0"/>
        <w:rPr>
          <w:sz w:val="24"/>
          <w:szCs w:val="24"/>
        </w:rPr>
      </w:pPr>
    </w:p>
    <w:bookmarkEnd w:id="35"/>
    <w:bookmarkEnd w:id="36"/>
    <w:p w14:paraId="57F298AA" w14:textId="77777777" w:rsidR="00DB08E0" w:rsidRPr="00E05E60" w:rsidRDefault="00DB08E0" w:rsidP="00DB08E0">
      <w:pPr>
        <w:spacing w:after="200" w:line="276" w:lineRule="auto"/>
        <w:jc w:val="right"/>
        <w:rPr>
          <w:b/>
          <w:sz w:val="24"/>
          <w:szCs w:val="24"/>
        </w:rPr>
      </w:pPr>
    </w:p>
    <w:p w14:paraId="10D7A394" w14:textId="77777777" w:rsidR="00973760" w:rsidRPr="00E05E60" w:rsidRDefault="00973760" w:rsidP="00DB08E0">
      <w:pPr>
        <w:spacing w:after="200" w:line="276" w:lineRule="auto"/>
        <w:jc w:val="right"/>
        <w:rPr>
          <w:b/>
          <w:sz w:val="24"/>
          <w:szCs w:val="24"/>
        </w:rPr>
        <w:sectPr w:rsidR="00973760" w:rsidRPr="00E05E60" w:rsidSect="00E3312E">
          <w:pgSz w:w="11906" w:h="16838"/>
          <w:pgMar w:top="1440" w:right="1440" w:bottom="1440" w:left="1440" w:header="708" w:footer="708" w:gutter="0"/>
          <w:pgBorders w:offsetFrom="page">
            <w:bottom w:val="single" w:sz="8" w:space="24" w:color="auto"/>
          </w:pgBorders>
          <w:cols w:space="708"/>
          <w:docGrid w:linePitch="360"/>
        </w:sectPr>
      </w:pPr>
    </w:p>
    <w:tbl>
      <w:tblPr>
        <w:tblW w:w="13958" w:type="dxa"/>
        <w:tblLook w:val="04A0" w:firstRow="1" w:lastRow="0" w:firstColumn="1" w:lastColumn="0" w:noHBand="0" w:noVBand="1"/>
      </w:tblPr>
      <w:tblGrid>
        <w:gridCol w:w="744"/>
        <w:gridCol w:w="2560"/>
        <w:gridCol w:w="2860"/>
        <w:gridCol w:w="2900"/>
        <w:gridCol w:w="1195"/>
        <w:gridCol w:w="1200"/>
        <w:gridCol w:w="1329"/>
        <w:gridCol w:w="1170"/>
      </w:tblGrid>
      <w:tr w:rsidR="00DB08E0" w:rsidRPr="00E05E60" w14:paraId="6D31F8CF" w14:textId="77777777" w:rsidTr="00DB08E0">
        <w:trPr>
          <w:trHeight w:val="255"/>
        </w:trPr>
        <w:tc>
          <w:tcPr>
            <w:tcW w:w="744" w:type="dxa"/>
            <w:tcBorders>
              <w:top w:val="nil"/>
              <w:left w:val="nil"/>
              <w:bottom w:val="nil"/>
              <w:right w:val="nil"/>
            </w:tcBorders>
          </w:tcPr>
          <w:p w14:paraId="3BAB14DF" w14:textId="77777777" w:rsidR="00DB08E0" w:rsidRPr="00E05E60" w:rsidRDefault="00DB08E0" w:rsidP="00DB08E0">
            <w:pPr>
              <w:rPr>
                <w:rFonts w:ascii="Times New Roman" w:hAnsi="Times New Roman" w:cs="Times New Roman"/>
                <w:sz w:val="24"/>
                <w:szCs w:val="24"/>
                <w:lang w:eastAsia="en-GB"/>
              </w:rPr>
            </w:pPr>
          </w:p>
        </w:tc>
        <w:tc>
          <w:tcPr>
            <w:tcW w:w="2560" w:type="dxa"/>
            <w:tcBorders>
              <w:top w:val="nil"/>
              <w:left w:val="nil"/>
              <w:bottom w:val="nil"/>
              <w:right w:val="nil"/>
            </w:tcBorders>
            <w:shd w:val="clear" w:color="auto" w:fill="auto"/>
            <w:noWrap/>
            <w:vAlign w:val="bottom"/>
            <w:hideMark/>
          </w:tcPr>
          <w:p w14:paraId="2D4C7A04" w14:textId="77777777" w:rsidR="00DB08E0" w:rsidRPr="00E05E60" w:rsidRDefault="00DB08E0" w:rsidP="00DB08E0">
            <w:pPr>
              <w:rPr>
                <w:rFonts w:ascii="Times New Roman" w:hAnsi="Times New Roman" w:cs="Times New Roman"/>
                <w:sz w:val="24"/>
                <w:szCs w:val="24"/>
                <w:lang w:eastAsia="en-GB"/>
              </w:rPr>
            </w:pPr>
          </w:p>
        </w:tc>
        <w:tc>
          <w:tcPr>
            <w:tcW w:w="2860" w:type="dxa"/>
            <w:tcBorders>
              <w:top w:val="nil"/>
              <w:left w:val="nil"/>
              <w:bottom w:val="nil"/>
              <w:right w:val="nil"/>
            </w:tcBorders>
            <w:shd w:val="clear" w:color="auto" w:fill="auto"/>
            <w:noWrap/>
            <w:vAlign w:val="bottom"/>
            <w:hideMark/>
          </w:tcPr>
          <w:p w14:paraId="69F1BE79" w14:textId="77777777" w:rsidR="00DB08E0" w:rsidRPr="00E05E60" w:rsidRDefault="00DB08E0" w:rsidP="00DB08E0">
            <w:pPr>
              <w:rPr>
                <w:rFonts w:ascii="Times New Roman" w:hAnsi="Times New Roman" w:cs="Times New Roman"/>
                <w:sz w:val="20"/>
                <w:szCs w:val="20"/>
                <w:lang w:eastAsia="en-GB"/>
              </w:rPr>
            </w:pPr>
          </w:p>
        </w:tc>
        <w:tc>
          <w:tcPr>
            <w:tcW w:w="2900" w:type="dxa"/>
            <w:tcBorders>
              <w:top w:val="nil"/>
              <w:left w:val="nil"/>
              <w:bottom w:val="nil"/>
              <w:right w:val="nil"/>
            </w:tcBorders>
            <w:shd w:val="clear" w:color="auto" w:fill="auto"/>
            <w:noWrap/>
            <w:vAlign w:val="bottom"/>
            <w:hideMark/>
          </w:tcPr>
          <w:p w14:paraId="7A250BAF" w14:textId="77777777" w:rsidR="00DB08E0" w:rsidRPr="00E05E60" w:rsidRDefault="00DB08E0" w:rsidP="00DB08E0">
            <w:pPr>
              <w:rPr>
                <w:rFonts w:ascii="Times New Roman" w:hAnsi="Times New Roman" w:cs="Times New Roman"/>
                <w:sz w:val="20"/>
                <w:szCs w:val="20"/>
                <w:lang w:eastAsia="en-GB"/>
              </w:rPr>
            </w:pPr>
          </w:p>
        </w:tc>
        <w:tc>
          <w:tcPr>
            <w:tcW w:w="1195" w:type="dxa"/>
            <w:tcBorders>
              <w:top w:val="nil"/>
              <w:left w:val="nil"/>
              <w:bottom w:val="nil"/>
              <w:right w:val="nil"/>
            </w:tcBorders>
            <w:shd w:val="clear" w:color="auto" w:fill="auto"/>
            <w:noWrap/>
            <w:vAlign w:val="bottom"/>
            <w:hideMark/>
          </w:tcPr>
          <w:p w14:paraId="7A3E2FB5" w14:textId="77777777" w:rsidR="00DB08E0" w:rsidRPr="00E05E60" w:rsidRDefault="00DB08E0" w:rsidP="00DB08E0">
            <w:pPr>
              <w:rPr>
                <w:rFonts w:ascii="Times New Roman" w:hAnsi="Times New Roman" w:cs="Times New Roman"/>
                <w:sz w:val="20"/>
                <w:szCs w:val="20"/>
                <w:lang w:eastAsia="en-GB"/>
              </w:rPr>
            </w:pPr>
          </w:p>
        </w:tc>
        <w:tc>
          <w:tcPr>
            <w:tcW w:w="1200" w:type="dxa"/>
            <w:tcBorders>
              <w:top w:val="nil"/>
              <w:left w:val="nil"/>
              <w:bottom w:val="nil"/>
              <w:right w:val="nil"/>
            </w:tcBorders>
            <w:shd w:val="clear" w:color="auto" w:fill="auto"/>
            <w:noWrap/>
            <w:vAlign w:val="bottom"/>
            <w:hideMark/>
          </w:tcPr>
          <w:p w14:paraId="3EB92BC3" w14:textId="77777777" w:rsidR="00DB08E0" w:rsidRPr="00E05E60" w:rsidRDefault="00DB08E0" w:rsidP="00DB08E0">
            <w:pPr>
              <w:rPr>
                <w:rFonts w:ascii="Times New Roman" w:hAnsi="Times New Roman" w:cs="Times New Roman"/>
                <w:sz w:val="20"/>
                <w:szCs w:val="20"/>
                <w:lang w:eastAsia="en-GB"/>
              </w:rPr>
            </w:pPr>
          </w:p>
        </w:tc>
        <w:tc>
          <w:tcPr>
            <w:tcW w:w="1329" w:type="dxa"/>
            <w:tcBorders>
              <w:top w:val="nil"/>
              <w:left w:val="nil"/>
              <w:bottom w:val="nil"/>
              <w:right w:val="nil"/>
            </w:tcBorders>
            <w:shd w:val="clear" w:color="auto" w:fill="auto"/>
            <w:noWrap/>
            <w:vAlign w:val="bottom"/>
            <w:hideMark/>
          </w:tcPr>
          <w:p w14:paraId="60D0BF2A" w14:textId="77777777" w:rsidR="00DB08E0" w:rsidRPr="00E05E60" w:rsidRDefault="00DB08E0" w:rsidP="00DB08E0">
            <w:pPr>
              <w:rPr>
                <w:rFonts w:ascii="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14:paraId="43429A9B" w14:textId="77777777" w:rsidR="00DB08E0" w:rsidRPr="00E05E60" w:rsidRDefault="00DB08E0" w:rsidP="00DB08E0">
            <w:pPr>
              <w:rPr>
                <w:rFonts w:ascii="Times New Roman" w:hAnsi="Times New Roman" w:cs="Times New Roman"/>
                <w:sz w:val="20"/>
                <w:szCs w:val="20"/>
                <w:lang w:eastAsia="en-GB"/>
              </w:rPr>
            </w:pPr>
          </w:p>
        </w:tc>
      </w:tr>
      <w:tr w:rsidR="00DB08E0" w:rsidRPr="00A518C1" w14:paraId="370A2C36" w14:textId="77777777" w:rsidTr="00DB08E0">
        <w:trPr>
          <w:trHeight w:val="315"/>
        </w:trPr>
        <w:tc>
          <w:tcPr>
            <w:tcW w:w="744" w:type="dxa"/>
            <w:tcBorders>
              <w:top w:val="nil"/>
              <w:left w:val="nil"/>
              <w:bottom w:val="nil"/>
              <w:right w:val="nil"/>
            </w:tcBorders>
          </w:tcPr>
          <w:p w14:paraId="3123087F" w14:textId="77777777" w:rsidR="00DB08E0" w:rsidRPr="00E05E60" w:rsidRDefault="00DB08E0" w:rsidP="00DB08E0">
            <w:pPr>
              <w:rPr>
                <w:b/>
                <w:bCs/>
                <w:sz w:val="28"/>
                <w:szCs w:val="28"/>
                <w:lang w:eastAsia="en-GB"/>
              </w:rPr>
            </w:pPr>
          </w:p>
        </w:tc>
        <w:tc>
          <w:tcPr>
            <w:tcW w:w="5420" w:type="dxa"/>
            <w:gridSpan w:val="2"/>
            <w:tcBorders>
              <w:top w:val="nil"/>
              <w:left w:val="nil"/>
              <w:bottom w:val="nil"/>
              <w:right w:val="nil"/>
            </w:tcBorders>
            <w:shd w:val="clear" w:color="auto" w:fill="auto"/>
            <w:noWrap/>
            <w:vAlign w:val="bottom"/>
            <w:hideMark/>
          </w:tcPr>
          <w:p w14:paraId="2809CE2C" w14:textId="77777777" w:rsidR="00DB08E0" w:rsidRPr="00A518C1" w:rsidRDefault="004B6C98" w:rsidP="00DB08E0">
            <w:pPr>
              <w:rPr>
                <w:b/>
                <w:bCs/>
                <w:sz w:val="28"/>
                <w:szCs w:val="28"/>
                <w:lang w:eastAsia="en-GB"/>
              </w:rPr>
            </w:pPr>
            <w:r w:rsidRPr="00A518C1">
              <w:rPr>
                <w:b/>
                <w:bCs/>
                <w:sz w:val="28"/>
                <w:szCs w:val="28"/>
                <w:lang w:eastAsia="en-GB"/>
              </w:rPr>
              <w:t>2024/25</w:t>
            </w:r>
            <w:r w:rsidR="00DB08E0" w:rsidRPr="00A518C1">
              <w:rPr>
                <w:b/>
                <w:bCs/>
                <w:sz w:val="28"/>
                <w:szCs w:val="28"/>
                <w:lang w:eastAsia="en-GB"/>
              </w:rPr>
              <w:t xml:space="preserve"> General Fund Risk Analysis</w:t>
            </w:r>
          </w:p>
        </w:tc>
        <w:tc>
          <w:tcPr>
            <w:tcW w:w="2900" w:type="dxa"/>
            <w:tcBorders>
              <w:top w:val="nil"/>
              <w:left w:val="nil"/>
              <w:bottom w:val="nil"/>
              <w:right w:val="nil"/>
            </w:tcBorders>
            <w:shd w:val="clear" w:color="auto" w:fill="auto"/>
            <w:noWrap/>
            <w:vAlign w:val="bottom"/>
            <w:hideMark/>
          </w:tcPr>
          <w:p w14:paraId="1B374641" w14:textId="77777777" w:rsidR="00DB08E0" w:rsidRPr="00A518C1" w:rsidRDefault="00DB08E0" w:rsidP="00DB08E0">
            <w:pPr>
              <w:rPr>
                <w:b/>
                <w:bCs/>
                <w:sz w:val="28"/>
                <w:szCs w:val="28"/>
                <w:lang w:eastAsia="en-GB"/>
              </w:rPr>
            </w:pPr>
          </w:p>
        </w:tc>
        <w:tc>
          <w:tcPr>
            <w:tcW w:w="1195" w:type="dxa"/>
            <w:tcBorders>
              <w:top w:val="nil"/>
              <w:left w:val="nil"/>
              <w:bottom w:val="nil"/>
              <w:right w:val="nil"/>
            </w:tcBorders>
            <w:shd w:val="clear" w:color="auto" w:fill="auto"/>
            <w:noWrap/>
            <w:vAlign w:val="bottom"/>
            <w:hideMark/>
          </w:tcPr>
          <w:p w14:paraId="328EDE0B" w14:textId="77777777" w:rsidR="00DB08E0" w:rsidRPr="00A518C1" w:rsidRDefault="00DB08E0" w:rsidP="00DB08E0">
            <w:pPr>
              <w:rPr>
                <w:rFonts w:ascii="Times New Roman" w:hAnsi="Times New Roman" w:cs="Times New Roman"/>
                <w:sz w:val="28"/>
                <w:szCs w:val="28"/>
                <w:lang w:eastAsia="en-GB"/>
              </w:rPr>
            </w:pPr>
          </w:p>
        </w:tc>
        <w:tc>
          <w:tcPr>
            <w:tcW w:w="1200" w:type="dxa"/>
            <w:tcBorders>
              <w:top w:val="nil"/>
              <w:left w:val="nil"/>
              <w:bottom w:val="nil"/>
              <w:right w:val="nil"/>
            </w:tcBorders>
            <w:shd w:val="clear" w:color="auto" w:fill="auto"/>
            <w:noWrap/>
            <w:vAlign w:val="bottom"/>
            <w:hideMark/>
          </w:tcPr>
          <w:p w14:paraId="2DE908D7" w14:textId="77777777" w:rsidR="00DB08E0" w:rsidRPr="00A518C1" w:rsidRDefault="00DB08E0" w:rsidP="00DB08E0">
            <w:pPr>
              <w:rPr>
                <w:rFonts w:ascii="Times New Roman" w:hAnsi="Times New Roman" w:cs="Times New Roman"/>
                <w:sz w:val="28"/>
                <w:szCs w:val="28"/>
                <w:lang w:eastAsia="en-GB"/>
              </w:rPr>
            </w:pPr>
          </w:p>
        </w:tc>
        <w:tc>
          <w:tcPr>
            <w:tcW w:w="2499" w:type="dxa"/>
            <w:gridSpan w:val="2"/>
            <w:tcBorders>
              <w:top w:val="nil"/>
              <w:left w:val="nil"/>
              <w:bottom w:val="nil"/>
              <w:right w:val="nil"/>
            </w:tcBorders>
            <w:shd w:val="clear" w:color="auto" w:fill="auto"/>
            <w:noWrap/>
            <w:vAlign w:val="bottom"/>
            <w:hideMark/>
          </w:tcPr>
          <w:p w14:paraId="6004E676" w14:textId="77777777" w:rsidR="00DB08E0" w:rsidRPr="00A518C1" w:rsidRDefault="00DB08E0" w:rsidP="00DB08E0">
            <w:pPr>
              <w:jc w:val="center"/>
              <w:rPr>
                <w:b/>
                <w:bCs/>
                <w:sz w:val="28"/>
                <w:szCs w:val="28"/>
                <w:lang w:eastAsia="en-GB"/>
              </w:rPr>
            </w:pPr>
            <w:r w:rsidRPr="00A518C1">
              <w:rPr>
                <w:b/>
                <w:bCs/>
                <w:sz w:val="28"/>
                <w:szCs w:val="28"/>
                <w:lang w:eastAsia="en-GB"/>
              </w:rPr>
              <w:t>Appendix A</w:t>
            </w:r>
          </w:p>
        </w:tc>
      </w:tr>
    </w:tbl>
    <w:p w14:paraId="1C4EEA50" w14:textId="77777777" w:rsidR="006371E3" w:rsidRPr="00A518C1" w:rsidRDefault="006371E3" w:rsidP="00DB08E0">
      <w:pPr>
        <w:spacing w:after="160" w:line="259" w:lineRule="auto"/>
        <w:rPr>
          <w:b/>
          <w:sz w:val="24"/>
          <w:szCs w:val="24"/>
        </w:rPr>
      </w:pPr>
    </w:p>
    <w:tbl>
      <w:tblPr>
        <w:tblW w:w="13200" w:type="dxa"/>
        <w:tblInd w:w="118" w:type="dxa"/>
        <w:tblLook w:val="04A0" w:firstRow="1" w:lastRow="0" w:firstColumn="1" w:lastColumn="0" w:noHBand="0" w:noVBand="1"/>
      </w:tblPr>
      <w:tblGrid>
        <w:gridCol w:w="640"/>
        <w:gridCol w:w="2740"/>
        <w:gridCol w:w="3060"/>
        <w:gridCol w:w="3100"/>
        <w:gridCol w:w="1280"/>
        <w:gridCol w:w="1160"/>
        <w:gridCol w:w="1220"/>
      </w:tblGrid>
      <w:tr w:rsidR="00905743" w:rsidRPr="00A518C1" w14:paraId="0D781FA7" w14:textId="77777777" w:rsidTr="002125A1">
        <w:trPr>
          <w:cantSplit/>
          <w:trHeight w:val="1050"/>
          <w:tblHeader/>
        </w:trPr>
        <w:tc>
          <w:tcPr>
            <w:tcW w:w="640" w:type="dxa"/>
            <w:tcBorders>
              <w:top w:val="single" w:sz="8" w:space="0" w:color="auto"/>
              <w:left w:val="single" w:sz="8" w:space="0" w:color="auto"/>
              <w:bottom w:val="nil"/>
              <w:right w:val="single" w:sz="8" w:space="0" w:color="auto"/>
            </w:tcBorders>
            <w:shd w:val="clear" w:color="auto" w:fill="auto"/>
            <w:vAlign w:val="bottom"/>
            <w:hideMark/>
          </w:tcPr>
          <w:p w14:paraId="1A7FB89C" w14:textId="77777777" w:rsidR="00905743" w:rsidRPr="00A518C1" w:rsidRDefault="00905743" w:rsidP="00905743">
            <w:pPr>
              <w:rPr>
                <w:b/>
                <w:bCs/>
                <w:sz w:val="18"/>
                <w:szCs w:val="18"/>
                <w:lang w:eastAsia="en-GB"/>
              </w:rPr>
            </w:pPr>
            <w:r w:rsidRPr="00A518C1">
              <w:rPr>
                <w:b/>
                <w:bCs/>
                <w:sz w:val="18"/>
                <w:szCs w:val="18"/>
                <w:lang w:eastAsia="en-GB"/>
              </w:rPr>
              <w:t>Risk No</w:t>
            </w:r>
          </w:p>
        </w:tc>
        <w:tc>
          <w:tcPr>
            <w:tcW w:w="2740" w:type="dxa"/>
            <w:tcBorders>
              <w:top w:val="single" w:sz="8" w:space="0" w:color="auto"/>
              <w:left w:val="nil"/>
              <w:bottom w:val="nil"/>
              <w:right w:val="single" w:sz="8" w:space="0" w:color="auto"/>
            </w:tcBorders>
            <w:shd w:val="clear" w:color="auto" w:fill="auto"/>
            <w:vAlign w:val="bottom"/>
            <w:hideMark/>
          </w:tcPr>
          <w:p w14:paraId="30D9FF55" w14:textId="77777777" w:rsidR="00905743" w:rsidRPr="00A518C1" w:rsidRDefault="00905743" w:rsidP="00905743">
            <w:pPr>
              <w:rPr>
                <w:b/>
                <w:bCs/>
                <w:sz w:val="18"/>
                <w:szCs w:val="18"/>
                <w:lang w:eastAsia="en-GB"/>
              </w:rPr>
            </w:pPr>
            <w:r w:rsidRPr="00A518C1">
              <w:rPr>
                <w:b/>
                <w:bCs/>
                <w:sz w:val="18"/>
                <w:szCs w:val="18"/>
                <w:lang w:eastAsia="en-GB"/>
              </w:rPr>
              <w:t>Risk Description</w:t>
            </w:r>
          </w:p>
        </w:tc>
        <w:tc>
          <w:tcPr>
            <w:tcW w:w="3060" w:type="dxa"/>
            <w:tcBorders>
              <w:top w:val="single" w:sz="8" w:space="0" w:color="auto"/>
              <w:left w:val="nil"/>
              <w:bottom w:val="nil"/>
              <w:right w:val="single" w:sz="8" w:space="0" w:color="auto"/>
            </w:tcBorders>
            <w:shd w:val="clear" w:color="auto" w:fill="auto"/>
            <w:vAlign w:val="bottom"/>
            <w:hideMark/>
          </w:tcPr>
          <w:p w14:paraId="36251E5F" w14:textId="77777777" w:rsidR="00905743" w:rsidRPr="00A518C1" w:rsidRDefault="00905743" w:rsidP="00905743">
            <w:pPr>
              <w:rPr>
                <w:b/>
                <w:bCs/>
                <w:sz w:val="18"/>
                <w:szCs w:val="18"/>
                <w:lang w:eastAsia="en-GB"/>
              </w:rPr>
            </w:pPr>
            <w:r w:rsidRPr="00A518C1">
              <w:rPr>
                <w:b/>
                <w:bCs/>
                <w:sz w:val="18"/>
                <w:szCs w:val="18"/>
                <w:lang w:eastAsia="en-GB"/>
              </w:rPr>
              <w:t>Risk Effect</w:t>
            </w:r>
          </w:p>
        </w:tc>
        <w:tc>
          <w:tcPr>
            <w:tcW w:w="3100" w:type="dxa"/>
            <w:tcBorders>
              <w:top w:val="single" w:sz="8" w:space="0" w:color="auto"/>
              <w:left w:val="nil"/>
              <w:bottom w:val="nil"/>
              <w:right w:val="single" w:sz="8" w:space="0" w:color="auto"/>
            </w:tcBorders>
            <w:shd w:val="clear" w:color="auto" w:fill="auto"/>
            <w:vAlign w:val="bottom"/>
            <w:hideMark/>
          </w:tcPr>
          <w:p w14:paraId="490AE8B8" w14:textId="77777777" w:rsidR="00905743" w:rsidRPr="00A518C1" w:rsidRDefault="00905743" w:rsidP="00905743">
            <w:pPr>
              <w:rPr>
                <w:b/>
                <w:bCs/>
                <w:sz w:val="18"/>
                <w:szCs w:val="18"/>
                <w:lang w:eastAsia="en-GB"/>
              </w:rPr>
            </w:pPr>
            <w:r w:rsidRPr="00A518C1">
              <w:rPr>
                <w:b/>
                <w:bCs/>
                <w:sz w:val="18"/>
                <w:szCs w:val="18"/>
                <w:lang w:eastAsia="en-GB"/>
              </w:rPr>
              <w:t>Control Measures</w:t>
            </w:r>
          </w:p>
        </w:tc>
        <w:tc>
          <w:tcPr>
            <w:tcW w:w="1280" w:type="dxa"/>
            <w:tcBorders>
              <w:top w:val="single" w:sz="8" w:space="0" w:color="auto"/>
              <w:left w:val="nil"/>
              <w:bottom w:val="nil"/>
              <w:right w:val="single" w:sz="8" w:space="0" w:color="auto"/>
            </w:tcBorders>
            <w:shd w:val="clear" w:color="auto" w:fill="auto"/>
            <w:vAlign w:val="bottom"/>
            <w:hideMark/>
          </w:tcPr>
          <w:p w14:paraId="428EBC40" w14:textId="77777777" w:rsidR="00905743" w:rsidRPr="00A518C1" w:rsidRDefault="00905743" w:rsidP="00905743">
            <w:pPr>
              <w:rPr>
                <w:b/>
                <w:bCs/>
                <w:sz w:val="18"/>
                <w:szCs w:val="18"/>
                <w:lang w:eastAsia="en-GB"/>
              </w:rPr>
            </w:pPr>
            <w:r w:rsidRPr="00A518C1">
              <w:rPr>
                <w:b/>
                <w:bCs/>
                <w:sz w:val="18"/>
                <w:szCs w:val="18"/>
                <w:lang w:eastAsia="en-GB"/>
              </w:rPr>
              <w:t>2024/25 Risk Value</w:t>
            </w:r>
          </w:p>
        </w:tc>
        <w:tc>
          <w:tcPr>
            <w:tcW w:w="1160" w:type="dxa"/>
            <w:tcBorders>
              <w:top w:val="single" w:sz="8" w:space="0" w:color="auto"/>
              <w:left w:val="nil"/>
              <w:bottom w:val="nil"/>
              <w:right w:val="single" w:sz="8" w:space="0" w:color="auto"/>
            </w:tcBorders>
            <w:shd w:val="clear" w:color="auto" w:fill="auto"/>
            <w:vAlign w:val="bottom"/>
            <w:hideMark/>
          </w:tcPr>
          <w:p w14:paraId="78D8C22E" w14:textId="77777777" w:rsidR="00905743" w:rsidRPr="00A518C1" w:rsidRDefault="00905743" w:rsidP="00905743">
            <w:pPr>
              <w:rPr>
                <w:b/>
                <w:bCs/>
                <w:sz w:val="18"/>
                <w:szCs w:val="18"/>
                <w:lang w:eastAsia="en-GB"/>
              </w:rPr>
            </w:pPr>
            <w:r w:rsidRPr="00A518C1">
              <w:rPr>
                <w:b/>
                <w:bCs/>
                <w:sz w:val="18"/>
                <w:szCs w:val="18"/>
                <w:lang w:eastAsia="en-GB"/>
              </w:rPr>
              <w:t>2024/25 Risk Factor Reflecting Frequency</w:t>
            </w:r>
          </w:p>
        </w:tc>
        <w:tc>
          <w:tcPr>
            <w:tcW w:w="1220" w:type="dxa"/>
            <w:tcBorders>
              <w:top w:val="single" w:sz="8" w:space="0" w:color="auto"/>
              <w:left w:val="nil"/>
              <w:bottom w:val="nil"/>
              <w:right w:val="single" w:sz="8" w:space="0" w:color="auto"/>
            </w:tcBorders>
            <w:shd w:val="clear" w:color="auto" w:fill="auto"/>
            <w:vAlign w:val="bottom"/>
            <w:hideMark/>
          </w:tcPr>
          <w:p w14:paraId="2E9E643C" w14:textId="77777777" w:rsidR="00905743" w:rsidRPr="00A518C1" w:rsidRDefault="00905743" w:rsidP="00905743">
            <w:pPr>
              <w:rPr>
                <w:b/>
                <w:bCs/>
                <w:sz w:val="18"/>
                <w:szCs w:val="18"/>
                <w:lang w:eastAsia="en-GB"/>
              </w:rPr>
            </w:pPr>
            <w:r w:rsidRPr="00A518C1">
              <w:rPr>
                <w:b/>
                <w:bCs/>
                <w:sz w:val="18"/>
                <w:szCs w:val="18"/>
                <w:lang w:eastAsia="en-GB"/>
              </w:rPr>
              <w:t>2024/25 Reserve Required</w:t>
            </w:r>
          </w:p>
        </w:tc>
      </w:tr>
      <w:tr w:rsidR="00905743" w:rsidRPr="00A518C1" w14:paraId="7A0B1E48" w14:textId="77777777" w:rsidTr="002125A1">
        <w:trPr>
          <w:cantSplit/>
          <w:trHeight w:val="68"/>
          <w:tblHeader/>
        </w:trPr>
        <w:tc>
          <w:tcPr>
            <w:tcW w:w="640" w:type="dxa"/>
            <w:tcBorders>
              <w:top w:val="nil"/>
              <w:left w:val="single" w:sz="8" w:space="0" w:color="auto"/>
              <w:bottom w:val="single" w:sz="8" w:space="0" w:color="auto"/>
              <w:right w:val="single" w:sz="8" w:space="0" w:color="auto"/>
            </w:tcBorders>
            <w:shd w:val="clear" w:color="auto" w:fill="auto"/>
            <w:vAlign w:val="bottom"/>
            <w:hideMark/>
          </w:tcPr>
          <w:p w14:paraId="5462F294" w14:textId="77777777" w:rsidR="00905743" w:rsidRPr="00A518C1" w:rsidRDefault="00905743" w:rsidP="00905743">
            <w:pPr>
              <w:rPr>
                <w:b/>
                <w:bCs/>
                <w:sz w:val="18"/>
                <w:szCs w:val="18"/>
                <w:lang w:eastAsia="en-GB"/>
              </w:rPr>
            </w:pPr>
            <w:r w:rsidRPr="00A518C1">
              <w:rPr>
                <w:b/>
                <w:bCs/>
                <w:sz w:val="18"/>
                <w:szCs w:val="18"/>
                <w:lang w:eastAsia="en-GB"/>
              </w:rPr>
              <w:t> </w:t>
            </w:r>
          </w:p>
        </w:tc>
        <w:tc>
          <w:tcPr>
            <w:tcW w:w="2740" w:type="dxa"/>
            <w:tcBorders>
              <w:top w:val="nil"/>
              <w:left w:val="nil"/>
              <w:bottom w:val="single" w:sz="8" w:space="0" w:color="auto"/>
              <w:right w:val="single" w:sz="8" w:space="0" w:color="auto"/>
            </w:tcBorders>
            <w:shd w:val="clear" w:color="auto" w:fill="auto"/>
            <w:vAlign w:val="bottom"/>
            <w:hideMark/>
          </w:tcPr>
          <w:p w14:paraId="7300F858" w14:textId="77777777" w:rsidR="00905743" w:rsidRPr="00A518C1" w:rsidRDefault="00905743" w:rsidP="00905743">
            <w:pPr>
              <w:rPr>
                <w:b/>
                <w:bCs/>
                <w:sz w:val="18"/>
                <w:szCs w:val="18"/>
                <w:lang w:eastAsia="en-GB"/>
              </w:rPr>
            </w:pPr>
            <w:r w:rsidRPr="00A518C1">
              <w:rPr>
                <w:b/>
                <w:bCs/>
                <w:sz w:val="18"/>
                <w:szCs w:val="18"/>
                <w:lang w:eastAsia="en-GB"/>
              </w:rPr>
              <w:t> </w:t>
            </w:r>
          </w:p>
        </w:tc>
        <w:tc>
          <w:tcPr>
            <w:tcW w:w="3060" w:type="dxa"/>
            <w:tcBorders>
              <w:top w:val="nil"/>
              <w:left w:val="nil"/>
              <w:bottom w:val="single" w:sz="8" w:space="0" w:color="auto"/>
              <w:right w:val="single" w:sz="8" w:space="0" w:color="auto"/>
            </w:tcBorders>
            <w:shd w:val="clear" w:color="auto" w:fill="auto"/>
            <w:vAlign w:val="bottom"/>
            <w:hideMark/>
          </w:tcPr>
          <w:p w14:paraId="07444D58" w14:textId="77777777" w:rsidR="00905743" w:rsidRPr="00A518C1" w:rsidRDefault="00905743" w:rsidP="00905743">
            <w:pPr>
              <w:rPr>
                <w:b/>
                <w:bCs/>
                <w:sz w:val="18"/>
                <w:szCs w:val="18"/>
                <w:lang w:eastAsia="en-GB"/>
              </w:rPr>
            </w:pPr>
            <w:r w:rsidRPr="00A518C1">
              <w:rPr>
                <w:b/>
                <w:bCs/>
                <w:sz w:val="18"/>
                <w:szCs w:val="18"/>
                <w:lang w:eastAsia="en-GB"/>
              </w:rPr>
              <w:t> </w:t>
            </w:r>
          </w:p>
        </w:tc>
        <w:tc>
          <w:tcPr>
            <w:tcW w:w="3100" w:type="dxa"/>
            <w:tcBorders>
              <w:top w:val="nil"/>
              <w:left w:val="nil"/>
              <w:bottom w:val="single" w:sz="8" w:space="0" w:color="auto"/>
              <w:right w:val="single" w:sz="8" w:space="0" w:color="auto"/>
            </w:tcBorders>
            <w:shd w:val="clear" w:color="auto" w:fill="auto"/>
            <w:vAlign w:val="bottom"/>
            <w:hideMark/>
          </w:tcPr>
          <w:p w14:paraId="6257E8BB" w14:textId="77777777" w:rsidR="00905743" w:rsidRPr="00A518C1" w:rsidRDefault="00905743" w:rsidP="00905743">
            <w:pPr>
              <w:rPr>
                <w:b/>
                <w:bCs/>
                <w:sz w:val="18"/>
                <w:szCs w:val="18"/>
                <w:lang w:eastAsia="en-GB"/>
              </w:rPr>
            </w:pPr>
            <w:r w:rsidRPr="00A518C1">
              <w:rPr>
                <w:b/>
                <w:bCs/>
                <w:sz w:val="18"/>
                <w:szCs w:val="18"/>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14:paraId="61883DE0" w14:textId="77777777" w:rsidR="00905743" w:rsidRPr="00A518C1" w:rsidRDefault="00905743" w:rsidP="00905743">
            <w:pPr>
              <w:jc w:val="center"/>
              <w:rPr>
                <w:b/>
                <w:bCs/>
                <w:sz w:val="18"/>
                <w:szCs w:val="18"/>
                <w:lang w:eastAsia="en-GB"/>
              </w:rPr>
            </w:pPr>
            <w:r w:rsidRPr="00A518C1">
              <w:rPr>
                <w:b/>
                <w:bCs/>
                <w:sz w:val="18"/>
                <w:szCs w:val="18"/>
                <w:lang w:eastAsia="en-GB"/>
              </w:rPr>
              <w:t> </w:t>
            </w:r>
          </w:p>
        </w:tc>
        <w:tc>
          <w:tcPr>
            <w:tcW w:w="1160" w:type="dxa"/>
            <w:tcBorders>
              <w:top w:val="nil"/>
              <w:left w:val="nil"/>
              <w:bottom w:val="single" w:sz="8" w:space="0" w:color="auto"/>
              <w:right w:val="single" w:sz="8" w:space="0" w:color="auto"/>
            </w:tcBorders>
            <w:shd w:val="clear" w:color="auto" w:fill="auto"/>
            <w:vAlign w:val="bottom"/>
            <w:hideMark/>
          </w:tcPr>
          <w:p w14:paraId="42BAA273" w14:textId="77777777" w:rsidR="00905743" w:rsidRPr="00A518C1" w:rsidRDefault="00905743" w:rsidP="00905743">
            <w:pPr>
              <w:jc w:val="center"/>
              <w:rPr>
                <w:b/>
                <w:bCs/>
                <w:sz w:val="18"/>
                <w:szCs w:val="18"/>
                <w:lang w:eastAsia="en-GB"/>
              </w:rPr>
            </w:pPr>
            <w:r w:rsidRPr="00A518C1">
              <w:rPr>
                <w:b/>
                <w:bCs/>
                <w:sz w:val="18"/>
                <w:szCs w:val="18"/>
                <w:lang w:eastAsia="en-GB"/>
              </w:rPr>
              <w:t> </w:t>
            </w:r>
          </w:p>
        </w:tc>
        <w:tc>
          <w:tcPr>
            <w:tcW w:w="1220" w:type="dxa"/>
            <w:tcBorders>
              <w:top w:val="nil"/>
              <w:left w:val="nil"/>
              <w:bottom w:val="single" w:sz="8" w:space="0" w:color="auto"/>
              <w:right w:val="single" w:sz="8" w:space="0" w:color="auto"/>
            </w:tcBorders>
            <w:shd w:val="clear" w:color="auto" w:fill="auto"/>
            <w:vAlign w:val="bottom"/>
            <w:hideMark/>
          </w:tcPr>
          <w:p w14:paraId="0CF6FB15" w14:textId="77777777" w:rsidR="00905743" w:rsidRPr="00A518C1" w:rsidRDefault="00905743" w:rsidP="00905743">
            <w:pPr>
              <w:jc w:val="center"/>
              <w:rPr>
                <w:b/>
                <w:bCs/>
                <w:sz w:val="18"/>
                <w:szCs w:val="18"/>
                <w:lang w:eastAsia="en-GB"/>
              </w:rPr>
            </w:pPr>
            <w:r w:rsidRPr="00A518C1">
              <w:rPr>
                <w:b/>
                <w:bCs/>
                <w:sz w:val="18"/>
                <w:szCs w:val="18"/>
                <w:lang w:eastAsia="en-GB"/>
              </w:rPr>
              <w:t> </w:t>
            </w:r>
          </w:p>
        </w:tc>
      </w:tr>
      <w:tr w:rsidR="00905743" w:rsidRPr="00A518C1" w14:paraId="35C7D9DF" w14:textId="77777777" w:rsidTr="00905743">
        <w:trPr>
          <w:trHeight w:val="473"/>
        </w:trPr>
        <w:tc>
          <w:tcPr>
            <w:tcW w:w="640" w:type="dxa"/>
            <w:tcBorders>
              <w:top w:val="nil"/>
              <w:left w:val="single" w:sz="8" w:space="0" w:color="auto"/>
              <w:bottom w:val="single" w:sz="8" w:space="0" w:color="auto"/>
              <w:right w:val="single" w:sz="8" w:space="0" w:color="auto"/>
            </w:tcBorders>
            <w:shd w:val="clear" w:color="auto" w:fill="auto"/>
            <w:hideMark/>
          </w:tcPr>
          <w:p w14:paraId="17959F34" w14:textId="77777777" w:rsidR="00905743" w:rsidRPr="00A518C1" w:rsidRDefault="00905743" w:rsidP="00905743">
            <w:pPr>
              <w:jc w:val="right"/>
              <w:rPr>
                <w:sz w:val="18"/>
                <w:szCs w:val="18"/>
                <w:lang w:eastAsia="en-GB"/>
              </w:rPr>
            </w:pPr>
            <w:r w:rsidRPr="00A518C1">
              <w:rPr>
                <w:sz w:val="18"/>
                <w:szCs w:val="18"/>
                <w:lang w:eastAsia="en-GB"/>
              </w:rPr>
              <w:t>1</w:t>
            </w:r>
          </w:p>
        </w:tc>
        <w:tc>
          <w:tcPr>
            <w:tcW w:w="2740" w:type="dxa"/>
            <w:tcBorders>
              <w:top w:val="nil"/>
              <w:left w:val="nil"/>
              <w:bottom w:val="single" w:sz="8" w:space="0" w:color="auto"/>
              <w:right w:val="single" w:sz="8" w:space="0" w:color="auto"/>
            </w:tcBorders>
            <w:shd w:val="clear" w:color="auto" w:fill="auto"/>
            <w:hideMark/>
          </w:tcPr>
          <w:p w14:paraId="620948DC" w14:textId="77777777" w:rsidR="00905743" w:rsidRPr="00A518C1" w:rsidRDefault="00905743" w:rsidP="00905743">
            <w:pPr>
              <w:rPr>
                <w:sz w:val="18"/>
                <w:szCs w:val="18"/>
                <w:lang w:eastAsia="en-GB"/>
              </w:rPr>
            </w:pPr>
            <w:r w:rsidRPr="00A518C1">
              <w:rPr>
                <w:b/>
                <w:bCs/>
                <w:sz w:val="18"/>
                <w:szCs w:val="18"/>
                <w:lang w:eastAsia="en-GB"/>
              </w:rPr>
              <w:t>Pay awards</w:t>
            </w:r>
            <w:r w:rsidRPr="00A518C1">
              <w:rPr>
                <w:sz w:val="18"/>
                <w:szCs w:val="18"/>
                <w:lang w:eastAsia="en-GB"/>
              </w:rPr>
              <w:t xml:space="preserve"> agreed at higher rate than budget</w:t>
            </w:r>
          </w:p>
        </w:tc>
        <w:tc>
          <w:tcPr>
            <w:tcW w:w="3060" w:type="dxa"/>
            <w:tcBorders>
              <w:top w:val="nil"/>
              <w:left w:val="nil"/>
              <w:bottom w:val="single" w:sz="8" w:space="0" w:color="auto"/>
              <w:right w:val="single" w:sz="8" w:space="0" w:color="auto"/>
            </w:tcBorders>
            <w:shd w:val="clear" w:color="auto" w:fill="auto"/>
            <w:hideMark/>
          </w:tcPr>
          <w:p w14:paraId="193CF7E4" w14:textId="77777777" w:rsidR="00905743" w:rsidRPr="00A518C1" w:rsidRDefault="00905743" w:rsidP="00905743">
            <w:pPr>
              <w:rPr>
                <w:sz w:val="18"/>
                <w:szCs w:val="18"/>
                <w:lang w:eastAsia="en-GB"/>
              </w:rPr>
            </w:pPr>
            <w:r w:rsidRPr="00A518C1">
              <w:rPr>
                <w:sz w:val="18"/>
                <w:szCs w:val="18"/>
                <w:lang w:eastAsia="en-GB"/>
              </w:rPr>
              <w:t>Additional costs.  Reserve covers 2% over rate included in budget.</w:t>
            </w:r>
          </w:p>
        </w:tc>
        <w:tc>
          <w:tcPr>
            <w:tcW w:w="3100" w:type="dxa"/>
            <w:tcBorders>
              <w:top w:val="nil"/>
              <w:left w:val="nil"/>
              <w:bottom w:val="single" w:sz="8" w:space="0" w:color="auto"/>
              <w:right w:val="single" w:sz="8" w:space="0" w:color="auto"/>
            </w:tcBorders>
            <w:shd w:val="clear" w:color="auto" w:fill="auto"/>
            <w:hideMark/>
          </w:tcPr>
          <w:p w14:paraId="52FEA2BE" w14:textId="77777777" w:rsidR="00905743" w:rsidRPr="00A518C1" w:rsidRDefault="00905743" w:rsidP="00905743">
            <w:pPr>
              <w:rPr>
                <w:sz w:val="18"/>
                <w:szCs w:val="18"/>
                <w:lang w:eastAsia="en-GB"/>
              </w:rPr>
            </w:pPr>
            <w:r w:rsidRPr="00A518C1">
              <w:rPr>
                <w:sz w:val="18"/>
                <w:szCs w:val="18"/>
                <w:lang w:eastAsia="en-GB"/>
              </w:rPr>
              <w:t> </w:t>
            </w:r>
          </w:p>
        </w:tc>
        <w:tc>
          <w:tcPr>
            <w:tcW w:w="1280" w:type="dxa"/>
            <w:tcBorders>
              <w:top w:val="nil"/>
              <w:left w:val="nil"/>
              <w:bottom w:val="single" w:sz="8" w:space="0" w:color="auto"/>
              <w:right w:val="single" w:sz="8" w:space="0" w:color="auto"/>
            </w:tcBorders>
            <w:shd w:val="clear" w:color="auto" w:fill="auto"/>
            <w:noWrap/>
            <w:hideMark/>
          </w:tcPr>
          <w:p w14:paraId="0DB646B7" w14:textId="77777777" w:rsidR="00905743" w:rsidRPr="00A518C1" w:rsidRDefault="00905743" w:rsidP="00905743">
            <w:pPr>
              <w:jc w:val="right"/>
              <w:rPr>
                <w:sz w:val="18"/>
                <w:szCs w:val="18"/>
                <w:lang w:eastAsia="en-GB"/>
              </w:rPr>
            </w:pPr>
            <w:r w:rsidRPr="00A518C1">
              <w:rPr>
                <w:sz w:val="18"/>
                <w:szCs w:val="18"/>
                <w:lang w:eastAsia="en-GB"/>
              </w:rPr>
              <w:t>1,000,000</w:t>
            </w:r>
          </w:p>
        </w:tc>
        <w:tc>
          <w:tcPr>
            <w:tcW w:w="1160" w:type="dxa"/>
            <w:tcBorders>
              <w:top w:val="nil"/>
              <w:left w:val="nil"/>
              <w:bottom w:val="single" w:sz="8" w:space="0" w:color="auto"/>
              <w:right w:val="single" w:sz="8" w:space="0" w:color="auto"/>
            </w:tcBorders>
            <w:shd w:val="clear" w:color="auto" w:fill="auto"/>
            <w:noWrap/>
            <w:hideMark/>
          </w:tcPr>
          <w:p w14:paraId="24C39F57" w14:textId="77777777" w:rsidR="00905743" w:rsidRPr="00A518C1" w:rsidRDefault="00905743" w:rsidP="00905743">
            <w:pPr>
              <w:jc w:val="right"/>
              <w:rPr>
                <w:sz w:val="18"/>
                <w:szCs w:val="18"/>
                <w:lang w:eastAsia="en-GB"/>
              </w:rPr>
            </w:pPr>
            <w:r w:rsidRPr="00A518C1">
              <w:rPr>
                <w:sz w:val="18"/>
                <w:szCs w:val="18"/>
                <w:lang w:eastAsia="en-GB"/>
              </w:rPr>
              <w:t>0.75</w:t>
            </w:r>
          </w:p>
        </w:tc>
        <w:tc>
          <w:tcPr>
            <w:tcW w:w="1220" w:type="dxa"/>
            <w:tcBorders>
              <w:top w:val="nil"/>
              <w:left w:val="nil"/>
              <w:bottom w:val="single" w:sz="8" w:space="0" w:color="auto"/>
              <w:right w:val="single" w:sz="8" w:space="0" w:color="auto"/>
            </w:tcBorders>
            <w:shd w:val="clear" w:color="auto" w:fill="auto"/>
            <w:noWrap/>
            <w:hideMark/>
          </w:tcPr>
          <w:p w14:paraId="7FC4A3AB" w14:textId="77777777" w:rsidR="00905743" w:rsidRPr="00A518C1" w:rsidRDefault="00905743" w:rsidP="00905743">
            <w:pPr>
              <w:jc w:val="right"/>
              <w:rPr>
                <w:sz w:val="18"/>
                <w:szCs w:val="18"/>
                <w:lang w:eastAsia="en-GB"/>
              </w:rPr>
            </w:pPr>
            <w:r w:rsidRPr="00A518C1">
              <w:rPr>
                <w:sz w:val="18"/>
                <w:szCs w:val="18"/>
                <w:lang w:eastAsia="en-GB"/>
              </w:rPr>
              <w:t>750,000</w:t>
            </w:r>
          </w:p>
        </w:tc>
      </w:tr>
      <w:tr w:rsidR="00905743" w:rsidRPr="00A518C1" w14:paraId="4EA869BF" w14:textId="77777777" w:rsidTr="00905743">
        <w:trPr>
          <w:trHeight w:val="1283"/>
        </w:trPr>
        <w:tc>
          <w:tcPr>
            <w:tcW w:w="640" w:type="dxa"/>
            <w:tcBorders>
              <w:top w:val="nil"/>
              <w:left w:val="single" w:sz="8" w:space="0" w:color="auto"/>
              <w:bottom w:val="single" w:sz="8" w:space="0" w:color="auto"/>
              <w:right w:val="single" w:sz="8" w:space="0" w:color="auto"/>
            </w:tcBorders>
            <w:shd w:val="clear" w:color="auto" w:fill="auto"/>
            <w:hideMark/>
          </w:tcPr>
          <w:p w14:paraId="4EFE1880" w14:textId="77777777" w:rsidR="00905743" w:rsidRPr="00A518C1" w:rsidRDefault="00905743" w:rsidP="00905743">
            <w:pPr>
              <w:jc w:val="right"/>
              <w:rPr>
                <w:sz w:val="18"/>
                <w:szCs w:val="18"/>
                <w:lang w:eastAsia="en-GB"/>
              </w:rPr>
            </w:pPr>
            <w:r w:rsidRPr="00A518C1">
              <w:rPr>
                <w:sz w:val="18"/>
                <w:szCs w:val="18"/>
                <w:lang w:eastAsia="en-GB"/>
              </w:rPr>
              <w:t>2</w:t>
            </w:r>
          </w:p>
        </w:tc>
        <w:tc>
          <w:tcPr>
            <w:tcW w:w="2740" w:type="dxa"/>
            <w:tcBorders>
              <w:top w:val="nil"/>
              <w:left w:val="nil"/>
              <w:bottom w:val="single" w:sz="8" w:space="0" w:color="auto"/>
              <w:right w:val="single" w:sz="8" w:space="0" w:color="auto"/>
            </w:tcBorders>
            <w:shd w:val="clear" w:color="auto" w:fill="auto"/>
            <w:hideMark/>
          </w:tcPr>
          <w:p w14:paraId="04FED433" w14:textId="77777777" w:rsidR="00905743" w:rsidRPr="00A518C1" w:rsidRDefault="00905743" w:rsidP="00905743">
            <w:pPr>
              <w:rPr>
                <w:sz w:val="18"/>
                <w:szCs w:val="18"/>
                <w:lang w:eastAsia="en-GB"/>
              </w:rPr>
            </w:pPr>
            <w:r w:rsidRPr="00A518C1">
              <w:rPr>
                <w:b/>
                <w:bCs/>
                <w:sz w:val="18"/>
                <w:szCs w:val="18"/>
                <w:lang w:eastAsia="en-GB"/>
              </w:rPr>
              <w:t>Pension issues</w:t>
            </w:r>
            <w:r w:rsidRPr="00A518C1">
              <w:rPr>
                <w:sz w:val="18"/>
                <w:szCs w:val="18"/>
                <w:lang w:eastAsia="en-GB"/>
              </w:rPr>
              <w:t xml:space="preserve"> - McCloud / Matthews / cost cap judicial review / scheme valuation</w:t>
            </w:r>
          </w:p>
        </w:tc>
        <w:tc>
          <w:tcPr>
            <w:tcW w:w="3060" w:type="dxa"/>
            <w:tcBorders>
              <w:top w:val="nil"/>
              <w:left w:val="nil"/>
              <w:bottom w:val="single" w:sz="8" w:space="0" w:color="auto"/>
              <w:right w:val="single" w:sz="8" w:space="0" w:color="auto"/>
            </w:tcBorders>
            <w:shd w:val="clear" w:color="auto" w:fill="auto"/>
            <w:hideMark/>
          </w:tcPr>
          <w:p w14:paraId="3F1F5902" w14:textId="77777777" w:rsidR="00905743" w:rsidRPr="00A518C1" w:rsidRDefault="00905743" w:rsidP="00905743">
            <w:pPr>
              <w:rPr>
                <w:sz w:val="18"/>
                <w:szCs w:val="18"/>
                <w:lang w:eastAsia="en-GB"/>
              </w:rPr>
            </w:pPr>
            <w:r w:rsidRPr="00A518C1">
              <w:rPr>
                <w:sz w:val="18"/>
                <w:szCs w:val="18"/>
                <w:lang w:eastAsia="en-GB"/>
              </w:rPr>
              <w:t>Additional costs may fall to Fire Authority.  Difficulty in recruiting sufficiently skilled resources.</w:t>
            </w:r>
          </w:p>
        </w:tc>
        <w:tc>
          <w:tcPr>
            <w:tcW w:w="3100" w:type="dxa"/>
            <w:tcBorders>
              <w:top w:val="nil"/>
              <w:left w:val="nil"/>
              <w:bottom w:val="single" w:sz="8" w:space="0" w:color="auto"/>
              <w:right w:val="single" w:sz="8" w:space="0" w:color="auto"/>
            </w:tcBorders>
            <w:shd w:val="clear" w:color="auto" w:fill="auto"/>
            <w:hideMark/>
          </w:tcPr>
          <w:p w14:paraId="30A66936" w14:textId="77777777" w:rsidR="00905743" w:rsidRPr="00A518C1" w:rsidRDefault="00905743" w:rsidP="00905743">
            <w:pPr>
              <w:rPr>
                <w:sz w:val="18"/>
                <w:szCs w:val="18"/>
                <w:lang w:eastAsia="en-GB"/>
              </w:rPr>
            </w:pPr>
            <w:r w:rsidRPr="00A518C1">
              <w:rPr>
                <w:sz w:val="18"/>
                <w:szCs w:val="18"/>
                <w:lang w:eastAsia="en-GB"/>
              </w:rPr>
              <w:t>Working closely with LGA / Pension Scheme Administrators and other Authorities to ensure consistent approach.</w:t>
            </w:r>
          </w:p>
        </w:tc>
        <w:tc>
          <w:tcPr>
            <w:tcW w:w="1280" w:type="dxa"/>
            <w:tcBorders>
              <w:top w:val="nil"/>
              <w:left w:val="nil"/>
              <w:bottom w:val="single" w:sz="8" w:space="0" w:color="auto"/>
              <w:right w:val="single" w:sz="8" w:space="0" w:color="auto"/>
            </w:tcBorders>
            <w:shd w:val="clear" w:color="auto" w:fill="auto"/>
            <w:noWrap/>
            <w:hideMark/>
          </w:tcPr>
          <w:p w14:paraId="7B1EFB07" w14:textId="77777777" w:rsidR="00905743" w:rsidRPr="00A518C1" w:rsidRDefault="00905743" w:rsidP="00905743">
            <w:pPr>
              <w:jc w:val="right"/>
              <w:rPr>
                <w:sz w:val="18"/>
                <w:szCs w:val="18"/>
                <w:lang w:eastAsia="en-GB"/>
              </w:rPr>
            </w:pPr>
            <w:r w:rsidRPr="00A518C1">
              <w:rPr>
                <w:sz w:val="18"/>
                <w:szCs w:val="18"/>
                <w:lang w:eastAsia="en-GB"/>
              </w:rPr>
              <w:t>1,000,000</w:t>
            </w:r>
          </w:p>
        </w:tc>
        <w:tc>
          <w:tcPr>
            <w:tcW w:w="1160" w:type="dxa"/>
            <w:tcBorders>
              <w:top w:val="nil"/>
              <w:left w:val="nil"/>
              <w:bottom w:val="single" w:sz="8" w:space="0" w:color="auto"/>
              <w:right w:val="single" w:sz="8" w:space="0" w:color="auto"/>
            </w:tcBorders>
            <w:shd w:val="clear" w:color="auto" w:fill="auto"/>
            <w:noWrap/>
            <w:hideMark/>
          </w:tcPr>
          <w:p w14:paraId="6E914782" w14:textId="77777777" w:rsidR="00905743" w:rsidRPr="00A518C1" w:rsidRDefault="00905743" w:rsidP="00905743">
            <w:pPr>
              <w:jc w:val="right"/>
              <w:rPr>
                <w:sz w:val="18"/>
                <w:szCs w:val="18"/>
                <w:lang w:eastAsia="en-GB"/>
              </w:rPr>
            </w:pPr>
            <w:r w:rsidRPr="00A518C1">
              <w:rPr>
                <w:sz w:val="18"/>
                <w:szCs w:val="18"/>
                <w:lang w:eastAsia="en-GB"/>
              </w:rPr>
              <w:t>0.4</w:t>
            </w:r>
          </w:p>
        </w:tc>
        <w:tc>
          <w:tcPr>
            <w:tcW w:w="1220" w:type="dxa"/>
            <w:tcBorders>
              <w:top w:val="nil"/>
              <w:left w:val="nil"/>
              <w:bottom w:val="single" w:sz="8" w:space="0" w:color="auto"/>
              <w:right w:val="single" w:sz="8" w:space="0" w:color="auto"/>
            </w:tcBorders>
            <w:shd w:val="clear" w:color="auto" w:fill="auto"/>
            <w:noWrap/>
            <w:hideMark/>
          </w:tcPr>
          <w:p w14:paraId="56712BC1" w14:textId="77777777" w:rsidR="00905743" w:rsidRPr="00A518C1" w:rsidRDefault="00905743" w:rsidP="00905743">
            <w:pPr>
              <w:jc w:val="right"/>
              <w:rPr>
                <w:sz w:val="18"/>
                <w:szCs w:val="18"/>
                <w:lang w:eastAsia="en-GB"/>
              </w:rPr>
            </w:pPr>
            <w:r w:rsidRPr="00A518C1">
              <w:rPr>
                <w:sz w:val="18"/>
                <w:szCs w:val="18"/>
                <w:lang w:eastAsia="en-GB"/>
              </w:rPr>
              <w:t>400,000</w:t>
            </w:r>
          </w:p>
        </w:tc>
      </w:tr>
      <w:tr w:rsidR="00905743" w:rsidRPr="00A518C1" w14:paraId="372D94F0" w14:textId="77777777" w:rsidTr="00905743">
        <w:trPr>
          <w:trHeight w:val="1470"/>
        </w:trPr>
        <w:tc>
          <w:tcPr>
            <w:tcW w:w="640" w:type="dxa"/>
            <w:tcBorders>
              <w:top w:val="nil"/>
              <w:left w:val="single" w:sz="8" w:space="0" w:color="auto"/>
              <w:bottom w:val="single" w:sz="8" w:space="0" w:color="auto"/>
              <w:right w:val="single" w:sz="8" w:space="0" w:color="auto"/>
            </w:tcBorders>
            <w:shd w:val="clear" w:color="auto" w:fill="auto"/>
            <w:hideMark/>
          </w:tcPr>
          <w:p w14:paraId="2DEDAE09" w14:textId="77777777" w:rsidR="00905743" w:rsidRPr="00A518C1" w:rsidRDefault="00905743" w:rsidP="00905743">
            <w:pPr>
              <w:jc w:val="right"/>
              <w:rPr>
                <w:sz w:val="18"/>
                <w:szCs w:val="18"/>
                <w:lang w:eastAsia="en-GB"/>
              </w:rPr>
            </w:pPr>
            <w:r w:rsidRPr="00A518C1">
              <w:rPr>
                <w:sz w:val="18"/>
                <w:szCs w:val="18"/>
                <w:lang w:eastAsia="en-GB"/>
              </w:rPr>
              <w:t>3</w:t>
            </w:r>
          </w:p>
        </w:tc>
        <w:tc>
          <w:tcPr>
            <w:tcW w:w="2740" w:type="dxa"/>
            <w:tcBorders>
              <w:top w:val="nil"/>
              <w:left w:val="nil"/>
              <w:bottom w:val="single" w:sz="8" w:space="0" w:color="auto"/>
              <w:right w:val="single" w:sz="8" w:space="0" w:color="auto"/>
            </w:tcBorders>
            <w:shd w:val="clear" w:color="auto" w:fill="auto"/>
            <w:hideMark/>
          </w:tcPr>
          <w:p w14:paraId="123A6D75" w14:textId="77777777" w:rsidR="00905743" w:rsidRPr="00A518C1" w:rsidRDefault="00905743" w:rsidP="00905743">
            <w:pPr>
              <w:rPr>
                <w:sz w:val="18"/>
                <w:szCs w:val="18"/>
                <w:lang w:eastAsia="en-GB"/>
              </w:rPr>
            </w:pPr>
            <w:r w:rsidRPr="00A518C1">
              <w:rPr>
                <w:sz w:val="18"/>
                <w:szCs w:val="18"/>
                <w:lang w:eastAsia="en-GB"/>
              </w:rPr>
              <w:t xml:space="preserve">Risk of </w:t>
            </w:r>
            <w:r w:rsidRPr="00A518C1">
              <w:rPr>
                <w:b/>
                <w:bCs/>
                <w:sz w:val="18"/>
                <w:szCs w:val="18"/>
                <w:lang w:eastAsia="en-GB"/>
              </w:rPr>
              <w:t>significant overspend</w:t>
            </w:r>
            <w:r w:rsidRPr="00A518C1">
              <w:rPr>
                <w:sz w:val="18"/>
                <w:szCs w:val="18"/>
                <w:lang w:eastAsia="en-GB"/>
              </w:rPr>
              <w:t xml:space="preserve"> against budgets due to price increases, undeliverable savings, supply chain issues, fixed price external contracts failing to deliver and potential requirement for market supplement to recruit staff.</w:t>
            </w:r>
          </w:p>
        </w:tc>
        <w:tc>
          <w:tcPr>
            <w:tcW w:w="3060" w:type="dxa"/>
            <w:tcBorders>
              <w:top w:val="nil"/>
              <w:left w:val="nil"/>
              <w:bottom w:val="single" w:sz="8" w:space="0" w:color="auto"/>
              <w:right w:val="single" w:sz="8" w:space="0" w:color="auto"/>
            </w:tcBorders>
            <w:shd w:val="clear" w:color="auto" w:fill="auto"/>
            <w:hideMark/>
          </w:tcPr>
          <w:p w14:paraId="6685E157" w14:textId="77777777" w:rsidR="00905743" w:rsidRPr="00A518C1" w:rsidRDefault="00905743" w:rsidP="00905743">
            <w:pPr>
              <w:rPr>
                <w:sz w:val="18"/>
                <w:szCs w:val="18"/>
                <w:lang w:eastAsia="en-GB"/>
              </w:rPr>
            </w:pPr>
            <w:r w:rsidRPr="00A518C1">
              <w:rPr>
                <w:sz w:val="18"/>
                <w:szCs w:val="18"/>
                <w:lang w:eastAsia="en-GB"/>
              </w:rPr>
              <w:t>Overspend against revenue budget in year which will have effect of reducing general reserves by the amount of the overspend</w:t>
            </w:r>
          </w:p>
        </w:tc>
        <w:tc>
          <w:tcPr>
            <w:tcW w:w="3100" w:type="dxa"/>
            <w:tcBorders>
              <w:top w:val="nil"/>
              <w:left w:val="nil"/>
              <w:bottom w:val="single" w:sz="8" w:space="0" w:color="auto"/>
              <w:right w:val="single" w:sz="8" w:space="0" w:color="auto"/>
            </w:tcBorders>
            <w:shd w:val="clear" w:color="auto" w:fill="auto"/>
            <w:hideMark/>
          </w:tcPr>
          <w:p w14:paraId="3922BD84" w14:textId="77777777" w:rsidR="00905743" w:rsidRPr="00A518C1" w:rsidRDefault="00905743" w:rsidP="00905743">
            <w:pPr>
              <w:rPr>
                <w:sz w:val="18"/>
                <w:szCs w:val="18"/>
                <w:lang w:eastAsia="en-GB"/>
              </w:rPr>
            </w:pPr>
            <w:r w:rsidRPr="00A518C1">
              <w:rPr>
                <w:sz w:val="18"/>
                <w:szCs w:val="18"/>
                <w:lang w:eastAsia="en-GB"/>
              </w:rPr>
              <w:t>Regular budget monitoring which allows early identification of problems and corrective action to be undertaken.</w:t>
            </w:r>
          </w:p>
        </w:tc>
        <w:tc>
          <w:tcPr>
            <w:tcW w:w="1280" w:type="dxa"/>
            <w:tcBorders>
              <w:top w:val="nil"/>
              <w:left w:val="nil"/>
              <w:bottom w:val="single" w:sz="8" w:space="0" w:color="auto"/>
              <w:right w:val="single" w:sz="8" w:space="0" w:color="auto"/>
            </w:tcBorders>
            <w:shd w:val="clear" w:color="auto" w:fill="auto"/>
            <w:noWrap/>
            <w:hideMark/>
          </w:tcPr>
          <w:p w14:paraId="04CD54E9" w14:textId="77777777" w:rsidR="00905743" w:rsidRPr="00A518C1" w:rsidRDefault="00905743" w:rsidP="00905743">
            <w:pPr>
              <w:jc w:val="right"/>
              <w:rPr>
                <w:sz w:val="18"/>
                <w:szCs w:val="18"/>
                <w:lang w:eastAsia="en-GB"/>
              </w:rPr>
            </w:pPr>
            <w:r w:rsidRPr="00A518C1">
              <w:rPr>
                <w:sz w:val="18"/>
                <w:szCs w:val="18"/>
                <w:lang w:eastAsia="en-GB"/>
              </w:rPr>
              <w:t>1,000,000</w:t>
            </w:r>
          </w:p>
        </w:tc>
        <w:tc>
          <w:tcPr>
            <w:tcW w:w="1160" w:type="dxa"/>
            <w:tcBorders>
              <w:top w:val="nil"/>
              <w:left w:val="nil"/>
              <w:bottom w:val="single" w:sz="8" w:space="0" w:color="auto"/>
              <w:right w:val="single" w:sz="8" w:space="0" w:color="auto"/>
            </w:tcBorders>
            <w:shd w:val="clear" w:color="auto" w:fill="auto"/>
            <w:noWrap/>
            <w:hideMark/>
          </w:tcPr>
          <w:p w14:paraId="543F2DF5" w14:textId="77777777" w:rsidR="00905743" w:rsidRPr="00A518C1" w:rsidRDefault="00905743" w:rsidP="00905743">
            <w:pPr>
              <w:jc w:val="right"/>
              <w:rPr>
                <w:sz w:val="18"/>
                <w:szCs w:val="18"/>
                <w:lang w:eastAsia="en-GB"/>
              </w:rPr>
            </w:pPr>
            <w:r w:rsidRPr="00A518C1">
              <w:rPr>
                <w:sz w:val="18"/>
                <w:szCs w:val="18"/>
                <w:lang w:eastAsia="en-GB"/>
              </w:rPr>
              <w:t>0.4</w:t>
            </w:r>
          </w:p>
        </w:tc>
        <w:tc>
          <w:tcPr>
            <w:tcW w:w="1220" w:type="dxa"/>
            <w:tcBorders>
              <w:top w:val="nil"/>
              <w:left w:val="nil"/>
              <w:bottom w:val="single" w:sz="8" w:space="0" w:color="auto"/>
              <w:right w:val="single" w:sz="8" w:space="0" w:color="auto"/>
            </w:tcBorders>
            <w:shd w:val="clear" w:color="auto" w:fill="auto"/>
            <w:noWrap/>
            <w:hideMark/>
          </w:tcPr>
          <w:p w14:paraId="16D2FC81" w14:textId="77777777" w:rsidR="00905743" w:rsidRPr="00A518C1" w:rsidRDefault="00905743" w:rsidP="00905743">
            <w:pPr>
              <w:jc w:val="right"/>
              <w:rPr>
                <w:sz w:val="18"/>
                <w:szCs w:val="18"/>
                <w:lang w:eastAsia="en-GB"/>
              </w:rPr>
            </w:pPr>
            <w:r w:rsidRPr="00A518C1">
              <w:rPr>
                <w:sz w:val="18"/>
                <w:szCs w:val="18"/>
                <w:lang w:eastAsia="en-GB"/>
              </w:rPr>
              <w:t>400,000</w:t>
            </w:r>
          </w:p>
        </w:tc>
      </w:tr>
      <w:tr w:rsidR="00905743" w:rsidRPr="00A518C1" w14:paraId="7850F5B9" w14:textId="77777777" w:rsidTr="00905743">
        <w:trPr>
          <w:trHeight w:val="2003"/>
        </w:trPr>
        <w:tc>
          <w:tcPr>
            <w:tcW w:w="640" w:type="dxa"/>
            <w:tcBorders>
              <w:top w:val="nil"/>
              <w:left w:val="single" w:sz="8" w:space="0" w:color="auto"/>
              <w:bottom w:val="single" w:sz="8" w:space="0" w:color="auto"/>
              <w:right w:val="single" w:sz="8" w:space="0" w:color="auto"/>
            </w:tcBorders>
            <w:shd w:val="clear" w:color="auto" w:fill="auto"/>
            <w:hideMark/>
          </w:tcPr>
          <w:p w14:paraId="6AB79E3E" w14:textId="77777777" w:rsidR="00905743" w:rsidRPr="00A518C1" w:rsidRDefault="00905743" w:rsidP="00905743">
            <w:pPr>
              <w:jc w:val="right"/>
              <w:rPr>
                <w:sz w:val="18"/>
                <w:szCs w:val="18"/>
                <w:lang w:eastAsia="en-GB"/>
              </w:rPr>
            </w:pPr>
            <w:r w:rsidRPr="00A518C1">
              <w:rPr>
                <w:sz w:val="18"/>
                <w:szCs w:val="18"/>
                <w:lang w:eastAsia="en-GB"/>
              </w:rPr>
              <w:t>4</w:t>
            </w:r>
          </w:p>
        </w:tc>
        <w:tc>
          <w:tcPr>
            <w:tcW w:w="2740" w:type="dxa"/>
            <w:tcBorders>
              <w:top w:val="nil"/>
              <w:left w:val="nil"/>
              <w:bottom w:val="single" w:sz="8" w:space="0" w:color="auto"/>
              <w:right w:val="single" w:sz="8" w:space="0" w:color="auto"/>
            </w:tcBorders>
            <w:shd w:val="clear" w:color="auto" w:fill="auto"/>
            <w:hideMark/>
          </w:tcPr>
          <w:p w14:paraId="213E8F4F" w14:textId="77777777" w:rsidR="00905743" w:rsidRPr="00A518C1" w:rsidRDefault="00905743" w:rsidP="00905743">
            <w:pPr>
              <w:rPr>
                <w:sz w:val="18"/>
                <w:szCs w:val="18"/>
                <w:lang w:eastAsia="en-GB"/>
              </w:rPr>
            </w:pPr>
            <w:r w:rsidRPr="00A518C1">
              <w:rPr>
                <w:b/>
                <w:bCs/>
                <w:sz w:val="18"/>
                <w:szCs w:val="18"/>
                <w:lang w:eastAsia="en-GB"/>
              </w:rPr>
              <w:t>Legal challenges</w:t>
            </w:r>
            <w:r w:rsidRPr="00A518C1">
              <w:rPr>
                <w:sz w:val="18"/>
                <w:szCs w:val="18"/>
                <w:lang w:eastAsia="en-GB"/>
              </w:rPr>
              <w:t xml:space="preserve"> and discretionary compensation awards or litigation</w:t>
            </w:r>
          </w:p>
        </w:tc>
        <w:tc>
          <w:tcPr>
            <w:tcW w:w="3060" w:type="dxa"/>
            <w:tcBorders>
              <w:top w:val="nil"/>
              <w:left w:val="nil"/>
              <w:bottom w:val="single" w:sz="8" w:space="0" w:color="auto"/>
              <w:right w:val="single" w:sz="8" w:space="0" w:color="auto"/>
            </w:tcBorders>
            <w:shd w:val="clear" w:color="auto" w:fill="auto"/>
            <w:hideMark/>
          </w:tcPr>
          <w:p w14:paraId="780C9AEB" w14:textId="77777777" w:rsidR="00905743" w:rsidRPr="00A518C1" w:rsidRDefault="00905743" w:rsidP="00905743">
            <w:pPr>
              <w:rPr>
                <w:sz w:val="18"/>
                <w:szCs w:val="18"/>
                <w:lang w:eastAsia="en-GB"/>
              </w:rPr>
            </w:pPr>
            <w:r w:rsidRPr="00A518C1">
              <w:rPr>
                <w:sz w:val="18"/>
                <w:szCs w:val="18"/>
                <w:lang w:eastAsia="en-GB"/>
              </w:rPr>
              <w:t>Reputational damage; Legal costs, employment tribunal costs unbudgeted</w:t>
            </w:r>
          </w:p>
        </w:tc>
        <w:tc>
          <w:tcPr>
            <w:tcW w:w="3100" w:type="dxa"/>
            <w:tcBorders>
              <w:top w:val="nil"/>
              <w:left w:val="nil"/>
              <w:bottom w:val="single" w:sz="8" w:space="0" w:color="auto"/>
              <w:right w:val="single" w:sz="8" w:space="0" w:color="auto"/>
            </w:tcBorders>
            <w:shd w:val="clear" w:color="auto" w:fill="auto"/>
            <w:hideMark/>
          </w:tcPr>
          <w:p w14:paraId="16A025AE" w14:textId="77777777" w:rsidR="00905743" w:rsidRPr="00A518C1" w:rsidRDefault="00905743" w:rsidP="00905743">
            <w:pPr>
              <w:rPr>
                <w:sz w:val="18"/>
                <w:szCs w:val="18"/>
                <w:lang w:eastAsia="en-GB"/>
              </w:rPr>
            </w:pPr>
            <w:r w:rsidRPr="00A518C1">
              <w:rPr>
                <w:sz w:val="18"/>
                <w:szCs w:val="18"/>
                <w:lang w:eastAsia="en-GB"/>
              </w:rPr>
              <w:t>Professional HR advice, policies, procedures, management training, legal advice</w:t>
            </w:r>
          </w:p>
        </w:tc>
        <w:tc>
          <w:tcPr>
            <w:tcW w:w="1280" w:type="dxa"/>
            <w:tcBorders>
              <w:top w:val="nil"/>
              <w:left w:val="nil"/>
              <w:bottom w:val="single" w:sz="8" w:space="0" w:color="auto"/>
              <w:right w:val="single" w:sz="8" w:space="0" w:color="auto"/>
            </w:tcBorders>
            <w:shd w:val="clear" w:color="auto" w:fill="auto"/>
            <w:noWrap/>
            <w:hideMark/>
          </w:tcPr>
          <w:p w14:paraId="18D244E0" w14:textId="77777777" w:rsidR="00905743" w:rsidRPr="00A518C1" w:rsidRDefault="00905743" w:rsidP="00905743">
            <w:pPr>
              <w:jc w:val="right"/>
              <w:rPr>
                <w:sz w:val="18"/>
                <w:szCs w:val="18"/>
                <w:lang w:eastAsia="en-GB"/>
              </w:rPr>
            </w:pPr>
            <w:r w:rsidRPr="00A518C1">
              <w:rPr>
                <w:sz w:val="18"/>
                <w:szCs w:val="18"/>
                <w:lang w:eastAsia="en-GB"/>
              </w:rPr>
              <w:t>1,200,000</w:t>
            </w:r>
          </w:p>
        </w:tc>
        <w:tc>
          <w:tcPr>
            <w:tcW w:w="1160" w:type="dxa"/>
            <w:tcBorders>
              <w:top w:val="nil"/>
              <w:left w:val="nil"/>
              <w:bottom w:val="single" w:sz="8" w:space="0" w:color="auto"/>
              <w:right w:val="single" w:sz="8" w:space="0" w:color="auto"/>
            </w:tcBorders>
            <w:shd w:val="clear" w:color="auto" w:fill="auto"/>
            <w:noWrap/>
            <w:hideMark/>
          </w:tcPr>
          <w:p w14:paraId="55A915D9" w14:textId="77777777" w:rsidR="00905743" w:rsidRPr="00A518C1" w:rsidRDefault="00905743" w:rsidP="00905743">
            <w:pPr>
              <w:jc w:val="right"/>
              <w:rPr>
                <w:sz w:val="18"/>
                <w:szCs w:val="18"/>
                <w:lang w:eastAsia="en-GB"/>
              </w:rPr>
            </w:pPr>
            <w:r w:rsidRPr="00A518C1">
              <w:rPr>
                <w:sz w:val="18"/>
                <w:szCs w:val="18"/>
                <w:lang w:eastAsia="en-GB"/>
              </w:rPr>
              <w:t>0.3</w:t>
            </w:r>
          </w:p>
        </w:tc>
        <w:tc>
          <w:tcPr>
            <w:tcW w:w="1220" w:type="dxa"/>
            <w:tcBorders>
              <w:top w:val="nil"/>
              <w:left w:val="nil"/>
              <w:bottom w:val="single" w:sz="8" w:space="0" w:color="auto"/>
              <w:right w:val="single" w:sz="8" w:space="0" w:color="auto"/>
            </w:tcBorders>
            <w:shd w:val="clear" w:color="auto" w:fill="auto"/>
            <w:noWrap/>
            <w:hideMark/>
          </w:tcPr>
          <w:p w14:paraId="52B802D1" w14:textId="77777777" w:rsidR="00905743" w:rsidRPr="00A518C1" w:rsidRDefault="00905743" w:rsidP="00905743">
            <w:pPr>
              <w:jc w:val="right"/>
              <w:rPr>
                <w:sz w:val="18"/>
                <w:szCs w:val="18"/>
                <w:lang w:eastAsia="en-GB"/>
              </w:rPr>
            </w:pPr>
            <w:r w:rsidRPr="00A518C1">
              <w:rPr>
                <w:sz w:val="18"/>
                <w:szCs w:val="18"/>
                <w:lang w:eastAsia="en-GB"/>
              </w:rPr>
              <w:t>360,000</w:t>
            </w:r>
          </w:p>
        </w:tc>
      </w:tr>
      <w:tr w:rsidR="00905743" w:rsidRPr="00A518C1" w14:paraId="384C97C8" w14:textId="77777777" w:rsidTr="00905743">
        <w:trPr>
          <w:trHeight w:val="1028"/>
        </w:trPr>
        <w:tc>
          <w:tcPr>
            <w:tcW w:w="640" w:type="dxa"/>
            <w:tcBorders>
              <w:top w:val="nil"/>
              <w:left w:val="single" w:sz="8" w:space="0" w:color="auto"/>
              <w:bottom w:val="single" w:sz="8" w:space="0" w:color="auto"/>
              <w:right w:val="single" w:sz="8" w:space="0" w:color="auto"/>
            </w:tcBorders>
            <w:shd w:val="clear" w:color="auto" w:fill="auto"/>
            <w:hideMark/>
          </w:tcPr>
          <w:p w14:paraId="54EFA654" w14:textId="77777777" w:rsidR="00905743" w:rsidRPr="00A518C1" w:rsidRDefault="00905743" w:rsidP="00905743">
            <w:pPr>
              <w:jc w:val="right"/>
              <w:rPr>
                <w:sz w:val="18"/>
                <w:szCs w:val="18"/>
                <w:lang w:eastAsia="en-GB"/>
              </w:rPr>
            </w:pPr>
            <w:r w:rsidRPr="00A518C1">
              <w:rPr>
                <w:sz w:val="18"/>
                <w:szCs w:val="18"/>
                <w:lang w:eastAsia="en-GB"/>
              </w:rPr>
              <w:t>5</w:t>
            </w:r>
          </w:p>
        </w:tc>
        <w:tc>
          <w:tcPr>
            <w:tcW w:w="2740" w:type="dxa"/>
            <w:tcBorders>
              <w:top w:val="nil"/>
              <w:left w:val="nil"/>
              <w:bottom w:val="single" w:sz="8" w:space="0" w:color="auto"/>
              <w:right w:val="single" w:sz="8" w:space="0" w:color="auto"/>
            </w:tcBorders>
            <w:shd w:val="clear" w:color="auto" w:fill="auto"/>
            <w:hideMark/>
          </w:tcPr>
          <w:p w14:paraId="08CCC28E" w14:textId="3E17A34F" w:rsidR="00905743" w:rsidRPr="00A518C1" w:rsidRDefault="00905743" w:rsidP="00905743">
            <w:pPr>
              <w:rPr>
                <w:sz w:val="18"/>
                <w:szCs w:val="18"/>
                <w:lang w:eastAsia="en-GB"/>
              </w:rPr>
            </w:pPr>
            <w:r w:rsidRPr="00A518C1">
              <w:rPr>
                <w:sz w:val="18"/>
                <w:szCs w:val="18"/>
                <w:lang w:eastAsia="en-GB"/>
              </w:rPr>
              <w:t xml:space="preserve">Unanticipated </w:t>
            </w:r>
            <w:r w:rsidRPr="00A518C1">
              <w:rPr>
                <w:b/>
                <w:bCs/>
                <w:sz w:val="18"/>
                <w:szCs w:val="18"/>
                <w:lang w:eastAsia="en-GB"/>
              </w:rPr>
              <w:t>loss of income</w:t>
            </w:r>
            <w:r w:rsidRPr="00A518C1">
              <w:rPr>
                <w:sz w:val="18"/>
                <w:szCs w:val="18"/>
                <w:lang w:eastAsia="en-GB"/>
              </w:rPr>
              <w:t xml:space="preserve"> </w:t>
            </w:r>
            <w:r w:rsidR="00716FCE" w:rsidRPr="00A518C1">
              <w:rPr>
                <w:sz w:val="18"/>
                <w:szCs w:val="18"/>
                <w:lang w:eastAsia="en-GB"/>
              </w:rPr>
              <w:t>e.g.</w:t>
            </w:r>
            <w:r w:rsidRPr="00A518C1">
              <w:rPr>
                <w:sz w:val="18"/>
                <w:szCs w:val="18"/>
                <w:lang w:eastAsia="en-GB"/>
              </w:rPr>
              <w:t xml:space="preserve"> from withdrawal of </w:t>
            </w:r>
            <w:proofErr w:type="gramStart"/>
            <w:r w:rsidRPr="00A518C1">
              <w:rPr>
                <w:sz w:val="18"/>
                <w:szCs w:val="18"/>
                <w:lang w:eastAsia="en-GB"/>
              </w:rPr>
              <w:t>one off</w:t>
            </w:r>
            <w:proofErr w:type="gramEnd"/>
            <w:r w:rsidRPr="00A518C1">
              <w:rPr>
                <w:sz w:val="18"/>
                <w:szCs w:val="18"/>
                <w:lang w:eastAsia="en-GB"/>
              </w:rPr>
              <w:t xml:space="preserve"> grants / impact of one year settlement</w:t>
            </w:r>
          </w:p>
        </w:tc>
        <w:tc>
          <w:tcPr>
            <w:tcW w:w="3060" w:type="dxa"/>
            <w:tcBorders>
              <w:top w:val="nil"/>
              <w:left w:val="nil"/>
              <w:bottom w:val="single" w:sz="8" w:space="0" w:color="auto"/>
              <w:right w:val="single" w:sz="8" w:space="0" w:color="auto"/>
            </w:tcBorders>
            <w:shd w:val="clear" w:color="auto" w:fill="auto"/>
            <w:hideMark/>
          </w:tcPr>
          <w:p w14:paraId="3250737D" w14:textId="77777777" w:rsidR="00905743" w:rsidRPr="00A518C1" w:rsidRDefault="00905743" w:rsidP="00905743">
            <w:pPr>
              <w:rPr>
                <w:sz w:val="18"/>
                <w:szCs w:val="18"/>
                <w:lang w:eastAsia="en-GB"/>
              </w:rPr>
            </w:pPr>
            <w:r w:rsidRPr="00A518C1">
              <w:rPr>
                <w:sz w:val="18"/>
                <w:szCs w:val="18"/>
                <w:lang w:eastAsia="en-GB"/>
              </w:rPr>
              <w:t>Timings of budget process may not allow sufficient time to plan for such changes</w:t>
            </w:r>
          </w:p>
        </w:tc>
        <w:tc>
          <w:tcPr>
            <w:tcW w:w="3100" w:type="dxa"/>
            <w:tcBorders>
              <w:top w:val="nil"/>
              <w:left w:val="nil"/>
              <w:bottom w:val="single" w:sz="8" w:space="0" w:color="auto"/>
              <w:right w:val="single" w:sz="8" w:space="0" w:color="auto"/>
            </w:tcBorders>
            <w:shd w:val="clear" w:color="auto" w:fill="auto"/>
            <w:hideMark/>
          </w:tcPr>
          <w:p w14:paraId="536B5B33" w14:textId="77777777" w:rsidR="00905743" w:rsidRPr="00A518C1" w:rsidRDefault="00905743" w:rsidP="00905743">
            <w:pPr>
              <w:rPr>
                <w:sz w:val="18"/>
                <w:szCs w:val="18"/>
                <w:lang w:eastAsia="en-GB"/>
              </w:rPr>
            </w:pPr>
            <w:r w:rsidRPr="00A518C1">
              <w:rPr>
                <w:sz w:val="18"/>
                <w:szCs w:val="18"/>
                <w:lang w:eastAsia="en-GB"/>
              </w:rPr>
              <w:t>Network of Chief Financial Officers keep abreast of developments.  Futures 25 efficiency programme identifying a range of potential savings.</w:t>
            </w:r>
          </w:p>
        </w:tc>
        <w:tc>
          <w:tcPr>
            <w:tcW w:w="1280" w:type="dxa"/>
            <w:tcBorders>
              <w:top w:val="nil"/>
              <w:left w:val="nil"/>
              <w:bottom w:val="single" w:sz="8" w:space="0" w:color="auto"/>
              <w:right w:val="single" w:sz="8" w:space="0" w:color="auto"/>
            </w:tcBorders>
            <w:shd w:val="clear" w:color="auto" w:fill="auto"/>
            <w:noWrap/>
            <w:hideMark/>
          </w:tcPr>
          <w:p w14:paraId="589696BB" w14:textId="77777777" w:rsidR="00905743" w:rsidRPr="00A518C1" w:rsidRDefault="00905743" w:rsidP="00905743">
            <w:pPr>
              <w:jc w:val="right"/>
              <w:rPr>
                <w:sz w:val="18"/>
                <w:szCs w:val="18"/>
                <w:lang w:eastAsia="en-GB"/>
              </w:rPr>
            </w:pPr>
            <w:r w:rsidRPr="00A518C1">
              <w:rPr>
                <w:sz w:val="18"/>
                <w:szCs w:val="18"/>
                <w:lang w:eastAsia="en-GB"/>
              </w:rPr>
              <w:t>1,000,000</w:t>
            </w:r>
          </w:p>
        </w:tc>
        <w:tc>
          <w:tcPr>
            <w:tcW w:w="1160" w:type="dxa"/>
            <w:tcBorders>
              <w:top w:val="nil"/>
              <w:left w:val="nil"/>
              <w:bottom w:val="single" w:sz="8" w:space="0" w:color="auto"/>
              <w:right w:val="single" w:sz="8" w:space="0" w:color="auto"/>
            </w:tcBorders>
            <w:shd w:val="clear" w:color="auto" w:fill="auto"/>
            <w:noWrap/>
            <w:hideMark/>
          </w:tcPr>
          <w:p w14:paraId="242170A8" w14:textId="77777777" w:rsidR="00905743" w:rsidRPr="00A518C1" w:rsidRDefault="00905743" w:rsidP="00905743">
            <w:pPr>
              <w:jc w:val="right"/>
              <w:rPr>
                <w:sz w:val="18"/>
                <w:szCs w:val="18"/>
                <w:lang w:eastAsia="en-GB"/>
              </w:rPr>
            </w:pPr>
            <w:r w:rsidRPr="00A518C1">
              <w:rPr>
                <w:sz w:val="18"/>
                <w:szCs w:val="18"/>
                <w:lang w:eastAsia="en-GB"/>
              </w:rPr>
              <w:t>0.3</w:t>
            </w:r>
          </w:p>
        </w:tc>
        <w:tc>
          <w:tcPr>
            <w:tcW w:w="1220" w:type="dxa"/>
            <w:tcBorders>
              <w:top w:val="nil"/>
              <w:left w:val="nil"/>
              <w:bottom w:val="single" w:sz="8" w:space="0" w:color="auto"/>
              <w:right w:val="single" w:sz="8" w:space="0" w:color="auto"/>
            </w:tcBorders>
            <w:shd w:val="clear" w:color="auto" w:fill="auto"/>
            <w:noWrap/>
            <w:hideMark/>
          </w:tcPr>
          <w:p w14:paraId="31EBA603" w14:textId="77777777" w:rsidR="00905743" w:rsidRPr="00A518C1" w:rsidRDefault="00905743" w:rsidP="00905743">
            <w:pPr>
              <w:jc w:val="right"/>
              <w:rPr>
                <w:sz w:val="18"/>
                <w:szCs w:val="18"/>
                <w:lang w:eastAsia="en-GB"/>
              </w:rPr>
            </w:pPr>
            <w:r w:rsidRPr="00A518C1">
              <w:rPr>
                <w:sz w:val="18"/>
                <w:szCs w:val="18"/>
                <w:lang w:eastAsia="en-GB"/>
              </w:rPr>
              <w:t>300,000</w:t>
            </w:r>
          </w:p>
        </w:tc>
      </w:tr>
      <w:tr w:rsidR="00905743" w:rsidRPr="00A518C1" w14:paraId="5F1DFD64" w14:textId="77777777" w:rsidTr="00905743">
        <w:trPr>
          <w:trHeight w:val="1427"/>
        </w:trPr>
        <w:tc>
          <w:tcPr>
            <w:tcW w:w="640" w:type="dxa"/>
            <w:tcBorders>
              <w:top w:val="nil"/>
              <w:left w:val="single" w:sz="8" w:space="0" w:color="auto"/>
              <w:bottom w:val="single" w:sz="8" w:space="0" w:color="auto"/>
              <w:right w:val="single" w:sz="8" w:space="0" w:color="auto"/>
            </w:tcBorders>
            <w:shd w:val="clear" w:color="auto" w:fill="auto"/>
            <w:hideMark/>
          </w:tcPr>
          <w:p w14:paraId="6D67B390" w14:textId="77777777" w:rsidR="00905743" w:rsidRPr="00A518C1" w:rsidRDefault="00905743" w:rsidP="00905743">
            <w:pPr>
              <w:jc w:val="right"/>
              <w:rPr>
                <w:sz w:val="18"/>
                <w:szCs w:val="18"/>
                <w:lang w:eastAsia="en-GB"/>
              </w:rPr>
            </w:pPr>
            <w:r w:rsidRPr="00A518C1">
              <w:rPr>
                <w:sz w:val="18"/>
                <w:szCs w:val="18"/>
                <w:lang w:eastAsia="en-GB"/>
              </w:rPr>
              <w:lastRenderedPageBreak/>
              <w:t>6</w:t>
            </w:r>
          </w:p>
        </w:tc>
        <w:tc>
          <w:tcPr>
            <w:tcW w:w="2740" w:type="dxa"/>
            <w:tcBorders>
              <w:top w:val="nil"/>
              <w:left w:val="nil"/>
              <w:bottom w:val="single" w:sz="8" w:space="0" w:color="auto"/>
              <w:right w:val="single" w:sz="8" w:space="0" w:color="auto"/>
            </w:tcBorders>
            <w:shd w:val="clear" w:color="auto" w:fill="auto"/>
            <w:hideMark/>
          </w:tcPr>
          <w:p w14:paraId="3E608855" w14:textId="77777777" w:rsidR="00905743" w:rsidRPr="00A518C1" w:rsidRDefault="00905743" w:rsidP="00905743">
            <w:pPr>
              <w:rPr>
                <w:sz w:val="18"/>
                <w:szCs w:val="18"/>
                <w:lang w:eastAsia="en-GB"/>
              </w:rPr>
            </w:pPr>
            <w:r w:rsidRPr="00A518C1">
              <w:rPr>
                <w:b/>
                <w:bCs/>
                <w:sz w:val="18"/>
                <w:szCs w:val="18"/>
                <w:lang w:eastAsia="en-GB"/>
              </w:rPr>
              <w:t>Replacement Mobilising System</w:t>
            </w:r>
            <w:r w:rsidRPr="00A518C1">
              <w:rPr>
                <w:sz w:val="18"/>
                <w:szCs w:val="18"/>
                <w:lang w:eastAsia="en-GB"/>
              </w:rPr>
              <w:t xml:space="preserve"> failure to deliver new system on time and on budget.</w:t>
            </w:r>
          </w:p>
        </w:tc>
        <w:tc>
          <w:tcPr>
            <w:tcW w:w="3060" w:type="dxa"/>
            <w:tcBorders>
              <w:top w:val="nil"/>
              <w:left w:val="nil"/>
              <w:bottom w:val="single" w:sz="8" w:space="0" w:color="auto"/>
              <w:right w:val="single" w:sz="8" w:space="0" w:color="auto"/>
            </w:tcBorders>
            <w:shd w:val="clear" w:color="auto" w:fill="auto"/>
            <w:hideMark/>
          </w:tcPr>
          <w:p w14:paraId="185B09CF" w14:textId="77777777" w:rsidR="00905743" w:rsidRPr="00A518C1" w:rsidRDefault="00905743" w:rsidP="00905743">
            <w:pPr>
              <w:rPr>
                <w:sz w:val="18"/>
                <w:szCs w:val="18"/>
                <w:lang w:eastAsia="en-GB"/>
              </w:rPr>
            </w:pPr>
            <w:r w:rsidRPr="00A518C1">
              <w:rPr>
                <w:sz w:val="18"/>
                <w:szCs w:val="18"/>
                <w:lang w:eastAsia="en-GB"/>
              </w:rPr>
              <w:t>Could result in significant costs until replacement system successfully installed</w:t>
            </w:r>
          </w:p>
        </w:tc>
        <w:tc>
          <w:tcPr>
            <w:tcW w:w="3100" w:type="dxa"/>
            <w:tcBorders>
              <w:top w:val="nil"/>
              <w:left w:val="nil"/>
              <w:bottom w:val="single" w:sz="8" w:space="0" w:color="auto"/>
              <w:right w:val="single" w:sz="8" w:space="0" w:color="auto"/>
            </w:tcBorders>
            <w:shd w:val="clear" w:color="auto" w:fill="auto"/>
            <w:hideMark/>
          </w:tcPr>
          <w:p w14:paraId="7794175F" w14:textId="77777777" w:rsidR="00905743" w:rsidRPr="00A518C1" w:rsidRDefault="00905743" w:rsidP="00905743">
            <w:pPr>
              <w:rPr>
                <w:sz w:val="18"/>
                <w:szCs w:val="18"/>
                <w:lang w:eastAsia="en-GB"/>
              </w:rPr>
            </w:pPr>
            <w:r w:rsidRPr="00A518C1">
              <w:rPr>
                <w:sz w:val="18"/>
                <w:szCs w:val="18"/>
                <w:lang w:eastAsia="en-GB"/>
              </w:rPr>
              <w:t>Currently highest risk on corporate risk register.  Project being carefully managed and monitored by strategic leadership team and Policy and Strategy Committee.</w:t>
            </w:r>
          </w:p>
        </w:tc>
        <w:tc>
          <w:tcPr>
            <w:tcW w:w="1280" w:type="dxa"/>
            <w:tcBorders>
              <w:top w:val="nil"/>
              <w:left w:val="nil"/>
              <w:bottom w:val="single" w:sz="8" w:space="0" w:color="auto"/>
              <w:right w:val="single" w:sz="8" w:space="0" w:color="auto"/>
            </w:tcBorders>
            <w:shd w:val="clear" w:color="auto" w:fill="auto"/>
            <w:noWrap/>
            <w:hideMark/>
          </w:tcPr>
          <w:p w14:paraId="07519B2A" w14:textId="77777777" w:rsidR="00905743" w:rsidRPr="00A518C1" w:rsidRDefault="00905743" w:rsidP="00905743">
            <w:pPr>
              <w:jc w:val="right"/>
              <w:rPr>
                <w:sz w:val="18"/>
                <w:szCs w:val="18"/>
                <w:lang w:eastAsia="en-GB"/>
              </w:rPr>
            </w:pPr>
            <w:r w:rsidRPr="00A518C1">
              <w:rPr>
                <w:sz w:val="18"/>
                <w:szCs w:val="18"/>
                <w:lang w:eastAsia="en-GB"/>
              </w:rPr>
              <w:t>1,000,000</w:t>
            </w:r>
          </w:p>
        </w:tc>
        <w:tc>
          <w:tcPr>
            <w:tcW w:w="1160" w:type="dxa"/>
            <w:tcBorders>
              <w:top w:val="nil"/>
              <w:left w:val="nil"/>
              <w:bottom w:val="single" w:sz="8" w:space="0" w:color="auto"/>
              <w:right w:val="single" w:sz="8" w:space="0" w:color="auto"/>
            </w:tcBorders>
            <w:shd w:val="clear" w:color="auto" w:fill="auto"/>
            <w:noWrap/>
            <w:hideMark/>
          </w:tcPr>
          <w:p w14:paraId="60BA5347" w14:textId="77777777" w:rsidR="00905743" w:rsidRPr="00A518C1" w:rsidRDefault="00905743" w:rsidP="00905743">
            <w:pPr>
              <w:jc w:val="right"/>
              <w:rPr>
                <w:sz w:val="18"/>
                <w:szCs w:val="18"/>
                <w:lang w:eastAsia="en-GB"/>
              </w:rPr>
            </w:pPr>
            <w:r w:rsidRPr="00A518C1">
              <w:rPr>
                <w:sz w:val="18"/>
                <w:szCs w:val="18"/>
                <w:lang w:eastAsia="en-GB"/>
              </w:rPr>
              <w:t>0.25</w:t>
            </w:r>
          </w:p>
        </w:tc>
        <w:tc>
          <w:tcPr>
            <w:tcW w:w="1220" w:type="dxa"/>
            <w:tcBorders>
              <w:top w:val="nil"/>
              <w:left w:val="nil"/>
              <w:bottom w:val="single" w:sz="8" w:space="0" w:color="auto"/>
              <w:right w:val="single" w:sz="8" w:space="0" w:color="auto"/>
            </w:tcBorders>
            <w:shd w:val="clear" w:color="auto" w:fill="auto"/>
            <w:noWrap/>
            <w:hideMark/>
          </w:tcPr>
          <w:p w14:paraId="6719AD66" w14:textId="77777777" w:rsidR="00905743" w:rsidRPr="00A518C1" w:rsidRDefault="00905743" w:rsidP="00905743">
            <w:pPr>
              <w:jc w:val="right"/>
              <w:rPr>
                <w:sz w:val="18"/>
                <w:szCs w:val="18"/>
                <w:lang w:eastAsia="en-GB"/>
              </w:rPr>
            </w:pPr>
            <w:r w:rsidRPr="00A518C1">
              <w:rPr>
                <w:sz w:val="18"/>
                <w:szCs w:val="18"/>
                <w:lang w:eastAsia="en-GB"/>
              </w:rPr>
              <w:t>250,000</w:t>
            </w:r>
          </w:p>
        </w:tc>
      </w:tr>
      <w:tr w:rsidR="00905743" w:rsidRPr="00A518C1" w14:paraId="41513B45" w14:textId="77777777" w:rsidTr="00905743">
        <w:trPr>
          <w:trHeight w:val="1320"/>
        </w:trPr>
        <w:tc>
          <w:tcPr>
            <w:tcW w:w="640" w:type="dxa"/>
            <w:tcBorders>
              <w:top w:val="nil"/>
              <w:left w:val="single" w:sz="8" w:space="0" w:color="auto"/>
              <w:bottom w:val="single" w:sz="8" w:space="0" w:color="auto"/>
              <w:right w:val="single" w:sz="8" w:space="0" w:color="auto"/>
            </w:tcBorders>
            <w:shd w:val="clear" w:color="auto" w:fill="auto"/>
            <w:hideMark/>
          </w:tcPr>
          <w:p w14:paraId="1C8ECF47" w14:textId="77777777" w:rsidR="00905743" w:rsidRPr="00A518C1" w:rsidRDefault="00905743" w:rsidP="00905743">
            <w:pPr>
              <w:jc w:val="right"/>
              <w:rPr>
                <w:sz w:val="18"/>
                <w:szCs w:val="18"/>
                <w:lang w:eastAsia="en-GB"/>
              </w:rPr>
            </w:pPr>
            <w:r w:rsidRPr="00A518C1">
              <w:rPr>
                <w:sz w:val="18"/>
                <w:szCs w:val="18"/>
                <w:lang w:eastAsia="en-GB"/>
              </w:rPr>
              <w:t>7</w:t>
            </w:r>
          </w:p>
        </w:tc>
        <w:tc>
          <w:tcPr>
            <w:tcW w:w="2740" w:type="dxa"/>
            <w:tcBorders>
              <w:top w:val="nil"/>
              <w:left w:val="nil"/>
              <w:bottom w:val="single" w:sz="8" w:space="0" w:color="auto"/>
              <w:right w:val="single" w:sz="8" w:space="0" w:color="auto"/>
            </w:tcBorders>
            <w:shd w:val="clear" w:color="auto" w:fill="auto"/>
            <w:hideMark/>
          </w:tcPr>
          <w:p w14:paraId="2DB2AA7D" w14:textId="77777777" w:rsidR="00905743" w:rsidRPr="00A518C1" w:rsidRDefault="00905743" w:rsidP="00905743">
            <w:pPr>
              <w:rPr>
                <w:b/>
                <w:bCs/>
                <w:sz w:val="18"/>
                <w:szCs w:val="18"/>
                <w:lang w:eastAsia="en-GB"/>
              </w:rPr>
            </w:pPr>
            <w:r w:rsidRPr="00A518C1">
              <w:rPr>
                <w:b/>
                <w:bCs/>
                <w:sz w:val="18"/>
                <w:szCs w:val="18"/>
                <w:lang w:eastAsia="en-GB"/>
              </w:rPr>
              <w:t>Inability to set a balanced budget</w:t>
            </w:r>
          </w:p>
        </w:tc>
        <w:tc>
          <w:tcPr>
            <w:tcW w:w="3060" w:type="dxa"/>
            <w:tcBorders>
              <w:top w:val="nil"/>
              <w:left w:val="nil"/>
              <w:bottom w:val="single" w:sz="8" w:space="0" w:color="auto"/>
              <w:right w:val="single" w:sz="8" w:space="0" w:color="auto"/>
            </w:tcBorders>
            <w:shd w:val="clear" w:color="auto" w:fill="auto"/>
            <w:hideMark/>
          </w:tcPr>
          <w:p w14:paraId="3A435321" w14:textId="77777777" w:rsidR="00905743" w:rsidRPr="00A518C1" w:rsidRDefault="00905743" w:rsidP="00905743">
            <w:pPr>
              <w:rPr>
                <w:sz w:val="18"/>
                <w:szCs w:val="18"/>
                <w:lang w:eastAsia="en-GB"/>
              </w:rPr>
            </w:pPr>
            <w:r w:rsidRPr="00A518C1">
              <w:rPr>
                <w:sz w:val="18"/>
                <w:szCs w:val="18"/>
                <w:lang w:eastAsia="en-GB"/>
              </w:rPr>
              <w:t>Budget set by Fire Authority is not in balance and reserves required to fund expenditure.</w:t>
            </w:r>
          </w:p>
        </w:tc>
        <w:tc>
          <w:tcPr>
            <w:tcW w:w="3100" w:type="dxa"/>
            <w:tcBorders>
              <w:top w:val="nil"/>
              <w:left w:val="nil"/>
              <w:bottom w:val="single" w:sz="8" w:space="0" w:color="auto"/>
              <w:right w:val="single" w:sz="8" w:space="0" w:color="auto"/>
            </w:tcBorders>
            <w:shd w:val="clear" w:color="auto" w:fill="auto"/>
            <w:hideMark/>
          </w:tcPr>
          <w:p w14:paraId="43D8EB09" w14:textId="77777777" w:rsidR="00905743" w:rsidRPr="00A518C1" w:rsidRDefault="00905743" w:rsidP="00905743">
            <w:pPr>
              <w:rPr>
                <w:sz w:val="18"/>
                <w:szCs w:val="18"/>
                <w:lang w:eastAsia="en-GB"/>
              </w:rPr>
            </w:pPr>
            <w:r w:rsidRPr="00A518C1">
              <w:rPr>
                <w:sz w:val="18"/>
                <w:szCs w:val="18"/>
                <w:lang w:eastAsia="en-GB"/>
              </w:rPr>
              <w:t>Improved funding position. Futures 25 programme of savings.  Earmarked Reserve provision.  Adequate reserves held for short term funding if required.</w:t>
            </w:r>
          </w:p>
        </w:tc>
        <w:tc>
          <w:tcPr>
            <w:tcW w:w="1280" w:type="dxa"/>
            <w:tcBorders>
              <w:top w:val="nil"/>
              <w:left w:val="nil"/>
              <w:bottom w:val="single" w:sz="8" w:space="0" w:color="auto"/>
              <w:right w:val="single" w:sz="8" w:space="0" w:color="auto"/>
            </w:tcBorders>
            <w:shd w:val="clear" w:color="auto" w:fill="auto"/>
            <w:noWrap/>
            <w:hideMark/>
          </w:tcPr>
          <w:p w14:paraId="73BD8E22" w14:textId="77777777" w:rsidR="00905743" w:rsidRPr="00A518C1" w:rsidRDefault="00905743" w:rsidP="00905743">
            <w:pPr>
              <w:jc w:val="right"/>
              <w:rPr>
                <w:sz w:val="18"/>
                <w:szCs w:val="18"/>
                <w:lang w:eastAsia="en-GB"/>
              </w:rPr>
            </w:pPr>
            <w:r w:rsidRPr="00A518C1">
              <w:rPr>
                <w:sz w:val="18"/>
                <w:szCs w:val="18"/>
                <w:lang w:eastAsia="en-GB"/>
              </w:rPr>
              <w:t>500,000</w:t>
            </w:r>
          </w:p>
        </w:tc>
        <w:tc>
          <w:tcPr>
            <w:tcW w:w="1160" w:type="dxa"/>
            <w:tcBorders>
              <w:top w:val="nil"/>
              <w:left w:val="nil"/>
              <w:bottom w:val="single" w:sz="8" w:space="0" w:color="auto"/>
              <w:right w:val="single" w:sz="8" w:space="0" w:color="auto"/>
            </w:tcBorders>
            <w:shd w:val="clear" w:color="auto" w:fill="auto"/>
            <w:noWrap/>
            <w:hideMark/>
          </w:tcPr>
          <w:p w14:paraId="4A02B4B3" w14:textId="77777777" w:rsidR="00905743" w:rsidRPr="00A518C1" w:rsidRDefault="00905743" w:rsidP="00905743">
            <w:pPr>
              <w:jc w:val="right"/>
              <w:rPr>
                <w:sz w:val="18"/>
                <w:szCs w:val="18"/>
                <w:lang w:eastAsia="en-GB"/>
              </w:rPr>
            </w:pPr>
            <w:r w:rsidRPr="00A518C1">
              <w:rPr>
                <w:sz w:val="18"/>
                <w:szCs w:val="18"/>
                <w:lang w:eastAsia="en-GB"/>
              </w:rPr>
              <w:t>0.5</w:t>
            </w:r>
          </w:p>
        </w:tc>
        <w:tc>
          <w:tcPr>
            <w:tcW w:w="1220" w:type="dxa"/>
            <w:tcBorders>
              <w:top w:val="nil"/>
              <w:left w:val="nil"/>
              <w:bottom w:val="single" w:sz="8" w:space="0" w:color="auto"/>
              <w:right w:val="single" w:sz="8" w:space="0" w:color="auto"/>
            </w:tcBorders>
            <w:shd w:val="clear" w:color="auto" w:fill="auto"/>
            <w:noWrap/>
            <w:hideMark/>
          </w:tcPr>
          <w:p w14:paraId="64DB04BA" w14:textId="77777777" w:rsidR="00905743" w:rsidRPr="00A518C1" w:rsidRDefault="00905743" w:rsidP="00905743">
            <w:pPr>
              <w:jc w:val="right"/>
              <w:rPr>
                <w:sz w:val="18"/>
                <w:szCs w:val="18"/>
                <w:lang w:eastAsia="en-GB"/>
              </w:rPr>
            </w:pPr>
            <w:r w:rsidRPr="00A518C1">
              <w:rPr>
                <w:sz w:val="18"/>
                <w:szCs w:val="18"/>
                <w:lang w:eastAsia="en-GB"/>
              </w:rPr>
              <w:t>250,000</w:t>
            </w:r>
          </w:p>
        </w:tc>
      </w:tr>
      <w:tr w:rsidR="00905743" w:rsidRPr="00A518C1" w14:paraId="1C0BFC0F" w14:textId="77777777" w:rsidTr="00905743">
        <w:trPr>
          <w:trHeight w:val="1275"/>
        </w:trPr>
        <w:tc>
          <w:tcPr>
            <w:tcW w:w="640" w:type="dxa"/>
            <w:tcBorders>
              <w:top w:val="nil"/>
              <w:left w:val="single" w:sz="8" w:space="0" w:color="auto"/>
              <w:bottom w:val="single" w:sz="8" w:space="0" w:color="auto"/>
              <w:right w:val="single" w:sz="8" w:space="0" w:color="auto"/>
            </w:tcBorders>
            <w:shd w:val="clear" w:color="auto" w:fill="auto"/>
            <w:hideMark/>
          </w:tcPr>
          <w:p w14:paraId="645BAEE4" w14:textId="77777777" w:rsidR="00905743" w:rsidRPr="00A518C1" w:rsidRDefault="00905743" w:rsidP="00905743">
            <w:pPr>
              <w:jc w:val="right"/>
              <w:rPr>
                <w:sz w:val="18"/>
                <w:szCs w:val="18"/>
                <w:lang w:eastAsia="en-GB"/>
              </w:rPr>
            </w:pPr>
            <w:r w:rsidRPr="00A518C1">
              <w:rPr>
                <w:sz w:val="18"/>
                <w:szCs w:val="18"/>
                <w:lang w:eastAsia="en-GB"/>
              </w:rPr>
              <w:t>8</w:t>
            </w:r>
          </w:p>
        </w:tc>
        <w:tc>
          <w:tcPr>
            <w:tcW w:w="2740" w:type="dxa"/>
            <w:tcBorders>
              <w:top w:val="nil"/>
              <w:left w:val="nil"/>
              <w:bottom w:val="single" w:sz="8" w:space="0" w:color="auto"/>
              <w:right w:val="single" w:sz="8" w:space="0" w:color="auto"/>
            </w:tcBorders>
            <w:shd w:val="clear" w:color="auto" w:fill="auto"/>
            <w:hideMark/>
          </w:tcPr>
          <w:p w14:paraId="2C513F17" w14:textId="77777777" w:rsidR="00905743" w:rsidRPr="00A518C1" w:rsidRDefault="00905743" w:rsidP="00905743">
            <w:pPr>
              <w:rPr>
                <w:sz w:val="18"/>
                <w:szCs w:val="18"/>
                <w:lang w:eastAsia="en-GB"/>
              </w:rPr>
            </w:pPr>
            <w:r w:rsidRPr="00A518C1">
              <w:rPr>
                <w:b/>
                <w:bCs/>
                <w:sz w:val="18"/>
                <w:szCs w:val="18"/>
                <w:lang w:eastAsia="en-GB"/>
              </w:rPr>
              <w:t>Redundancies</w:t>
            </w:r>
            <w:r w:rsidRPr="00A518C1">
              <w:rPr>
                <w:sz w:val="18"/>
                <w:szCs w:val="18"/>
                <w:lang w:eastAsia="en-GB"/>
              </w:rPr>
              <w:t xml:space="preserve"> due to current and on-going financial constraints, if savings cannot be found from elsewhere</w:t>
            </w:r>
          </w:p>
        </w:tc>
        <w:tc>
          <w:tcPr>
            <w:tcW w:w="3060" w:type="dxa"/>
            <w:tcBorders>
              <w:top w:val="nil"/>
              <w:left w:val="nil"/>
              <w:bottom w:val="single" w:sz="8" w:space="0" w:color="auto"/>
              <w:right w:val="single" w:sz="8" w:space="0" w:color="auto"/>
            </w:tcBorders>
            <w:shd w:val="clear" w:color="auto" w:fill="auto"/>
            <w:hideMark/>
          </w:tcPr>
          <w:p w14:paraId="43EE1C2A" w14:textId="77777777" w:rsidR="00905743" w:rsidRPr="00A518C1" w:rsidRDefault="00905743" w:rsidP="00905743">
            <w:pPr>
              <w:rPr>
                <w:sz w:val="18"/>
                <w:szCs w:val="18"/>
                <w:lang w:eastAsia="en-GB"/>
              </w:rPr>
            </w:pPr>
            <w:r w:rsidRPr="00A518C1">
              <w:rPr>
                <w:sz w:val="18"/>
                <w:szCs w:val="18"/>
                <w:lang w:eastAsia="en-GB"/>
              </w:rPr>
              <w:t>One-off cost of redundancy payment and potential pension strain is too high a cost to budget for within the revenue budget</w:t>
            </w:r>
          </w:p>
        </w:tc>
        <w:tc>
          <w:tcPr>
            <w:tcW w:w="3100" w:type="dxa"/>
            <w:tcBorders>
              <w:top w:val="nil"/>
              <w:left w:val="nil"/>
              <w:bottom w:val="single" w:sz="8" w:space="0" w:color="auto"/>
              <w:right w:val="single" w:sz="8" w:space="0" w:color="auto"/>
            </w:tcBorders>
            <w:shd w:val="clear" w:color="auto" w:fill="auto"/>
            <w:hideMark/>
          </w:tcPr>
          <w:p w14:paraId="20BB43B0" w14:textId="77777777" w:rsidR="00905743" w:rsidRPr="00A518C1" w:rsidRDefault="00905743" w:rsidP="00905743">
            <w:pPr>
              <w:rPr>
                <w:sz w:val="18"/>
                <w:szCs w:val="18"/>
                <w:lang w:eastAsia="en-GB"/>
              </w:rPr>
            </w:pPr>
            <w:r w:rsidRPr="00A518C1">
              <w:rPr>
                <w:sz w:val="18"/>
                <w:szCs w:val="18"/>
                <w:lang w:eastAsia="en-GB"/>
              </w:rPr>
              <w:t>Business case and payback period. Limited sum included in Earmarked Reserves for Efficiency Related programme but this may not be sufficient.</w:t>
            </w:r>
          </w:p>
        </w:tc>
        <w:tc>
          <w:tcPr>
            <w:tcW w:w="1280" w:type="dxa"/>
            <w:tcBorders>
              <w:top w:val="nil"/>
              <w:left w:val="nil"/>
              <w:bottom w:val="single" w:sz="8" w:space="0" w:color="auto"/>
              <w:right w:val="single" w:sz="8" w:space="0" w:color="auto"/>
            </w:tcBorders>
            <w:shd w:val="clear" w:color="auto" w:fill="auto"/>
            <w:noWrap/>
            <w:hideMark/>
          </w:tcPr>
          <w:p w14:paraId="4B2074E7" w14:textId="77777777" w:rsidR="00905743" w:rsidRPr="00A518C1" w:rsidRDefault="00905743" w:rsidP="00905743">
            <w:pPr>
              <w:jc w:val="right"/>
              <w:rPr>
                <w:sz w:val="18"/>
                <w:szCs w:val="18"/>
                <w:lang w:eastAsia="en-GB"/>
              </w:rPr>
            </w:pPr>
            <w:r w:rsidRPr="00A518C1">
              <w:rPr>
                <w:sz w:val="18"/>
                <w:szCs w:val="18"/>
                <w:lang w:eastAsia="en-GB"/>
              </w:rPr>
              <w:t>500,000</w:t>
            </w:r>
          </w:p>
        </w:tc>
        <w:tc>
          <w:tcPr>
            <w:tcW w:w="1160" w:type="dxa"/>
            <w:tcBorders>
              <w:top w:val="nil"/>
              <w:left w:val="nil"/>
              <w:bottom w:val="single" w:sz="8" w:space="0" w:color="auto"/>
              <w:right w:val="single" w:sz="8" w:space="0" w:color="auto"/>
            </w:tcBorders>
            <w:shd w:val="clear" w:color="auto" w:fill="auto"/>
            <w:noWrap/>
            <w:hideMark/>
          </w:tcPr>
          <w:p w14:paraId="3731A413" w14:textId="77777777" w:rsidR="00905743" w:rsidRPr="00A518C1" w:rsidRDefault="00905743" w:rsidP="00905743">
            <w:pPr>
              <w:jc w:val="right"/>
              <w:rPr>
                <w:sz w:val="18"/>
                <w:szCs w:val="18"/>
                <w:lang w:eastAsia="en-GB"/>
              </w:rPr>
            </w:pPr>
            <w:r w:rsidRPr="00A518C1">
              <w:rPr>
                <w:sz w:val="18"/>
                <w:szCs w:val="18"/>
                <w:lang w:eastAsia="en-GB"/>
              </w:rPr>
              <w:t>0.5</w:t>
            </w:r>
          </w:p>
        </w:tc>
        <w:tc>
          <w:tcPr>
            <w:tcW w:w="1220" w:type="dxa"/>
            <w:tcBorders>
              <w:top w:val="nil"/>
              <w:left w:val="nil"/>
              <w:bottom w:val="single" w:sz="8" w:space="0" w:color="auto"/>
              <w:right w:val="single" w:sz="8" w:space="0" w:color="auto"/>
            </w:tcBorders>
            <w:shd w:val="clear" w:color="auto" w:fill="auto"/>
            <w:noWrap/>
            <w:hideMark/>
          </w:tcPr>
          <w:p w14:paraId="067044CC" w14:textId="77777777" w:rsidR="00905743" w:rsidRPr="00A518C1" w:rsidRDefault="00905743" w:rsidP="00905743">
            <w:pPr>
              <w:jc w:val="right"/>
              <w:rPr>
                <w:sz w:val="18"/>
                <w:szCs w:val="18"/>
                <w:lang w:eastAsia="en-GB"/>
              </w:rPr>
            </w:pPr>
            <w:r w:rsidRPr="00A518C1">
              <w:rPr>
                <w:sz w:val="18"/>
                <w:szCs w:val="18"/>
                <w:lang w:eastAsia="en-GB"/>
              </w:rPr>
              <w:t>250,000</w:t>
            </w:r>
          </w:p>
        </w:tc>
      </w:tr>
      <w:tr w:rsidR="00905743" w:rsidRPr="00A518C1" w14:paraId="3F48EB17" w14:textId="77777777" w:rsidTr="00905743">
        <w:trPr>
          <w:trHeight w:val="1943"/>
        </w:trPr>
        <w:tc>
          <w:tcPr>
            <w:tcW w:w="640" w:type="dxa"/>
            <w:tcBorders>
              <w:top w:val="nil"/>
              <w:left w:val="single" w:sz="8" w:space="0" w:color="auto"/>
              <w:bottom w:val="single" w:sz="8" w:space="0" w:color="auto"/>
              <w:right w:val="single" w:sz="8" w:space="0" w:color="auto"/>
            </w:tcBorders>
            <w:shd w:val="clear" w:color="auto" w:fill="auto"/>
            <w:hideMark/>
          </w:tcPr>
          <w:p w14:paraId="12D19CE6" w14:textId="77777777" w:rsidR="00905743" w:rsidRPr="00A518C1" w:rsidRDefault="00905743" w:rsidP="00905743">
            <w:pPr>
              <w:jc w:val="right"/>
              <w:rPr>
                <w:sz w:val="18"/>
                <w:szCs w:val="18"/>
                <w:lang w:eastAsia="en-GB"/>
              </w:rPr>
            </w:pPr>
            <w:r w:rsidRPr="00A518C1">
              <w:rPr>
                <w:sz w:val="18"/>
                <w:szCs w:val="18"/>
                <w:lang w:eastAsia="en-GB"/>
              </w:rPr>
              <w:t>9</w:t>
            </w:r>
          </w:p>
        </w:tc>
        <w:tc>
          <w:tcPr>
            <w:tcW w:w="2740" w:type="dxa"/>
            <w:tcBorders>
              <w:top w:val="nil"/>
              <w:left w:val="nil"/>
              <w:bottom w:val="single" w:sz="8" w:space="0" w:color="auto"/>
              <w:right w:val="single" w:sz="8" w:space="0" w:color="auto"/>
            </w:tcBorders>
            <w:shd w:val="clear" w:color="auto" w:fill="auto"/>
            <w:hideMark/>
          </w:tcPr>
          <w:p w14:paraId="0E7CE80B" w14:textId="77777777" w:rsidR="00905743" w:rsidRPr="00A518C1" w:rsidRDefault="00905743" w:rsidP="00905743">
            <w:pPr>
              <w:rPr>
                <w:sz w:val="18"/>
                <w:szCs w:val="18"/>
                <w:lang w:eastAsia="en-GB"/>
              </w:rPr>
            </w:pPr>
            <w:r w:rsidRPr="00A518C1">
              <w:rPr>
                <w:sz w:val="18"/>
                <w:szCs w:val="18"/>
                <w:lang w:eastAsia="en-GB"/>
              </w:rPr>
              <w:t>Business</w:t>
            </w:r>
            <w:r w:rsidRPr="00A518C1">
              <w:rPr>
                <w:b/>
                <w:bCs/>
                <w:sz w:val="18"/>
                <w:szCs w:val="18"/>
                <w:lang w:eastAsia="en-GB"/>
              </w:rPr>
              <w:t xml:space="preserve"> failure of bank or investment counterparty</w:t>
            </w:r>
          </w:p>
        </w:tc>
        <w:tc>
          <w:tcPr>
            <w:tcW w:w="3060" w:type="dxa"/>
            <w:tcBorders>
              <w:top w:val="nil"/>
              <w:left w:val="nil"/>
              <w:bottom w:val="single" w:sz="8" w:space="0" w:color="auto"/>
              <w:right w:val="single" w:sz="8" w:space="0" w:color="auto"/>
            </w:tcBorders>
            <w:shd w:val="clear" w:color="auto" w:fill="auto"/>
            <w:hideMark/>
          </w:tcPr>
          <w:p w14:paraId="68DEA238" w14:textId="77777777" w:rsidR="00905743" w:rsidRPr="00A518C1" w:rsidRDefault="00905743" w:rsidP="00905743">
            <w:pPr>
              <w:rPr>
                <w:sz w:val="18"/>
                <w:szCs w:val="18"/>
                <w:lang w:eastAsia="en-GB"/>
              </w:rPr>
            </w:pPr>
            <w:r w:rsidRPr="00A518C1">
              <w:rPr>
                <w:sz w:val="18"/>
                <w:szCs w:val="18"/>
                <w:lang w:eastAsia="en-GB"/>
              </w:rPr>
              <w:t>Loss of working capital or investment funds up to £2m</w:t>
            </w:r>
          </w:p>
        </w:tc>
        <w:tc>
          <w:tcPr>
            <w:tcW w:w="3100" w:type="dxa"/>
            <w:tcBorders>
              <w:top w:val="nil"/>
              <w:left w:val="nil"/>
              <w:bottom w:val="single" w:sz="8" w:space="0" w:color="auto"/>
              <w:right w:val="single" w:sz="8" w:space="0" w:color="auto"/>
            </w:tcBorders>
            <w:shd w:val="clear" w:color="auto" w:fill="auto"/>
            <w:hideMark/>
          </w:tcPr>
          <w:p w14:paraId="40022F56" w14:textId="77777777" w:rsidR="00905743" w:rsidRPr="00A518C1" w:rsidRDefault="00905743" w:rsidP="00905743">
            <w:pPr>
              <w:rPr>
                <w:sz w:val="18"/>
                <w:szCs w:val="18"/>
                <w:lang w:eastAsia="en-GB"/>
              </w:rPr>
            </w:pPr>
            <w:r w:rsidRPr="00A518C1">
              <w:rPr>
                <w:sz w:val="18"/>
                <w:szCs w:val="18"/>
                <w:lang w:eastAsia="en-GB"/>
              </w:rPr>
              <w:t>Treasury management strategy, risk analysis of investment options and counterparties</w:t>
            </w:r>
          </w:p>
        </w:tc>
        <w:tc>
          <w:tcPr>
            <w:tcW w:w="1280" w:type="dxa"/>
            <w:tcBorders>
              <w:top w:val="nil"/>
              <w:left w:val="nil"/>
              <w:bottom w:val="single" w:sz="8" w:space="0" w:color="auto"/>
              <w:right w:val="single" w:sz="8" w:space="0" w:color="auto"/>
            </w:tcBorders>
            <w:shd w:val="clear" w:color="auto" w:fill="auto"/>
            <w:noWrap/>
            <w:hideMark/>
          </w:tcPr>
          <w:p w14:paraId="2EDECCC9" w14:textId="77777777" w:rsidR="00905743" w:rsidRPr="00A518C1" w:rsidRDefault="00905743" w:rsidP="00905743">
            <w:pPr>
              <w:jc w:val="right"/>
              <w:rPr>
                <w:sz w:val="18"/>
                <w:szCs w:val="18"/>
                <w:lang w:eastAsia="en-GB"/>
              </w:rPr>
            </w:pPr>
            <w:r w:rsidRPr="00A518C1">
              <w:rPr>
                <w:sz w:val="18"/>
                <w:szCs w:val="18"/>
                <w:lang w:eastAsia="en-GB"/>
              </w:rPr>
              <w:t>2,000,000</w:t>
            </w:r>
          </w:p>
        </w:tc>
        <w:tc>
          <w:tcPr>
            <w:tcW w:w="1160" w:type="dxa"/>
            <w:tcBorders>
              <w:top w:val="nil"/>
              <w:left w:val="nil"/>
              <w:bottom w:val="single" w:sz="8" w:space="0" w:color="auto"/>
              <w:right w:val="single" w:sz="8" w:space="0" w:color="auto"/>
            </w:tcBorders>
            <w:shd w:val="clear" w:color="auto" w:fill="auto"/>
            <w:noWrap/>
            <w:hideMark/>
          </w:tcPr>
          <w:p w14:paraId="34630CFE" w14:textId="77777777" w:rsidR="00905743" w:rsidRPr="00A518C1" w:rsidRDefault="00905743" w:rsidP="00905743">
            <w:pPr>
              <w:jc w:val="right"/>
              <w:rPr>
                <w:sz w:val="18"/>
                <w:szCs w:val="18"/>
                <w:lang w:eastAsia="en-GB"/>
              </w:rPr>
            </w:pPr>
            <w:r w:rsidRPr="00A518C1">
              <w:rPr>
                <w:sz w:val="18"/>
                <w:szCs w:val="18"/>
                <w:lang w:eastAsia="en-GB"/>
              </w:rPr>
              <w:t>0.1</w:t>
            </w:r>
          </w:p>
        </w:tc>
        <w:tc>
          <w:tcPr>
            <w:tcW w:w="1220" w:type="dxa"/>
            <w:tcBorders>
              <w:top w:val="nil"/>
              <w:left w:val="nil"/>
              <w:bottom w:val="single" w:sz="8" w:space="0" w:color="auto"/>
              <w:right w:val="single" w:sz="8" w:space="0" w:color="auto"/>
            </w:tcBorders>
            <w:shd w:val="clear" w:color="auto" w:fill="auto"/>
            <w:noWrap/>
            <w:hideMark/>
          </w:tcPr>
          <w:p w14:paraId="56F63B2C" w14:textId="77777777" w:rsidR="00905743" w:rsidRPr="00A518C1" w:rsidRDefault="00905743" w:rsidP="00905743">
            <w:pPr>
              <w:jc w:val="right"/>
              <w:rPr>
                <w:sz w:val="18"/>
                <w:szCs w:val="18"/>
                <w:lang w:eastAsia="en-GB"/>
              </w:rPr>
            </w:pPr>
            <w:r w:rsidRPr="00A518C1">
              <w:rPr>
                <w:sz w:val="18"/>
                <w:szCs w:val="18"/>
                <w:lang w:eastAsia="en-GB"/>
              </w:rPr>
              <w:t>200,000</w:t>
            </w:r>
          </w:p>
        </w:tc>
      </w:tr>
      <w:tr w:rsidR="00905743" w:rsidRPr="00A518C1" w14:paraId="7E529B67" w14:textId="77777777" w:rsidTr="00905743">
        <w:trPr>
          <w:trHeight w:val="870"/>
        </w:trPr>
        <w:tc>
          <w:tcPr>
            <w:tcW w:w="640" w:type="dxa"/>
            <w:tcBorders>
              <w:top w:val="nil"/>
              <w:left w:val="single" w:sz="8" w:space="0" w:color="auto"/>
              <w:bottom w:val="single" w:sz="8" w:space="0" w:color="auto"/>
              <w:right w:val="single" w:sz="8" w:space="0" w:color="auto"/>
            </w:tcBorders>
            <w:shd w:val="clear" w:color="auto" w:fill="auto"/>
            <w:hideMark/>
          </w:tcPr>
          <w:p w14:paraId="6B6F9E9B" w14:textId="77777777" w:rsidR="00905743" w:rsidRPr="00A518C1" w:rsidRDefault="00905743" w:rsidP="00905743">
            <w:pPr>
              <w:jc w:val="right"/>
              <w:rPr>
                <w:sz w:val="18"/>
                <w:szCs w:val="18"/>
                <w:lang w:eastAsia="en-GB"/>
              </w:rPr>
            </w:pPr>
            <w:r w:rsidRPr="00A518C1">
              <w:rPr>
                <w:sz w:val="18"/>
                <w:szCs w:val="18"/>
                <w:lang w:eastAsia="en-GB"/>
              </w:rPr>
              <w:t>10</w:t>
            </w:r>
          </w:p>
        </w:tc>
        <w:tc>
          <w:tcPr>
            <w:tcW w:w="2740" w:type="dxa"/>
            <w:tcBorders>
              <w:top w:val="nil"/>
              <w:left w:val="nil"/>
              <w:bottom w:val="single" w:sz="8" w:space="0" w:color="auto"/>
              <w:right w:val="single" w:sz="8" w:space="0" w:color="auto"/>
            </w:tcBorders>
            <w:shd w:val="clear" w:color="auto" w:fill="auto"/>
            <w:hideMark/>
          </w:tcPr>
          <w:p w14:paraId="34248490" w14:textId="77777777" w:rsidR="00905743" w:rsidRPr="00A518C1" w:rsidRDefault="00905743" w:rsidP="00905743">
            <w:pPr>
              <w:rPr>
                <w:sz w:val="18"/>
                <w:szCs w:val="18"/>
                <w:lang w:eastAsia="en-GB"/>
              </w:rPr>
            </w:pPr>
            <w:r w:rsidRPr="00A518C1">
              <w:rPr>
                <w:b/>
                <w:bCs/>
                <w:sz w:val="18"/>
                <w:szCs w:val="18"/>
                <w:lang w:eastAsia="en-GB"/>
              </w:rPr>
              <w:t xml:space="preserve">Availability of </w:t>
            </w:r>
            <w:r w:rsidR="00604D7F">
              <w:rPr>
                <w:b/>
                <w:bCs/>
                <w:sz w:val="18"/>
                <w:szCs w:val="18"/>
                <w:lang w:eastAsia="en-GB"/>
              </w:rPr>
              <w:t>r</w:t>
            </w:r>
            <w:r w:rsidRPr="00A518C1">
              <w:rPr>
                <w:b/>
                <w:bCs/>
                <w:sz w:val="18"/>
                <w:szCs w:val="18"/>
                <w:lang w:eastAsia="en-GB"/>
              </w:rPr>
              <w:t xml:space="preserve">esources </w:t>
            </w:r>
            <w:r w:rsidRPr="00A518C1">
              <w:rPr>
                <w:sz w:val="18"/>
                <w:szCs w:val="18"/>
                <w:lang w:eastAsia="en-GB"/>
              </w:rPr>
              <w:t xml:space="preserve">- loss of key resources - premises, equipment, ICT systems, communication channels due to </w:t>
            </w:r>
            <w:proofErr w:type="spellStart"/>
            <w:r w:rsidRPr="00A518C1">
              <w:rPr>
                <w:sz w:val="18"/>
                <w:szCs w:val="18"/>
                <w:lang w:eastAsia="en-GB"/>
              </w:rPr>
              <w:t>cyber attack</w:t>
            </w:r>
            <w:proofErr w:type="spellEnd"/>
            <w:r w:rsidRPr="00A518C1">
              <w:rPr>
                <w:sz w:val="18"/>
                <w:szCs w:val="18"/>
                <w:lang w:eastAsia="en-GB"/>
              </w:rPr>
              <w:t>, availability of spare parts, mechanical failure etc</w:t>
            </w:r>
          </w:p>
        </w:tc>
        <w:tc>
          <w:tcPr>
            <w:tcW w:w="3060" w:type="dxa"/>
            <w:tcBorders>
              <w:top w:val="nil"/>
              <w:left w:val="nil"/>
              <w:bottom w:val="single" w:sz="8" w:space="0" w:color="auto"/>
              <w:right w:val="single" w:sz="8" w:space="0" w:color="auto"/>
            </w:tcBorders>
            <w:shd w:val="clear" w:color="auto" w:fill="auto"/>
            <w:hideMark/>
          </w:tcPr>
          <w:p w14:paraId="77FE63A6" w14:textId="77777777" w:rsidR="00905743" w:rsidRPr="00A518C1" w:rsidRDefault="00905743" w:rsidP="00905743">
            <w:pPr>
              <w:rPr>
                <w:sz w:val="18"/>
                <w:szCs w:val="18"/>
                <w:lang w:eastAsia="en-GB"/>
              </w:rPr>
            </w:pPr>
            <w:r w:rsidRPr="00A518C1">
              <w:rPr>
                <w:sz w:val="18"/>
                <w:szCs w:val="18"/>
                <w:lang w:eastAsia="en-GB"/>
              </w:rPr>
              <w:t>Loss of use; cost of rectifying defect if beyond warranty</w:t>
            </w:r>
          </w:p>
        </w:tc>
        <w:tc>
          <w:tcPr>
            <w:tcW w:w="3100" w:type="dxa"/>
            <w:tcBorders>
              <w:top w:val="nil"/>
              <w:left w:val="nil"/>
              <w:bottom w:val="single" w:sz="8" w:space="0" w:color="auto"/>
              <w:right w:val="single" w:sz="8" w:space="0" w:color="auto"/>
            </w:tcBorders>
            <w:shd w:val="clear" w:color="auto" w:fill="auto"/>
            <w:hideMark/>
          </w:tcPr>
          <w:p w14:paraId="7541C140" w14:textId="77777777" w:rsidR="00905743" w:rsidRPr="00A518C1" w:rsidRDefault="00905743" w:rsidP="00905743">
            <w:pPr>
              <w:rPr>
                <w:sz w:val="18"/>
                <w:szCs w:val="18"/>
                <w:lang w:eastAsia="en-GB"/>
              </w:rPr>
            </w:pPr>
            <w:r w:rsidRPr="00A518C1">
              <w:rPr>
                <w:sz w:val="18"/>
                <w:szCs w:val="18"/>
                <w:lang w:eastAsia="en-GB"/>
              </w:rPr>
              <w:t>BCM, Disaster management plan, Mutual assistance, robust and routine fleet inspections.  Maintenance contract.  Replacement vehicle programme.</w:t>
            </w:r>
          </w:p>
        </w:tc>
        <w:tc>
          <w:tcPr>
            <w:tcW w:w="1280" w:type="dxa"/>
            <w:tcBorders>
              <w:top w:val="nil"/>
              <w:left w:val="nil"/>
              <w:bottom w:val="single" w:sz="8" w:space="0" w:color="auto"/>
              <w:right w:val="single" w:sz="8" w:space="0" w:color="auto"/>
            </w:tcBorders>
            <w:shd w:val="clear" w:color="auto" w:fill="auto"/>
            <w:noWrap/>
            <w:hideMark/>
          </w:tcPr>
          <w:p w14:paraId="769FAE74" w14:textId="77777777" w:rsidR="00905743" w:rsidRPr="00A518C1" w:rsidRDefault="00905743" w:rsidP="00905743">
            <w:pPr>
              <w:jc w:val="right"/>
              <w:rPr>
                <w:sz w:val="18"/>
                <w:szCs w:val="18"/>
                <w:lang w:eastAsia="en-GB"/>
              </w:rPr>
            </w:pPr>
            <w:r w:rsidRPr="00A518C1">
              <w:rPr>
                <w:sz w:val="18"/>
                <w:szCs w:val="18"/>
                <w:lang w:eastAsia="en-GB"/>
              </w:rPr>
              <w:t>500,000</w:t>
            </w:r>
          </w:p>
        </w:tc>
        <w:tc>
          <w:tcPr>
            <w:tcW w:w="1160" w:type="dxa"/>
            <w:tcBorders>
              <w:top w:val="nil"/>
              <w:left w:val="nil"/>
              <w:bottom w:val="single" w:sz="8" w:space="0" w:color="auto"/>
              <w:right w:val="single" w:sz="8" w:space="0" w:color="auto"/>
            </w:tcBorders>
            <w:shd w:val="clear" w:color="auto" w:fill="auto"/>
            <w:noWrap/>
            <w:hideMark/>
          </w:tcPr>
          <w:p w14:paraId="66F4A23B" w14:textId="77777777" w:rsidR="00905743" w:rsidRPr="00A518C1" w:rsidRDefault="00905743" w:rsidP="00905743">
            <w:pPr>
              <w:jc w:val="right"/>
              <w:rPr>
                <w:sz w:val="18"/>
                <w:szCs w:val="18"/>
                <w:lang w:eastAsia="en-GB"/>
              </w:rPr>
            </w:pPr>
            <w:r w:rsidRPr="00A518C1">
              <w:rPr>
                <w:sz w:val="18"/>
                <w:szCs w:val="18"/>
                <w:lang w:eastAsia="en-GB"/>
              </w:rPr>
              <w:t>0.4</w:t>
            </w:r>
          </w:p>
        </w:tc>
        <w:tc>
          <w:tcPr>
            <w:tcW w:w="1220" w:type="dxa"/>
            <w:tcBorders>
              <w:top w:val="nil"/>
              <w:left w:val="nil"/>
              <w:bottom w:val="single" w:sz="8" w:space="0" w:color="auto"/>
              <w:right w:val="single" w:sz="8" w:space="0" w:color="auto"/>
            </w:tcBorders>
            <w:shd w:val="clear" w:color="auto" w:fill="auto"/>
            <w:noWrap/>
            <w:hideMark/>
          </w:tcPr>
          <w:p w14:paraId="5200A8A5" w14:textId="77777777" w:rsidR="00905743" w:rsidRPr="00A518C1" w:rsidRDefault="00905743" w:rsidP="00905743">
            <w:pPr>
              <w:jc w:val="right"/>
              <w:rPr>
                <w:sz w:val="18"/>
                <w:szCs w:val="18"/>
                <w:lang w:eastAsia="en-GB"/>
              </w:rPr>
            </w:pPr>
            <w:r w:rsidRPr="00A518C1">
              <w:rPr>
                <w:sz w:val="18"/>
                <w:szCs w:val="18"/>
                <w:lang w:eastAsia="en-GB"/>
              </w:rPr>
              <w:t>200,000</w:t>
            </w:r>
          </w:p>
        </w:tc>
      </w:tr>
      <w:tr w:rsidR="00905743" w:rsidRPr="00A518C1" w14:paraId="753BC05E" w14:textId="77777777" w:rsidTr="00905743">
        <w:trPr>
          <w:trHeight w:val="1058"/>
        </w:trPr>
        <w:tc>
          <w:tcPr>
            <w:tcW w:w="640" w:type="dxa"/>
            <w:tcBorders>
              <w:top w:val="nil"/>
              <w:left w:val="single" w:sz="8" w:space="0" w:color="auto"/>
              <w:bottom w:val="single" w:sz="8" w:space="0" w:color="auto"/>
              <w:right w:val="single" w:sz="8" w:space="0" w:color="auto"/>
            </w:tcBorders>
            <w:shd w:val="clear" w:color="auto" w:fill="auto"/>
            <w:hideMark/>
          </w:tcPr>
          <w:p w14:paraId="4220B9FA" w14:textId="77777777" w:rsidR="00905743" w:rsidRPr="00A518C1" w:rsidRDefault="00905743" w:rsidP="00905743">
            <w:pPr>
              <w:jc w:val="right"/>
              <w:rPr>
                <w:sz w:val="18"/>
                <w:szCs w:val="18"/>
                <w:lang w:eastAsia="en-GB"/>
              </w:rPr>
            </w:pPr>
            <w:r w:rsidRPr="00A518C1">
              <w:rPr>
                <w:sz w:val="18"/>
                <w:szCs w:val="18"/>
                <w:lang w:eastAsia="en-GB"/>
              </w:rPr>
              <w:lastRenderedPageBreak/>
              <w:t>11</w:t>
            </w:r>
          </w:p>
        </w:tc>
        <w:tc>
          <w:tcPr>
            <w:tcW w:w="2740" w:type="dxa"/>
            <w:tcBorders>
              <w:top w:val="nil"/>
              <w:left w:val="nil"/>
              <w:bottom w:val="single" w:sz="8" w:space="0" w:color="auto"/>
              <w:right w:val="single" w:sz="8" w:space="0" w:color="auto"/>
            </w:tcBorders>
            <w:shd w:val="clear" w:color="auto" w:fill="auto"/>
            <w:hideMark/>
          </w:tcPr>
          <w:p w14:paraId="7C8B7386" w14:textId="77777777" w:rsidR="00905743" w:rsidRPr="00A518C1" w:rsidRDefault="00905743" w:rsidP="00905743">
            <w:pPr>
              <w:rPr>
                <w:sz w:val="18"/>
                <w:szCs w:val="18"/>
                <w:lang w:eastAsia="en-GB"/>
              </w:rPr>
            </w:pPr>
            <w:r w:rsidRPr="00A518C1">
              <w:rPr>
                <w:sz w:val="18"/>
                <w:szCs w:val="18"/>
                <w:lang w:eastAsia="en-GB"/>
              </w:rPr>
              <w:t>Discovery of major property structural problem that restricts / prevents use of all or part of building(s)</w:t>
            </w:r>
          </w:p>
        </w:tc>
        <w:tc>
          <w:tcPr>
            <w:tcW w:w="3060" w:type="dxa"/>
            <w:tcBorders>
              <w:top w:val="nil"/>
              <w:left w:val="nil"/>
              <w:bottom w:val="single" w:sz="8" w:space="0" w:color="auto"/>
              <w:right w:val="single" w:sz="8" w:space="0" w:color="auto"/>
            </w:tcBorders>
            <w:shd w:val="clear" w:color="auto" w:fill="auto"/>
            <w:hideMark/>
          </w:tcPr>
          <w:p w14:paraId="0CDBD55E" w14:textId="77777777" w:rsidR="00905743" w:rsidRPr="00A518C1" w:rsidRDefault="00905743" w:rsidP="00905743">
            <w:pPr>
              <w:rPr>
                <w:sz w:val="18"/>
                <w:szCs w:val="18"/>
                <w:lang w:eastAsia="en-GB"/>
              </w:rPr>
            </w:pPr>
            <w:r w:rsidRPr="00A518C1">
              <w:rPr>
                <w:sz w:val="18"/>
                <w:szCs w:val="18"/>
                <w:lang w:eastAsia="en-GB"/>
              </w:rPr>
              <w:t>Loss of use; cost of repair; impairment to operational effectiveness</w:t>
            </w:r>
          </w:p>
        </w:tc>
        <w:tc>
          <w:tcPr>
            <w:tcW w:w="3100" w:type="dxa"/>
            <w:tcBorders>
              <w:top w:val="nil"/>
              <w:left w:val="nil"/>
              <w:bottom w:val="single" w:sz="8" w:space="0" w:color="auto"/>
              <w:right w:val="single" w:sz="8" w:space="0" w:color="auto"/>
            </w:tcBorders>
            <w:shd w:val="clear" w:color="auto" w:fill="auto"/>
            <w:hideMark/>
          </w:tcPr>
          <w:p w14:paraId="68952A06" w14:textId="77777777" w:rsidR="00905743" w:rsidRPr="00A518C1" w:rsidRDefault="00905743" w:rsidP="00905743">
            <w:pPr>
              <w:rPr>
                <w:sz w:val="18"/>
                <w:szCs w:val="18"/>
                <w:lang w:eastAsia="en-GB"/>
              </w:rPr>
            </w:pPr>
            <w:r w:rsidRPr="00A518C1">
              <w:rPr>
                <w:sz w:val="18"/>
                <w:szCs w:val="18"/>
                <w:lang w:eastAsia="en-GB"/>
              </w:rPr>
              <w:t xml:space="preserve">Continuity plans.  Ongoing capital programme.  Maintenance and repair programme included in revenue budgets. </w:t>
            </w:r>
          </w:p>
        </w:tc>
        <w:tc>
          <w:tcPr>
            <w:tcW w:w="1280" w:type="dxa"/>
            <w:tcBorders>
              <w:top w:val="nil"/>
              <w:left w:val="nil"/>
              <w:bottom w:val="single" w:sz="8" w:space="0" w:color="auto"/>
              <w:right w:val="single" w:sz="8" w:space="0" w:color="auto"/>
            </w:tcBorders>
            <w:shd w:val="clear" w:color="auto" w:fill="auto"/>
            <w:noWrap/>
            <w:hideMark/>
          </w:tcPr>
          <w:p w14:paraId="3D7A0ED5" w14:textId="77777777" w:rsidR="00905743" w:rsidRPr="00A518C1" w:rsidRDefault="00905743" w:rsidP="00905743">
            <w:pPr>
              <w:jc w:val="right"/>
              <w:rPr>
                <w:sz w:val="18"/>
                <w:szCs w:val="18"/>
                <w:lang w:eastAsia="en-GB"/>
              </w:rPr>
            </w:pPr>
            <w:r w:rsidRPr="00A518C1">
              <w:rPr>
                <w:sz w:val="18"/>
                <w:szCs w:val="18"/>
                <w:lang w:eastAsia="en-GB"/>
              </w:rPr>
              <w:t>900,000</w:t>
            </w:r>
          </w:p>
        </w:tc>
        <w:tc>
          <w:tcPr>
            <w:tcW w:w="1160" w:type="dxa"/>
            <w:tcBorders>
              <w:top w:val="nil"/>
              <w:left w:val="nil"/>
              <w:bottom w:val="single" w:sz="8" w:space="0" w:color="auto"/>
              <w:right w:val="single" w:sz="8" w:space="0" w:color="auto"/>
            </w:tcBorders>
            <w:shd w:val="clear" w:color="auto" w:fill="auto"/>
            <w:noWrap/>
            <w:hideMark/>
          </w:tcPr>
          <w:p w14:paraId="0E97D560" w14:textId="77777777" w:rsidR="00905743" w:rsidRPr="00A518C1" w:rsidRDefault="00905743" w:rsidP="00905743">
            <w:pPr>
              <w:jc w:val="right"/>
              <w:rPr>
                <w:sz w:val="18"/>
                <w:szCs w:val="18"/>
                <w:lang w:eastAsia="en-GB"/>
              </w:rPr>
            </w:pPr>
            <w:r w:rsidRPr="00A518C1">
              <w:rPr>
                <w:sz w:val="18"/>
                <w:szCs w:val="18"/>
                <w:lang w:eastAsia="en-GB"/>
              </w:rPr>
              <w:t>0.2</w:t>
            </w:r>
          </w:p>
        </w:tc>
        <w:tc>
          <w:tcPr>
            <w:tcW w:w="1220" w:type="dxa"/>
            <w:tcBorders>
              <w:top w:val="nil"/>
              <w:left w:val="nil"/>
              <w:bottom w:val="single" w:sz="8" w:space="0" w:color="auto"/>
              <w:right w:val="single" w:sz="8" w:space="0" w:color="auto"/>
            </w:tcBorders>
            <w:shd w:val="clear" w:color="auto" w:fill="auto"/>
            <w:noWrap/>
            <w:hideMark/>
          </w:tcPr>
          <w:p w14:paraId="71E18F1A" w14:textId="77777777" w:rsidR="00905743" w:rsidRPr="00A518C1" w:rsidRDefault="00905743" w:rsidP="00905743">
            <w:pPr>
              <w:jc w:val="right"/>
              <w:rPr>
                <w:sz w:val="18"/>
                <w:szCs w:val="18"/>
                <w:lang w:eastAsia="en-GB"/>
              </w:rPr>
            </w:pPr>
            <w:r w:rsidRPr="00A518C1">
              <w:rPr>
                <w:sz w:val="18"/>
                <w:szCs w:val="18"/>
                <w:lang w:eastAsia="en-GB"/>
              </w:rPr>
              <w:t>180,000</w:t>
            </w:r>
          </w:p>
        </w:tc>
      </w:tr>
      <w:tr w:rsidR="00905743" w:rsidRPr="00A518C1" w14:paraId="7554657F" w14:textId="77777777" w:rsidTr="00905743">
        <w:trPr>
          <w:trHeight w:val="1568"/>
        </w:trPr>
        <w:tc>
          <w:tcPr>
            <w:tcW w:w="640" w:type="dxa"/>
            <w:tcBorders>
              <w:top w:val="nil"/>
              <w:left w:val="single" w:sz="8" w:space="0" w:color="auto"/>
              <w:bottom w:val="single" w:sz="8" w:space="0" w:color="auto"/>
              <w:right w:val="single" w:sz="8" w:space="0" w:color="auto"/>
            </w:tcBorders>
            <w:shd w:val="clear" w:color="auto" w:fill="auto"/>
            <w:hideMark/>
          </w:tcPr>
          <w:p w14:paraId="104FD3F5" w14:textId="77777777" w:rsidR="00905743" w:rsidRPr="00A518C1" w:rsidRDefault="00905743" w:rsidP="00905743">
            <w:pPr>
              <w:jc w:val="right"/>
              <w:rPr>
                <w:sz w:val="18"/>
                <w:szCs w:val="18"/>
                <w:lang w:eastAsia="en-GB"/>
              </w:rPr>
            </w:pPr>
            <w:r w:rsidRPr="00A518C1">
              <w:rPr>
                <w:sz w:val="18"/>
                <w:szCs w:val="18"/>
                <w:lang w:eastAsia="en-GB"/>
              </w:rPr>
              <w:t>12</w:t>
            </w:r>
          </w:p>
        </w:tc>
        <w:tc>
          <w:tcPr>
            <w:tcW w:w="2740" w:type="dxa"/>
            <w:tcBorders>
              <w:top w:val="nil"/>
              <w:left w:val="nil"/>
              <w:bottom w:val="single" w:sz="8" w:space="0" w:color="auto"/>
              <w:right w:val="single" w:sz="8" w:space="0" w:color="auto"/>
            </w:tcBorders>
            <w:shd w:val="clear" w:color="auto" w:fill="auto"/>
            <w:hideMark/>
          </w:tcPr>
          <w:p w14:paraId="61831094" w14:textId="77777777" w:rsidR="00905743" w:rsidRPr="00A518C1" w:rsidRDefault="00905743" w:rsidP="00905743">
            <w:pPr>
              <w:rPr>
                <w:b/>
                <w:bCs/>
                <w:sz w:val="18"/>
                <w:szCs w:val="18"/>
                <w:lang w:eastAsia="en-GB"/>
              </w:rPr>
            </w:pPr>
            <w:r w:rsidRPr="00A518C1">
              <w:rPr>
                <w:b/>
                <w:bCs/>
                <w:sz w:val="18"/>
                <w:szCs w:val="18"/>
                <w:lang w:eastAsia="en-GB"/>
              </w:rPr>
              <w:t>Local/national industrial dispute</w:t>
            </w:r>
          </w:p>
        </w:tc>
        <w:tc>
          <w:tcPr>
            <w:tcW w:w="3060" w:type="dxa"/>
            <w:tcBorders>
              <w:top w:val="nil"/>
              <w:left w:val="nil"/>
              <w:bottom w:val="single" w:sz="8" w:space="0" w:color="auto"/>
              <w:right w:val="single" w:sz="8" w:space="0" w:color="auto"/>
            </w:tcBorders>
            <w:shd w:val="clear" w:color="auto" w:fill="auto"/>
            <w:hideMark/>
          </w:tcPr>
          <w:p w14:paraId="7C1FEEE7" w14:textId="77777777" w:rsidR="00905743" w:rsidRPr="00A518C1" w:rsidRDefault="00905743" w:rsidP="00905743">
            <w:pPr>
              <w:rPr>
                <w:sz w:val="18"/>
                <w:szCs w:val="18"/>
                <w:lang w:eastAsia="en-GB"/>
              </w:rPr>
            </w:pPr>
            <w:r w:rsidRPr="00A518C1">
              <w:rPr>
                <w:sz w:val="18"/>
                <w:szCs w:val="18"/>
                <w:lang w:eastAsia="en-GB"/>
              </w:rPr>
              <w:t xml:space="preserve">Potential loss of service; risk of </w:t>
            </w:r>
            <w:proofErr w:type="spellStart"/>
            <w:r w:rsidRPr="00A518C1">
              <w:rPr>
                <w:sz w:val="18"/>
                <w:szCs w:val="18"/>
                <w:lang w:eastAsia="en-GB"/>
              </w:rPr>
              <w:t>non compliance</w:t>
            </w:r>
            <w:proofErr w:type="spellEnd"/>
            <w:r w:rsidRPr="00A518C1">
              <w:rPr>
                <w:sz w:val="18"/>
                <w:szCs w:val="18"/>
                <w:lang w:eastAsia="en-GB"/>
              </w:rPr>
              <w:t xml:space="preserve"> with statutory duties and ensuing legal case / fines; selective industrial action may not result in sufficient underspend to cover additional costs. Potential ministerial intervention and ensuing reputational damage.</w:t>
            </w:r>
          </w:p>
        </w:tc>
        <w:tc>
          <w:tcPr>
            <w:tcW w:w="3100" w:type="dxa"/>
            <w:tcBorders>
              <w:top w:val="nil"/>
              <w:left w:val="nil"/>
              <w:bottom w:val="single" w:sz="8" w:space="0" w:color="auto"/>
              <w:right w:val="single" w:sz="8" w:space="0" w:color="auto"/>
            </w:tcBorders>
            <w:shd w:val="clear" w:color="auto" w:fill="auto"/>
            <w:hideMark/>
          </w:tcPr>
          <w:p w14:paraId="701D1EC2" w14:textId="77777777" w:rsidR="00905743" w:rsidRPr="00A518C1" w:rsidRDefault="00905743" w:rsidP="00905743">
            <w:pPr>
              <w:rPr>
                <w:sz w:val="18"/>
                <w:szCs w:val="18"/>
                <w:lang w:eastAsia="en-GB"/>
              </w:rPr>
            </w:pPr>
            <w:r w:rsidRPr="00A518C1">
              <w:rPr>
                <w:sz w:val="18"/>
                <w:szCs w:val="18"/>
                <w:lang w:eastAsia="en-GB"/>
              </w:rPr>
              <w:t>Resilience arrangements in place which has reduced the risk of needing additional cover.  High inflation increases risk of pay dispute along with minimum service level legislation.</w:t>
            </w:r>
          </w:p>
        </w:tc>
        <w:tc>
          <w:tcPr>
            <w:tcW w:w="1280" w:type="dxa"/>
            <w:tcBorders>
              <w:top w:val="nil"/>
              <w:left w:val="nil"/>
              <w:bottom w:val="single" w:sz="8" w:space="0" w:color="auto"/>
              <w:right w:val="single" w:sz="8" w:space="0" w:color="auto"/>
            </w:tcBorders>
            <w:shd w:val="clear" w:color="auto" w:fill="auto"/>
            <w:noWrap/>
            <w:hideMark/>
          </w:tcPr>
          <w:p w14:paraId="2831E8A5" w14:textId="77777777" w:rsidR="00905743" w:rsidRPr="00A518C1" w:rsidRDefault="00905743" w:rsidP="00905743">
            <w:pPr>
              <w:jc w:val="right"/>
              <w:rPr>
                <w:sz w:val="18"/>
                <w:szCs w:val="18"/>
                <w:lang w:eastAsia="en-GB"/>
              </w:rPr>
            </w:pPr>
            <w:r w:rsidRPr="00A518C1">
              <w:rPr>
                <w:sz w:val="18"/>
                <w:szCs w:val="18"/>
                <w:lang w:eastAsia="en-GB"/>
              </w:rPr>
              <w:t>300,000</w:t>
            </w:r>
          </w:p>
        </w:tc>
        <w:tc>
          <w:tcPr>
            <w:tcW w:w="1160" w:type="dxa"/>
            <w:tcBorders>
              <w:top w:val="nil"/>
              <w:left w:val="nil"/>
              <w:bottom w:val="single" w:sz="8" w:space="0" w:color="auto"/>
              <w:right w:val="single" w:sz="8" w:space="0" w:color="auto"/>
            </w:tcBorders>
            <w:shd w:val="clear" w:color="auto" w:fill="auto"/>
            <w:noWrap/>
            <w:hideMark/>
          </w:tcPr>
          <w:p w14:paraId="1DB6D8A3" w14:textId="77777777" w:rsidR="00905743" w:rsidRPr="00A518C1" w:rsidRDefault="00905743" w:rsidP="00905743">
            <w:pPr>
              <w:jc w:val="right"/>
              <w:rPr>
                <w:sz w:val="18"/>
                <w:szCs w:val="18"/>
                <w:lang w:eastAsia="en-GB"/>
              </w:rPr>
            </w:pPr>
            <w:r w:rsidRPr="00A518C1">
              <w:rPr>
                <w:sz w:val="18"/>
                <w:szCs w:val="18"/>
                <w:lang w:eastAsia="en-GB"/>
              </w:rPr>
              <w:t>0.5</w:t>
            </w:r>
          </w:p>
        </w:tc>
        <w:tc>
          <w:tcPr>
            <w:tcW w:w="1220" w:type="dxa"/>
            <w:tcBorders>
              <w:top w:val="nil"/>
              <w:left w:val="nil"/>
              <w:bottom w:val="single" w:sz="8" w:space="0" w:color="auto"/>
              <w:right w:val="single" w:sz="8" w:space="0" w:color="auto"/>
            </w:tcBorders>
            <w:shd w:val="clear" w:color="auto" w:fill="auto"/>
            <w:noWrap/>
            <w:hideMark/>
          </w:tcPr>
          <w:p w14:paraId="0AA19EC3" w14:textId="77777777" w:rsidR="00905743" w:rsidRPr="00A518C1" w:rsidRDefault="00905743" w:rsidP="00905743">
            <w:pPr>
              <w:jc w:val="right"/>
              <w:rPr>
                <w:sz w:val="18"/>
                <w:szCs w:val="18"/>
                <w:lang w:eastAsia="en-GB"/>
              </w:rPr>
            </w:pPr>
            <w:r w:rsidRPr="00A518C1">
              <w:rPr>
                <w:sz w:val="18"/>
                <w:szCs w:val="18"/>
                <w:lang w:eastAsia="en-GB"/>
              </w:rPr>
              <w:t>150,000</w:t>
            </w:r>
          </w:p>
        </w:tc>
      </w:tr>
      <w:tr w:rsidR="00905743" w:rsidRPr="00A518C1" w14:paraId="2E4D2CF0" w14:textId="77777777" w:rsidTr="00905743">
        <w:trPr>
          <w:trHeight w:val="1290"/>
        </w:trPr>
        <w:tc>
          <w:tcPr>
            <w:tcW w:w="640" w:type="dxa"/>
            <w:tcBorders>
              <w:top w:val="nil"/>
              <w:left w:val="single" w:sz="8" w:space="0" w:color="auto"/>
              <w:bottom w:val="single" w:sz="8" w:space="0" w:color="auto"/>
              <w:right w:val="single" w:sz="8" w:space="0" w:color="auto"/>
            </w:tcBorders>
            <w:shd w:val="clear" w:color="auto" w:fill="auto"/>
            <w:hideMark/>
          </w:tcPr>
          <w:p w14:paraId="41C69DFE" w14:textId="77777777" w:rsidR="00905743" w:rsidRPr="00A518C1" w:rsidRDefault="00905743" w:rsidP="00905743">
            <w:pPr>
              <w:jc w:val="right"/>
              <w:rPr>
                <w:sz w:val="18"/>
                <w:szCs w:val="18"/>
                <w:lang w:eastAsia="en-GB"/>
              </w:rPr>
            </w:pPr>
            <w:r w:rsidRPr="00A518C1">
              <w:rPr>
                <w:sz w:val="18"/>
                <w:szCs w:val="18"/>
                <w:lang w:eastAsia="en-GB"/>
              </w:rPr>
              <w:t>13</w:t>
            </w:r>
          </w:p>
        </w:tc>
        <w:tc>
          <w:tcPr>
            <w:tcW w:w="2740" w:type="dxa"/>
            <w:tcBorders>
              <w:top w:val="nil"/>
              <w:left w:val="nil"/>
              <w:bottom w:val="single" w:sz="8" w:space="0" w:color="auto"/>
              <w:right w:val="single" w:sz="8" w:space="0" w:color="auto"/>
            </w:tcBorders>
            <w:shd w:val="clear" w:color="auto" w:fill="auto"/>
            <w:hideMark/>
          </w:tcPr>
          <w:p w14:paraId="7BA7DFA1" w14:textId="77777777" w:rsidR="00905743" w:rsidRPr="00A518C1" w:rsidRDefault="00905743" w:rsidP="00905743">
            <w:pPr>
              <w:rPr>
                <w:b/>
                <w:bCs/>
                <w:sz w:val="18"/>
                <w:szCs w:val="18"/>
                <w:lang w:eastAsia="en-GB"/>
              </w:rPr>
            </w:pPr>
            <w:r w:rsidRPr="00A518C1">
              <w:rPr>
                <w:b/>
                <w:bCs/>
                <w:sz w:val="18"/>
                <w:szCs w:val="18"/>
                <w:lang w:eastAsia="en-GB"/>
              </w:rPr>
              <w:t xml:space="preserve">Severe </w:t>
            </w:r>
            <w:r w:rsidR="00604D7F">
              <w:rPr>
                <w:b/>
                <w:bCs/>
                <w:sz w:val="18"/>
                <w:szCs w:val="18"/>
                <w:lang w:eastAsia="en-GB"/>
              </w:rPr>
              <w:t>w</w:t>
            </w:r>
            <w:r w:rsidRPr="00A518C1">
              <w:rPr>
                <w:b/>
                <w:bCs/>
                <w:sz w:val="18"/>
                <w:szCs w:val="18"/>
                <w:lang w:eastAsia="en-GB"/>
              </w:rPr>
              <w:t>eather related incidents</w:t>
            </w:r>
          </w:p>
        </w:tc>
        <w:tc>
          <w:tcPr>
            <w:tcW w:w="3060" w:type="dxa"/>
            <w:tcBorders>
              <w:top w:val="nil"/>
              <w:left w:val="nil"/>
              <w:bottom w:val="single" w:sz="8" w:space="0" w:color="auto"/>
              <w:right w:val="single" w:sz="8" w:space="0" w:color="auto"/>
            </w:tcBorders>
            <w:shd w:val="clear" w:color="auto" w:fill="auto"/>
            <w:hideMark/>
          </w:tcPr>
          <w:p w14:paraId="723B12D4" w14:textId="77777777" w:rsidR="00905743" w:rsidRPr="00A518C1" w:rsidRDefault="00905743" w:rsidP="00905743">
            <w:pPr>
              <w:rPr>
                <w:sz w:val="18"/>
                <w:szCs w:val="18"/>
                <w:lang w:eastAsia="en-GB"/>
              </w:rPr>
            </w:pPr>
            <w:r w:rsidRPr="00A518C1">
              <w:rPr>
                <w:sz w:val="18"/>
                <w:szCs w:val="18"/>
                <w:lang w:eastAsia="en-GB"/>
              </w:rPr>
              <w:t>Increased retained call-outs</w:t>
            </w:r>
          </w:p>
        </w:tc>
        <w:tc>
          <w:tcPr>
            <w:tcW w:w="3100" w:type="dxa"/>
            <w:tcBorders>
              <w:top w:val="nil"/>
              <w:left w:val="nil"/>
              <w:bottom w:val="single" w:sz="8" w:space="0" w:color="auto"/>
              <w:right w:val="single" w:sz="8" w:space="0" w:color="auto"/>
            </w:tcBorders>
            <w:shd w:val="clear" w:color="auto" w:fill="auto"/>
            <w:hideMark/>
          </w:tcPr>
          <w:p w14:paraId="5F4E4C38" w14:textId="77777777" w:rsidR="00905743" w:rsidRPr="00A518C1" w:rsidRDefault="00905743" w:rsidP="00905743">
            <w:pPr>
              <w:rPr>
                <w:sz w:val="18"/>
                <w:szCs w:val="18"/>
                <w:lang w:eastAsia="en-GB"/>
              </w:rPr>
            </w:pPr>
            <w:r w:rsidRPr="00A518C1">
              <w:rPr>
                <w:sz w:val="18"/>
                <w:szCs w:val="18"/>
                <w:lang w:eastAsia="en-GB"/>
              </w:rPr>
              <w:t>Bellwin scheme.</w:t>
            </w:r>
          </w:p>
        </w:tc>
        <w:tc>
          <w:tcPr>
            <w:tcW w:w="1280" w:type="dxa"/>
            <w:tcBorders>
              <w:top w:val="nil"/>
              <w:left w:val="nil"/>
              <w:bottom w:val="single" w:sz="8" w:space="0" w:color="auto"/>
              <w:right w:val="single" w:sz="8" w:space="0" w:color="auto"/>
            </w:tcBorders>
            <w:shd w:val="clear" w:color="auto" w:fill="auto"/>
            <w:noWrap/>
            <w:hideMark/>
          </w:tcPr>
          <w:p w14:paraId="59CEEE43" w14:textId="77777777" w:rsidR="00905743" w:rsidRPr="00A518C1" w:rsidRDefault="00905743" w:rsidP="00905743">
            <w:pPr>
              <w:jc w:val="right"/>
              <w:rPr>
                <w:sz w:val="18"/>
                <w:szCs w:val="18"/>
                <w:lang w:eastAsia="en-GB"/>
              </w:rPr>
            </w:pPr>
            <w:r w:rsidRPr="00A518C1">
              <w:rPr>
                <w:sz w:val="18"/>
                <w:szCs w:val="18"/>
                <w:lang w:eastAsia="en-GB"/>
              </w:rPr>
              <w:t>300,000</w:t>
            </w:r>
          </w:p>
        </w:tc>
        <w:tc>
          <w:tcPr>
            <w:tcW w:w="1160" w:type="dxa"/>
            <w:tcBorders>
              <w:top w:val="nil"/>
              <w:left w:val="nil"/>
              <w:bottom w:val="single" w:sz="8" w:space="0" w:color="auto"/>
              <w:right w:val="single" w:sz="8" w:space="0" w:color="auto"/>
            </w:tcBorders>
            <w:shd w:val="clear" w:color="auto" w:fill="auto"/>
            <w:noWrap/>
            <w:hideMark/>
          </w:tcPr>
          <w:p w14:paraId="72976C15" w14:textId="77777777" w:rsidR="00905743" w:rsidRPr="00A518C1" w:rsidRDefault="00905743" w:rsidP="00905743">
            <w:pPr>
              <w:jc w:val="right"/>
              <w:rPr>
                <w:sz w:val="18"/>
                <w:szCs w:val="18"/>
                <w:lang w:eastAsia="en-GB"/>
              </w:rPr>
            </w:pPr>
            <w:r w:rsidRPr="00A518C1">
              <w:rPr>
                <w:sz w:val="18"/>
                <w:szCs w:val="18"/>
                <w:lang w:eastAsia="en-GB"/>
              </w:rPr>
              <w:t>0.4</w:t>
            </w:r>
          </w:p>
        </w:tc>
        <w:tc>
          <w:tcPr>
            <w:tcW w:w="1220" w:type="dxa"/>
            <w:tcBorders>
              <w:top w:val="nil"/>
              <w:left w:val="nil"/>
              <w:bottom w:val="single" w:sz="8" w:space="0" w:color="auto"/>
              <w:right w:val="single" w:sz="8" w:space="0" w:color="auto"/>
            </w:tcBorders>
            <w:shd w:val="clear" w:color="auto" w:fill="auto"/>
            <w:noWrap/>
            <w:hideMark/>
          </w:tcPr>
          <w:p w14:paraId="361A697A" w14:textId="77777777" w:rsidR="00905743" w:rsidRPr="00A518C1" w:rsidRDefault="00905743" w:rsidP="00905743">
            <w:pPr>
              <w:jc w:val="right"/>
              <w:rPr>
                <w:sz w:val="18"/>
                <w:szCs w:val="18"/>
                <w:lang w:eastAsia="en-GB"/>
              </w:rPr>
            </w:pPr>
            <w:r w:rsidRPr="00A518C1">
              <w:rPr>
                <w:sz w:val="18"/>
                <w:szCs w:val="18"/>
                <w:lang w:eastAsia="en-GB"/>
              </w:rPr>
              <w:t>120,000</w:t>
            </w:r>
          </w:p>
        </w:tc>
      </w:tr>
      <w:tr w:rsidR="00905743" w:rsidRPr="00A518C1" w14:paraId="25EDEFF9" w14:textId="77777777" w:rsidTr="00905743">
        <w:trPr>
          <w:trHeight w:val="1523"/>
        </w:trPr>
        <w:tc>
          <w:tcPr>
            <w:tcW w:w="640" w:type="dxa"/>
            <w:tcBorders>
              <w:top w:val="nil"/>
              <w:left w:val="single" w:sz="8" w:space="0" w:color="auto"/>
              <w:bottom w:val="single" w:sz="8" w:space="0" w:color="auto"/>
              <w:right w:val="single" w:sz="8" w:space="0" w:color="auto"/>
            </w:tcBorders>
            <w:shd w:val="clear" w:color="auto" w:fill="auto"/>
            <w:hideMark/>
          </w:tcPr>
          <w:p w14:paraId="61C1AED4" w14:textId="77777777" w:rsidR="00905743" w:rsidRPr="00A518C1" w:rsidRDefault="00905743" w:rsidP="00905743">
            <w:pPr>
              <w:jc w:val="right"/>
              <w:rPr>
                <w:sz w:val="18"/>
                <w:szCs w:val="18"/>
                <w:lang w:eastAsia="en-GB"/>
              </w:rPr>
            </w:pPr>
            <w:r w:rsidRPr="00A518C1">
              <w:rPr>
                <w:sz w:val="18"/>
                <w:szCs w:val="18"/>
                <w:lang w:eastAsia="en-GB"/>
              </w:rPr>
              <w:t>14</w:t>
            </w:r>
          </w:p>
        </w:tc>
        <w:tc>
          <w:tcPr>
            <w:tcW w:w="2740" w:type="dxa"/>
            <w:tcBorders>
              <w:top w:val="nil"/>
              <w:left w:val="nil"/>
              <w:bottom w:val="single" w:sz="8" w:space="0" w:color="auto"/>
              <w:right w:val="single" w:sz="8" w:space="0" w:color="auto"/>
            </w:tcBorders>
            <w:shd w:val="clear" w:color="auto" w:fill="auto"/>
            <w:hideMark/>
          </w:tcPr>
          <w:p w14:paraId="5E5CEB55" w14:textId="77777777" w:rsidR="00905743" w:rsidRPr="00A518C1" w:rsidRDefault="00905743" w:rsidP="00905743">
            <w:pPr>
              <w:rPr>
                <w:sz w:val="18"/>
                <w:szCs w:val="18"/>
                <w:lang w:eastAsia="en-GB"/>
              </w:rPr>
            </w:pPr>
            <w:r w:rsidRPr="00A518C1">
              <w:rPr>
                <w:b/>
                <w:bCs/>
                <w:sz w:val="18"/>
                <w:szCs w:val="18"/>
                <w:lang w:eastAsia="en-GB"/>
              </w:rPr>
              <w:t>Collaboration</w:t>
            </w:r>
            <w:r w:rsidRPr="00A518C1">
              <w:rPr>
                <w:sz w:val="18"/>
                <w:szCs w:val="18"/>
                <w:lang w:eastAsia="en-GB"/>
              </w:rPr>
              <w:t xml:space="preserve"> unforeseen costs</w:t>
            </w:r>
          </w:p>
        </w:tc>
        <w:tc>
          <w:tcPr>
            <w:tcW w:w="3060" w:type="dxa"/>
            <w:tcBorders>
              <w:top w:val="nil"/>
              <w:left w:val="nil"/>
              <w:bottom w:val="single" w:sz="8" w:space="0" w:color="auto"/>
              <w:right w:val="single" w:sz="8" w:space="0" w:color="auto"/>
            </w:tcBorders>
            <w:shd w:val="clear" w:color="auto" w:fill="auto"/>
            <w:hideMark/>
          </w:tcPr>
          <w:p w14:paraId="2DBD006F" w14:textId="77777777" w:rsidR="00905743" w:rsidRPr="00A518C1" w:rsidRDefault="00905743" w:rsidP="00905743">
            <w:pPr>
              <w:rPr>
                <w:sz w:val="18"/>
                <w:szCs w:val="18"/>
                <w:lang w:eastAsia="en-GB"/>
              </w:rPr>
            </w:pPr>
            <w:r w:rsidRPr="00A518C1">
              <w:rPr>
                <w:sz w:val="18"/>
                <w:szCs w:val="18"/>
                <w:lang w:eastAsia="en-GB"/>
              </w:rPr>
              <w:t>With several collaboration projects being undertaken there is a potential pressure to increase costs to reflect inflationary pressures / increased capital costs / change in needs</w:t>
            </w:r>
          </w:p>
        </w:tc>
        <w:tc>
          <w:tcPr>
            <w:tcW w:w="3100" w:type="dxa"/>
            <w:tcBorders>
              <w:top w:val="nil"/>
              <w:left w:val="nil"/>
              <w:bottom w:val="single" w:sz="8" w:space="0" w:color="auto"/>
              <w:right w:val="single" w:sz="8" w:space="0" w:color="auto"/>
            </w:tcBorders>
            <w:shd w:val="clear" w:color="auto" w:fill="auto"/>
            <w:hideMark/>
          </w:tcPr>
          <w:p w14:paraId="46C67306" w14:textId="77777777" w:rsidR="00905743" w:rsidRPr="00A518C1" w:rsidRDefault="00905743" w:rsidP="00905743">
            <w:pPr>
              <w:rPr>
                <w:sz w:val="18"/>
                <w:szCs w:val="18"/>
                <w:lang w:eastAsia="en-GB"/>
              </w:rPr>
            </w:pPr>
            <w:r w:rsidRPr="00A518C1">
              <w:rPr>
                <w:sz w:val="18"/>
                <w:szCs w:val="18"/>
                <w:lang w:eastAsia="en-GB"/>
              </w:rPr>
              <w:t>Effective planning and identification of costs at the outset of the project</w:t>
            </w:r>
          </w:p>
        </w:tc>
        <w:tc>
          <w:tcPr>
            <w:tcW w:w="1280" w:type="dxa"/>
            <w:tcBorders>
              <w:top w:val="nil"/>
              <w:left w:val="nil"/>
              <w:bottom w:val="single" w:sz="8" w:space="0" w:color="auto"/>
              <w:right w:val="single" w:sz="8" w:space="0" w:color="auto"/>
            </w:tcBorders>
            <w:shd w:val="clear" w:color="auto" w:fill="auto"/>
            <w:noWrap/>
            <w:hideMark/>
          </w:tcPr>
          <w:p w14:paraId="463778B5" w14:textId="77777777" w:rsidR="00905743" w:rsidRPr="00A518C1" w:rsidRDefault="00905743" w:rsidP="00905743">
            <w:pPr>
              <w:jc w:val="right"/>
              <w:rPr>
                <w:sz w:val="18"/>
                <w:szCs w:val="18"/>
                <w:lang w:eastAsia="en-GB"/>
              </w:rPr>
            </w:pPr>
            <w:r w:rsidRPr="00A518C1">
              <w:rPr>
                <w:sz w:val="18"/>
                <w:szCs w:val="18"/>
                <w:lang w:eastAsia="en-GB"/>
              </w:rPr>
              <w:t>400,000</w:t>
            </w:r>
          </w:p>
        </w:tc>
        <w:tc>
          <w:tcPr>
            <w:tcW w:w="1160" w:type="dxa"/>
            <w:tcBorders>
              <w:top w:val="nil"/>
              <w:left w:val="nil"/>
              <w:bottom w:val="single" w:sz="8" w:space="0" w:color="auto"/>
              <w:right w:val="single" w:sz="8" w:space="0" w:color="auto"/>
            </w:tcBorders>
            <w:shd w:val="clear" w:color="auto" w:fill="auto"/>
            <w:noWrap/>
            <w:hideMark/>
          </w:tcPr>
          <w:p w14:paraId="591E9530" w14:textId="77777777" w:rsidR="00905743" w:rsidRPr="00A518C1" w:rsidRDefault="00905743" w:rsidP="00905743">
            <w:pPr>
              <w:jc w:val="right"/>
              <w:rPr>
                <w:sz w:val="18"/>
                <w:szCs w:val="18"/>
                <w:lang w:eastAsia="en-GB"/>
              </w:rPr>
            </w:pPr>
            <w:r w:rsidRPr="00A518C1">
              <w:rPr>
                <w:sz w:val="18"/>
                <w:szCs w:val="18"/>
                <w:lang w:eastAsia="en-GB"/>
              </w:rPr>
              <w:t>0.2</w:t>
            </w:r>
          </w:p>
        </w:tc>
        <w:tc>
          <w:tcPr>
            <w:tcW w:w="1220" w:type="dxa"/>
            <w:tcBorders>
              <w:top w:val="nil"/>
              <w:left w:val="nil"/>
              <w:bottom w:val="single" w:sz="8" w:space="0" w:color="auto"/>
              <w:right w:val="single" w:sz="8" w:space="0" w:color="auto"/>
            </w:tcBorders>
            <w:shd w:val="clear" w:color="auto" w:fill="auto"/>
            <w:noWrap/>
            <w:hideMark/>
          </w:tcPr>
          <w:p w14:paraId="054E3FB0" w14:textId="77777777" w:rsidR="00905743" w:rsidRPr="00A518C1" w:rsidRDefault="00905743" w:rsidP="00905743">
            <w:pPr>
              <w:jc w:val="right"/>
              <w:rPr>
                <w:sz w:val="18"/>
                <w:szCs w:val="18"/>
                <w:lang w:eastAsia="en-GB"/>
              </w:rPr>
            </w:pPr>
            <w:r w:rsidRPr="00A518C1">
              <w:rPr>
                <w:sz w:val="18"/>
                <w:szCs w:val="18"/>
                <w:lang w:eastAsia="en-GB"/>
              </w:rPr>
              <w:t>80,000</w:t>
            </w:r>
          </w:p>
        </w:tc>
      </w:tr>
      <w:tr w:rsidR="00905743" w:rsidRPr="00A518C1" w14:paraId="658D4AAD" w14:textId="77777777" w:rsidTr="00905743">
        <w:trPr>
          <w:trHeight w:val="885"/>
        </w:trPr>
        <w:tc>
          <w:tcPr>
            <w:tcW w:w="640" w:type="dxa"/>
            <w:tcBorders>
              <w:top w:val="nil"/>
              <w:left w:val="single" w:sz="8" w:space="0" w:color="auto"/>
              <w:bottom w:val="single" w:sz="8" w:space="0" w:color="auto"/>
              <w:right w:val="single" w:sz="8" w:space="0" w:color="auto"/>
            </w:tcBorders>
            <w:shd w:val="clear" w:color="auto" w:fill="auto"/>
            <w:hideMark/>
          </w:tcPr>
          <w:p w14:paraId="341BDD4D" w14:textId="77777777" w:rsidR="00905743" w:rsidRPr="00A518C1" w:rsidRDefault="00905743" w:rsidP="00905743">
            <w:pPr>
              <w:jc w:val="right"/>
              <w:rPr>
                <w:sz w:val="18"/>
                <w:szCs w:val="18"/>
                <w:lang w:eastAsia="en-GB"/>
              </w:rPr>
            </w:pPr>
            <w:r w:rsidRPr="00A518C1">
              <w:rPr>
                <w:sz w:val="18"/>
                <w:szCs w:val="18"/>
                <w:lang w:eastAsia="en-GB"/>
              </w:rPr>
              <w:t>15</w:t>
            </w:r>
          </w:p>
        </w:tc>
        <w:tc>
          <w:tcPr>
            <w:tcW w:w="2740" w:type="dxa"/>
            <w:tcBorders>
              <w:top w:val="nil"/>
              <w:left w:val="nil"/>
              <w:bottom w:val="single" w:sz="8" w:space="0" w:color="auto"/>
              <w:right w:val="single" w:sz="8" w:space="0" w:color="auto"/>
            </w:tcBorders>
            <w:shd w:val="clear" w:color="auto" w:fill="auto"/>
            <w:hideMark/>
          </w:tcPr>
          <w:p w14:paraId="2C05B581" w14:textId="77777777" w:rsidR="00905743" w:rsidRPr="00A518C1" w:rsidRDefault="00905743" w:rsidP="00905743">
            <w:pPr>
              <w:rPr>
                <w:b/>
                <w:bCs/>
                <w:sz w:val="18"/>
                <w:szCs w:val="18"/>
                <w:lang w:eastAsia="en-GB"/>
              </w:rPr>
            </w:pPr>
            <w:r w:rsidRPr="00A518C1">
              <w:rPr>
                <w:b/>
                <w:bCs/>
                <w:sz w:val="18"/>
                <w:szCs w:val="18"/>
                <w:lang w:eastAsia="en-GB"/>
              </w:rPr>
              <w:t xml:space="preserve">Unforeseen general change in legislation / Major </w:t>
            </w:r>
            <w:r w:rsidR="00604D7F">
              <w:rPr>
                <w:b/>
                <w:bCs/>
                <w:sz w:val="18"/>
                <w:szCs w:val="18"/>
                <w:lang w:eastAsia="en-GB"/>
              </w:rPr>
              <w:t>i</w:t>
            </w:r>
            <w:r w:rsidRPr="00A518C1">
              <w:rPr>
                <w:b/>
                <w:bCs/>
                <w:sz w:val="18"/>
                <w:szCs w:val="18"/>
                <w:lang w:eastAsia="en-GB"/>
              </w:rPr>
              <w:t>ncident Reviews</w:t>
            </w:r>
          </w:p>
        </w:tc>
        <w:tc>
          <w:tcPr>
            <w:tcW w:w="3060" w:type="dxa"/>
            <w:tcBorders>
              <w:top w:val="nil"/>
              <w:left w:val="nil"/>
              <w:bottom w:val="single" w:sz="8" w:space="0" w:color="auto"/>
              <w:right w:val="single" w:sz="8" w:space="0" w:color="auto"/>
            </w:tcBorders>
            <w:shd w:val="clear" w:color="auto" w:fill="auto"/>
            <w:hideMark/>
          </w:tcPr>
          <w:p w14:paraId="7210EA3B" w14:textId="77777777" w:rsidR="00905743" w:rsidRPr="00A518C1" w:rsidRDefault="00905743" w:rsidP="00905743">
            <w:pPr>
              <w:rPr>
                <w:sz w:val="18"/>
                <w:szCs w:val="18"/>
                <w:lang w:eastAsia="en-GB"/>
              </w:rPr>
            </w:pPr>
            <w:r w:rsidRPr="00A518C1">
              <w:rPr>
                <w:sz w:val="18"/>
                <w:szCs w:val="18"/>
                <w:lang w:eastAsia="en-GB"/>
              </w:rPr>
              <w:t>Increased costs of working due to doing more or doing things differently &amp; costs of training</w:t>
            </w:r>
          </w:p>
        </w:tc>
        <w:tc>
          <w:tcPr>
            <w:tcW w:w="3100" w:type="dxa"/>
            <w:tcBorders>
              <w:top w:val="nil"/>
              <w:left w:val="nil"/>
              <w:bottom w:val="single" w:sz="8" w:space="0" w:color="auto"/>
              <w:right w:val="single" w:sz="8" w:space="0" w:color="auto"/>
            </w:tcBorders>
            <w:shd w:val="clear" w:color="auto" w:fill="auto"/>
            <w:hideMark/>
          </w:tcPr>
          <w:p w14:paraId="0DF6C782" w14:textId="77777777" w:rsidR="00905743" w:rsidRPr="00A518C1" w:rsidRDefault="00905743" w:rsidP="00905743">
            <w:pPr>
              <w:rPr>
                <w:sz w:val="18"/>
                <w:szCs w:val="18"/>
                <w:lang w:eastAsia="en-GB"/>
              </w:rPr>
            </w:pPr>
            <w:r w:rsidRPr="00A518C1">
              <w:rPr>
                <w:sz w:val="18"/>
                <w:szCs w:val="18"/>
                <w:lang w:eastAsia="en-GB"/>
              </w:rPr>
              <w:t>Awareness</w:t>
            </w:r>
          </w:p>
        </w:tc>
        <w:tc>
          <w:tcPr>
            <w:tcW w:w="1280" w:type="dxa"/>
            <w:tcBorders>
              <w:top w:val="nil"/>
              <w:left w:val="nil"/>
              <w:bottom w:val="single" w:sz="8" w:space="0" w:color="auto"/>
              <w:right w:val="single" w:sz="8" w:space="0" w:color="auto"/>
            </w:tcBorders>
            <w:shd w:val="clear" w:color="auto" w:fill="auto"/>
            <w:noWrap/>
            <w:hideMark/>
          </w:tcPr>
          <w:p w14:paraId="4F507342" w14:textId="77777777" w:rsidR="00905743" w:rsidRPr="00A518C1" w:rsidRDefault="00905743" w:rsidP="00905743">
            <w:pPr>
              <w:jc w:val="right"/>
              <w:rPr>
                <w:sz w:val="18"/>
                <w:szCs w:val="18"/>
                <w:lang w:eastAsia="en-GB"/>
              </w:rPr>
            </w:pPr>
            <w:r w:rsidRPr="00A518C1">
              <w:rPr>
                <w:sz w:val="18"/>
                <w:szCs w:val="18"/>
                <w:lang w:eastAsia="en-GB"/>
              </w:rPr>
              <w:t>300,000</w:t>
            </w:r>
          </w:p>
        </w:tc>
        <w:tc>
          <w:tcPr>
            <w:tcW w:w="1160" w:type="dxa"/>
            <w:tcBorders>
              <w:top w:val="nil"/>
              <w:left w:val="nil"/>
              <w:bottom w:val="single" w:sz="8" w:space="0" w:color="auto"/>
              <w:right w:val="single" w:sz="8" w:space="0" w:color="auto"/>
            </w:tcBorders>
            <w:shd w:val="clear" w:color="auto" w:fill="auto"/>
            <w:noWrap/>
            <w:hideMark/>
          </w:tcPr>
          <w:p w14:paraId="5C628B2F" w14:textId="77777777" w:rsidR="00905743" w:rsidRPr="00A518C1" w:rsidRDefault="00905743" w:rsidP="00905743">
            <w:pPr>
              <w:jc w:val="right"/>
              <w:rPr>
                <w:sz w:val="18"/>
                <w:szCs w:val="18"/>
                <w:lang w:eastAsia="en-GB"/>
              </w:rPr>
            </w:pPr>
            <w:r w:rsidRPr="00A518C1">
              <w:rPr>
                <w:sz w:val="18"/>
                <w:szCs w:val="18"/>
                <w:lang w:eastAsia="en-GB"/>
              </w:rPr>
              <w:t>0.2</w:t>
            </w:r>
          </w:p>
        </w:tc>
        <w:tc>
          <w:tcPr>
            <w:tcW w:w="1220" w:type="dxa"/>
            <w:tcBorders>
              <w:top w:val="nil"/>
              <w:left w:val="nil"/>
              <w:bottom w:val="single" w:sz="8" w:space="0" w:color="auto"/>
              <w:right w:val="single" w:sz="8" w:space="0" w:color="auto"/>
            </w:tcBorders>
            <w:shd w:val="clear" w:color="auto" w:fill="auto"/>
            <w:noWrap/>
            <w:hideMark/>
          </w:tcPr>
          <w:p w14:paraId="4B826C9B" w14:textId="77777777" w:rsidR="00905743" w:rsidRPr="00A518C1" w:rsidRDefault="00905743" w:rsidP="00905743">
            <w:pPr>
              <w:jc w:val="right"/>
              <w:rPr>
                <w:sz w:val="18"/>
                <w:szCs w:val="18"/>
                <w:lang w:eastAsia="en-GB"/>
              </w:rPr>
            </w:pPr>
            <w:r w:rsidRPr="00A518C1">
              <w:rPr>
                <w:sz w:val="18"/>
                <w:szCs w:val="18"/>
                <w:lang w:eastAsia="en-GB"/>
              </w:rPr>
              <w:t>60,000</w:t>
            </w:r>
          </w:p>
        </w:tc>
      </w:tr>
      <w:tr w:rsidR="00905743" w:rsidRPr="00A518C1" w14:paraId="12E38C74" w14:textId="77777777" w:rsidTr="00905743">
        <w:trPr>
          <w:trHeight w:val="533"/>
        </w:trPr>
        <w:tc>
          <w:tcPr>
            <w:tcW w:w="640" w:type="dxa"/>
            <w:tcBorders>
              <w:top w:val="nil"/>
              <w:left w:val="single" w:sz="8" w:space="0" w:color="auto"/>
              <w:bottom w:val="single" w:sz="8" w:space="0" w:color="auto"/>
              <w:right w:val="single" w:sz="8" w:space="0" w:color="auto"/>
            </w:tcBorders>
            <w:shd w:val="clear" w:color="auto" w:fill="auto"/>
            <w:hideMark/>
          </w:tcPr>
          <w:p w14:paraId="7876BCEA" w14:textId="77777777" w:rsidR="00905743" w:rsidRPr="00A518C1" w:rsidRDefault="00905743" w:rsidP="00905743">
            <w:pPr>
              <w:jc w:val="right"/>
              <w:rPr>
                <w:sz w:val="18"/>
                <w:szCs w:val="18"/>
                <w:lang w:eastAsia="en-GB"/>
              </w:rPr>
            </w:pPr>
            <w:r w:rsidRPr="00A518C1">
              <w:rPr>
                <w:sz w:val="18"/>
                <w:szCs w:val="18"/>
                <w:lang w:eastAsia="en-GB"/>
              </w:rPr>
              <w:t>16</w:t>
            </w:r>
          </w:p>
        </w:tc>
        <w:tc>
          <w:tcPr>
            <w:tcW w:w="2740" w:type="dxa"/>
            <w:tcBorders>
              <w:top w:val="nil"/>
              <w:left w:val="nil"/>
              <w:bottom w:val="single" w:sz="8" w:space="0" w:color="auto"/>
              <w:right w:val="single" w:sz="8" w:space="0" w:color="auto"/>
            </w:tcBorders>
            <w:shd w:val="clear" w:color="auto" w:fill="auto"/>
            <w:hideMark/>
          </w:tcPr>
          <w:p w14:paraId="7E3A56B0" w14:textId="77777777" w:rsidR="00905743" w:rsidRPr="00A518C1" w:rsidRDefault="00905743" w:rsidP="00905743">
            <w:pPr>
              <w:rPr>
                <w:sz w:val="18"/>
                <w:szCs w:val="18"/>
                <w:lang w:eastAsia="en-GB"/>
              </w:rPr>
            </w:pPr>
            <w:r w:rsidRPr="00A518C1">
              <w:rPr>
                <w:b/>
                <w:bCs/>
                <w:sz w:val="18"/>
                <w:szCs w:val="18"/>
                <w:lang w:eastAsia="en-GB"/>
              </w:rPr>
              <w:t>Major ongoing incident</w:t>
            </w:r>
            <w:r w:rsidRPr="00A518C1">
              <w:rPr>
                <w:sz w:val="18"/>
                <w:szCs w:val="18"/>
                <w:lang w:eastAsia="en-GB"/>
              </w:rPr>
              <w:t xml:space="preserve"> such as pandemic which affects Business Continuity Management (BCM)</w:t>
            </w:r>
          </w:p>
        </w:tc>
        <w:tc>
          <w:tcPr>
            <w:tcW w:w="3060" w:type="dxa"/>
            <w:tcBorders>
              <w:top w:val="nil"/>
              <w:left w:val="nil"/>
              <w:bottom w:val="single" w:sz="8" w:space="0" w:color="auto"/>
              <w:right w:val="single" w:sz="8" w:space="0" w:color="auto"/>
            </w:tcBorders>
            <w:shd w:val="clear" w:color="auto" w:fill="auto"/>
            <w:hideMark/>
          </w:tcPr>
          <w:p w14:paraId="1F1C9D8B" w14:textId="77777777" w:rsidR="00905743" w:rsidRPr="00A518C1" w:rsidRDefault="00905743" w:rsidP="00905743">
            <w:pPr>
              <w:rPr>
                <w:sz w:val="18"/>
                <w:szCs w:val="18"/>
                <w:lang w:eastAsia="en-GB"/>
              </w:rPr>
            </w:pPr>
            <w:r w:rsidRPr="00A518C1">
              <w:rPr>
                <w:sz w:val="18"/>
                <w:szCs w:val="18"/>
                <w:lang w:eastAsia="en-GB"/>
              </w:rPr>
              <w:t>Ongoing significant additional costs to ensure critical capability maintained.</w:t>
            </w:r>
          </w:p>
        </w:tc>
        <w:tc>
          <w:tcPr>
            <w:tcW w:w="3100" w:type="dxa"/>
            <w:tcBorders>
              <w:top w:val="nil"/>
              <w:left w:val="nil"/>
              <w:bottom w:val="single" w:sz="8" w:space="0" w:color="auto"/>
              <w:right w:val="single" w:sz="8" w:space="0" w:color="auto"/>
            </w:tcBorders>
            <w:shd w:val="clear" w:color="auto" w:fill="auto"/>
            <w:hideMark/>
          </w:tcPr>
          <w:p w14:paraId="27D49DDC" w14:textId="77777777" w:rsidR="00905743" w:rsidRPr="00A518C1" w:rsidRDefault="00905743" w:rsidP="00905743">
            <w:pPr>
              <w:rPr>
                <w:sz w:val="18"/>
                <w:szCs w:val="18"/>
                <w:lang w:eastAsia="en-GB"/>
              </w:rPr>
            </w:pPr>
            <w:r w:rsidRPr="00A518C1">
              <w:rPr>
                <w:sz w:val="18"/>
                <w:szCs w:val="18"/>
                <w:lang w:eastAsia="en-GB"/>
              </w:rPr>
              <w:t xml:space="preserve">Robust BCM arrangements. Pandemic plan.  Potential additional government grant.  Reduced activity elsewhere across the service may </w:t>
            </w:r>
            <w:r w:rsidRPr="00A518C1">
              <w:rPr>
                <w:sz w:val="18"/>
                <w:szCs w:val="18"/>
                <w:lang w:eastAsia="en-GB"/>
              </w:rPr>
              <w:lastRenderedPageBreak/>
              <w:t>result in savings which can be redirected.</w:t>
            </w:r>
          </w:p>
        </w:tc>
        <w:tc>
          <w:tcPr>
            <w:tcW w:w="1280" w:type="dxa"/>
            <w:tcBorders>
              <w:top w:val="nil"/>
              <w:left w:val="nil"/>
              <w:bottom w:val="single" w:sz="8" w:space="0" w:color="auto"/>
              <w:right w:val="single" w:sz="8" w:space="0" w:color="auto"/>
            </w:tcBorders>
            <w:shd w:val="clear" w:color="auto" w:fill="auto"/>
            <w:noWrap/>
            <w:hideMark/>
          </w:tcPr>
          <w:p w14:paraId="22B8DBE3" w14:textId="77777777" w:rsidR="00905743" w:rsidRPr="00A518C1" w:rsidRDefault="00905743" w:rsidP="00905743">
            <w:pPr>
              <w:jc w:val="right"/>
              <w:rPr>
                <w:sz w:val="18"/>
                <w:szCs w:val="18"/>
                <w:lang w:eastAsia="en-GB"/>
              </w:rPr>
            </w:pPr>
            <w:r w:rsidRPr="00A518C1">
              <w:rPr>
                <w:sz w:val="18"/>
                <w:szCs w:val="18"/>
                <w:lang w:eastAsia="en-GB"/>
              </w:rPr>
              <w:lastRenderedPageBreak/>
              <w:t>500,000</w:t>
            </w:r>
          </w:p>
        </w:tc>
        <w:tc>
          <w:tcPr>
            <w:tcW w:w="1160" w:type="dxa"/>
            <w:tcBorders>
              <w:top w:val="nil"/>
              <w:left w:val="nil"/>
              <w:bottom w:val="single" w:sz="8" w:space="0" w:color="auto"/>
              <w:right w:val="single" w:sz="8" w:space="0" w:color="auto"/>
            </w:tcBorders>
            <w:shd w:val="clear" w:color="auto" w:fill="auto"/>
            <w:noWrap/>
            <w:hideMark/>
          </w:tcPr>
          <w:p w14:paraId="28D85A93" w14:textId="77777777" w:rsidR="00905743" w:rsidRPr="00A518C1" w:rsidRDefault="00905743" w:rsidP="00905743">
            <w:pPr>
              <w:jc w:val="right"/>
              <w:rPr>
                <w:sz w:val="18"/>
                <w:szCs w:val="18"/>
                <w:lang w:eastAsia="en-GB"/>
              </w:rPr>
            </w:pPr>
            <w:r w:rsidRPr="00A518C1">
              <w:rPr>
                <w:sz w:val="18"/>
                <w:szCs w:val="18"/>
                <w:lang w:eastAsia="en-GB"/>
              </w:rPr>
              <w:t>0.1</w:t>
            </w:r>
          </w:p>
        </w:tc>
        <w:tc>
          <w:tcPr>
            <w:tcW w:w="1220" w:type="dxa"/>
            <w:tcBorders>
              <w:top w:val="nil"/>
              <w:left w:val="nil"/>
              <w:bottom w:val="single" w:sz="8" w:space="0" w:color="auto"/>
              <w:right w:val="single" w:sz="8" w:space="0" w:color="auto"/>
            </w:tcBorders>
            <w:shd w:val="clear" w:color="auto" w:fill="auto"/>
            <w:noWrap/>
            <w:hideMark/>
          </w:tcPr>
          <w:p w14:paraId="0F177B58" w14:textId="77777777" w:rsidR="00905743" w:rsidRPr="00A518C1" w:rsidRDefault="00905743" w:rsidP="00905743">
            <w:pPr>
              <w:jc w:val="right"/>
              <w:rPr>
                <w:sz w:val="18"/>
                <w:szCs w:val="18"/>
                <w:lang w:eastAsia="en-GB"/>
              </w:rPr>
            </w:pPr>
            <w:r w:rsidRPr="00A518C1">
              <w:rPr>
                <w:sz w:val="18"/>
                <w:szCs w:val="18"/>
                <w:lang w:eastAsia="en-GB"/>
              </w:rPr>
              <w:t>50,000</w:t>
            </w:r>
          </w:p>
        </w:tc>
      </w:tr>
      <w:tr w:rsidR="00905743" w:rsidRPr="00A518C1" w14:paraId="2BC53ABA" w14:textId="77777777" w:rsidTr="00905743">
        <w:trPr>
          <w:trHeight w:val="833"/>
        </w:trPr>
        <w:tc>
          <w:tcPr>
            <w:tcW w:w="640" w:type="dxa"/>
            <w:tcBorders>
              <w:top w:val="nil"/>
              <w:left w:val="single" w:sz="8" w:space="0" w:color="auto"/>
              <w:bottom w:val="single" w:sz="8" w:space="0" w:color="auto"/>
              <w:right w:val="single" w:sz="8" w:space="0" w:color="auto"/>
            </w:tcBorders>
            <w:shd w:val="clear" w:color="auto" w:fill="auto"/>
            <w:hideMark/>
          </w:tcPr>
          <w:p w14:paraId="3E8FFB6F" w14:textId="77777777" w:rsidR="00905743" w:rsidRPr="00A518C1" w:rsidRDefault="00905743" w:rsidP="00905743">
            <w:pPr>
              <w:jc w:val="right"/>
              <w:rPr>
                <w:sz w:val="18"/>
                <w:szCs w:val="18"/>
                <w:lang w:eastAsia="en-GB"/>
              </w:rPr>
            </w:pPr>
            <w:r w:rsidRPr="00A518C1">
              <w:rPr>
                <w:sz w:val="18"/>
                <w:szCs w:val="18"/>
                <w:lang w:eastAsia="en-GB"/>
              </w:rPr>
              <w:t>17</w:t>
            </w:r>
          </w:p>
        </w:tc>
        <w:tc>
          <w:tcPr>
            <w:tcW w:w="2740" w:type="dxa"/>
            <w:tcBorders>
              <w:top w:val="nil"/>
              <w:left w:val="nil"/>
              <w:bottom w:val="single" w:sz="8" w:space="0" w:color="auto"/>
              <w:right w:val="single" w:sz="8" w:space="0" w:color="auto"/>
            </w:tcBorders>
            <w:shd w:val="clear" w:color="auto" w:fill="auto"/>
            <w:hideMark/>
          </w:tcPr>
          <w:p w14:paraId="34AD9B21" w14:textId="77777777" w:rsidR="00905743" w:rsidRPr="00A518C1" w:rsidRDefault="00905743" w:rsidP="00905743">
            <w:pPr>
              <w:rPr>
                <w:b/>
                <w:bCs/>
                <w:sz w:val="18"/>
                <w:szCs w:val="18"/>
                <w:lang w:eastAsia="en-GB"/>
              </w:rPr>
            </w:pPr>
            <w:r w:rsidRPr="00A518C1">
              <w:rPr>
                <w:b/>
                <w:bCs/>
                <w:sz w:val="18"/>
                <w:szCs w:val="18"/>
                <w:lang w:eastAsia="en-GB"/>
              </w:rPr>
              <w:t xml:space="preserve">Insurance </w:t>
            </w:r>
            <w:r w:rsidR="00604D7F">
              <w:rPr>
                <w:b/>
                <w:bCs/>
                <w:sz w:val="18"/>
                <w:szCs w:val="18"/>
                <w:lang w:eastAsia="en-GB"/>
              </w:rPr>
              <w:t>r</w:t>
            </w:r>
            <w:r w:rsidRPr="00A518C1">
              <w:rPr>
                <w:b/>
                <w:bCs/>
                <w:sz w:val="18"/>
                <w:szCs w:val="18"/>
                <w:lang w:eastAsia="en-GB"/>
              </w:rPr>
              <w:t>eceipts may not cover replacement cost of assets</w:t>
            </w:r>
          </w:p>
        </w:tc>
        <w:tc>
          <w:tcPr>
            <w:tcW w:w="3060" w:type="dxa"/>
            <w:tcBorders>
              <w:top w:val="nil"/>
              <w:left w:val="nil"/>
              <w:bottom w:val="single" w:sz="8" w:space="0" w:color="auto"/>
              <w:right w:val="single" w:sz="8" w:space="0" w:color="auto"/>
            </w:tcBorders>
            <w:shd w:val="clear" w:color="auto" w:fill="auto"/>
            <w:hideMark/>
          </w:tcPr>
          <w:p w14:paraId="0325179C" w14:textId="77777777" w:rsidR="00905743" w:rsidRPr="00A518C1" w:rsidRDefault="00905743" w:rsidP="00905743">
            <w:pPr>
              <w:rPr>
                <w:sz w:val="18"/>
                <w:szCs w:val="18"/>
                <w:lang w:eastAsia="en-GB"/>
              </w:rPr>
            </w:pPr>
            <w:r w:rsidRPr="00A518C1">
              <w:rPr>
                <w:sz w:val="18"/>
                <w:szCs w:val="18"/>
                <w:lang w:eastAsia="en-GB"/>
              </w:rPr>
              <w:t>Impact on budget if replacement cost of asset exceeds income from insurance claim.  Cost of any interim arrangements</w:t>
            </w:r>
          </w:p>
        </w:tc>
        <w:tc>
          <w:tcPr>
            <w:tcW w:w="3100" w:type="dxa"/>
            <w:tcBorders>
              <w:top w:val="nil"/>
              <w:left w:val="nil"/>
              <w:bottom w:val="single" w:sz="8" w:space="0" w:color="auto"/>
              <w:right w:val="single" w:sz="8" w:space="0" w:color="auto"/>
            </w:tcBorders>
            <w:shd w:val="clear" w:color="auto" w:fill="auto"/>
            <w:hideMark/>
          </w:tcPr>
          <w:p w14:paraId="41076E40" w14:textId="77777777" w:rsidR="00905743" w:rsidRPr="00A518C1" w:rsidRDefault="00905743" w:rsidP="00905743">
            <w:pPr>
              <w:rPr>
                <w:sz w:val="18"/>
                <w:szCs w:val="18"/>
                <w:lang w:eastAsia="en-GB"/>
              </w:rPr>
            </w:pPr>
            <w:r w:rsidRPr="00A518C1">
              <w:rPr>
                <w:sz w:val="18"/>
                <w:szCs w:val="18"/>
                <w:lang w:eastAsia="en-GB"/>
              </w:rPr>
              <w:t>Budgets cover excess costs.</w:t>
            </w:r>
          </w:p>
        </w:tc>
        <w:tc>
          <w:tcPr>
            <w:tcW w:w="1280" w:type="dxa"/>
            <w:tcBorders>
              <w:top w:val="nil"/>
              <w:left w:val="nil"/>
              <w:bottom w:val="single" w:sz="8" w:space="0" w:color="auto"/>
              <w:right w:val="single" w:sz="8" w:space="0" w:color="auto"/>
            </w:tcBorders>
            <w:shd w:val="clear" w:color="auto" w:fill="auto"/>
            <w:noWrap/>
            <w:hideMark/>
          </w:tcPr>
          <w:p w14:paraId="551D5808" w14:textId="77777777" w:rsidR="00905743" w:rsidRPr="00A518C1" w:rsidRDefault="00905743" w:rsidP="00905743">
            <w:pPr>
              <w:jc w:val="right"/>
              <w:rPr>
                <w:sz w:val="18"/>
                <w:szCs w:val="18"/>
                <w:lang w:eastAsia="en-GB"/>
              </w:rPr>
            </w:pPr>
            <w:r w:rsidRPr="00A518C1">
              <w:rPr>
                <w:sz w:val="18"/>
                <w:szCs w:val="18"/>
                <w:lang w:eastAsia="en-GB"/>
              </w:rPr>
              <w:t>150,000</w:t>
            </w:r>
          </w:p>
        </w:tc>
        <w:tc>
          <w:tcPr>
            <w:tcW w:w="1160" w:type="dxa"/>
            <w:tcBorders>
              <w:top w:val="nil"/>
              <w:left w:val="nil"/>
              <w:bottom w:val="single" w:sz="8" w:space="0" w:color="auto"/>
              <w:right w:val="single" w:sz="8" w:space="0" w:color="auto"/>
            </w:tcBorders>
            <w:shd w:val="clear" w:color="auto" w:fill="auto"/>
            <w:noWrap/>
            <w:hideMark/>
          </w:tcPr>
          <w:p w14:paraId="61C70006" w14:textId="77777777" w:rsidR="00905743" w:rsidRPr="00A518C1" w:rsidRDefault="00905743" w:rsidP="00905743">
            <w:pPr>
              <w:jc w:val="right"/>
              <w:rPr>
                <w:sz w:val="18"/>
                <w:szCs w:val="18"/>
                <w:lang w:eastAsia="en-GB"/>
              </w:rPr>
            </w:pPr>
            <w:r w:rsidRPr="00A518C1">
              <w:rPr>
                <w:sz w:val="18"/>
                <w:szCs w:val="18"/>
                <w:lang w:eastAsia="en-GB"/>
              </w:rPr>
              <w:t>0.3</w:t>
            </w:r>
          </w:p>
        </w:tc>
        <w:tc>
          <w:tcPr>
            <w:tcW w:w="1220" w:type="dxa"/>
            <w:tcBorders>
              <w:top w:val="nil"/>
              <w:left w:val="nil"/>
              <w:bottom w:val="single" w:sz="8" w:space="0" w:color="auto"/>
              <w:right w:val="single" w:sz="8" w:space="0" w:color="auto"/>
            </w:tcBorders>
            <w:shd w:val="clear" w:color="auto" w:fill="auto"/>
            <w:noWrap/>
            <w:hideMark/>
          </w:tcPr>
          <w:p w14:paraId="2A58CD35" w14:textId="77777777" w:rsidR="00905743" w:rsidRPr="00A518C1" w:rsidRDefault="00905743" w:rsidP="00905743">
            <w:pPr>
              <w:jc w:val="right"/>
              <w:rPr>
                <w:sz w:val="18"/>
                <w:szCs w:val="18"/>
                <w:lang w:eastAsia="en-GB"/>
              </w:rPr>
            </w:pPr>
            <w:r w:rsidRPr="00A518C1">
              <w:rPr>
                <w:sz w:val="18"/>
                <w:szCs w:val="18"/>
                <w:lang w:eastAsia="en-GB"/>
              </w:rPr>
              <w:t>45,000</w:t>
            </w:r>
          </w:p>
        </w:tc>
      </w:tr>
      <w:tr w:rsidR="00905743" w:rsidRPr="00A518C1" w14:paraId="1C234333" w14:textId="77777777" w:rsidTr="00905743">
        <w:trPr>
          <w:trHeight w:val="705"/>
        </w:trPr>
        <w:tc>
          <w:tcPr>
            <w:tcW w:w="640" w:type="dxa"/>
            <w:tcBorders>
              <w:top w:val="nil"/>
              <w:left w:val="single" w:sz="8" w:space="0" w:color="auto"/>
              <w:bottom w:val="single" w:sz="8" w:space="0" w:color="auto"/>
              <w:right w:val="single" w:sz="8" w:space="0" w:color="auto"/>
            </w:tcBorders>
            <w:shd w:val="clear" w:color="auto" w:fill="auto"/>
            <w:hideMark/>
          </w:tcPr>
          <w:p w14:paraId="486ACE8E" w14:textId="77777777" w:rsidR="00905743" w:rsidRPr="00A518C1" w:rsidRDefault="00905743" w:rsidP="00905743">
            <w:pPr>
              <w:jc w:val="right"/>
              <w:rPr>
                <w:sz w:val="18"/>
                <w:szCs w:val="18"/>
                <w:lang w:eastAsia="en-GB"/>
              </w:rPr>
            </w:pPr>
            <w:r w:rsidRPr="00A518C1">
              <w:rPr>
                <w:sz w:val="18"/>
                <w:szCs w:val="18"/>
                <w:lang w:eastAsia="en-GB"/>
              </w:rPr>
              <w:t>18</w:t>
            </w:r>
          </w:p>
        </w:tc>
        <w:tc>
          <w:tcPr>
            <w:tcW w:w="2740" w:type="dxa"/>
            <w:tcBorders>
              <w:top w:val="nil"/>
              <w:left w:val="nil"/>
              <w:bottom w:val="single" w:sz="8" w:space="0" w:color="auto"/>
              <w:right w:val="single" w:sz="8" w:space="0" w:color="auto"/>
            </w:tcBorders>
            <w:shd w:val="clear" w:color="auto" w:fill="auto"/>
            <w:hideMark/>
          </w:tcPr>
          <w:p w14:paraId="44830762" w14:textId="77777777" w:rsidR="00905743" w:rsidRPr="00A518C1" w:rsidRDefault="00905743" w:rsidP="00905743">
            <w:pPr>
              <w:rPr>
                <w:b/>
                <w:bCs/>
                <w:sz w:val="18"/>
                <w:szCs w:val="18"/>
                <w:lang w:eastAsia="en-GB"/>
              </w:rPr>
            </w:pPr>
            <w:r w:rsidRPr="00A518C1">
              <w:rPr>
                <w:b/>
                <w:bCs/>
                <w:sz w:val="18"/>
                <w:szCs w:val="18"/>
                <w:lang w:eastAsia="en-GB"/>
              </w:rPr>
              <w:t>Breach of data security</w:t>
            </w:r>
          </w:p>
        </w:tc>
        <w:tc>
          <w:tcPr>
            <w:tcW w:w="3060" w:type="dxa"/>
            <w:tcBorders>
              <w:top w:val="nil"/>
              <w:left w:val="nil"/>
              <w:bottom w:val="single" w:sz="8" w:space="0" w:color="auto"/>
              <w:right w:val="single" w:sz="8" w:space="0" w:color="auto"/>
            </w:tcBorders>
            <w:shd w:val="clear" w:color="auto" w:fill="auto"/>
            <w:hideMark/>
          </w:tcPr>
          <w:p w14:paraId="71BF26B8" w14:textId="77777777" w:rsidR="00905743" w:rsidRPr="00A518C1" w:rsidRDefault="00905743" w:rsidP="00905743">
            <w:pPr>
              <w:rPr>
                <w:sz w:val="18"/>
                <w:szCs w:val="18"/>
                <w:lang w:eastAsia="en-GB"/>
              </w:rPr>
            </w:pPr>
            <w:r w:rsidRPr="00A518C1">
              <w:rPr>
                <w:sz w:val="18"/>
                <w:szCs w:val="18"/>
                <w:lang w:eastAsia="en-GB"/>
              </w:rPr>
              <w:t>Loss of confidential data; Information Commission fines</w:t>
            </w:r>
          </w:p>
        </w:tc>
        <w:tc>
          <w:tcPr>
            <w:tcW w:w="3100" w:type="dxa"/>
            <w:tcBorders>
              <w:top w:val="nil"/>
              <w:left w:val="nil"/>
              <w:bottom w:val="single" w:sz="8" w:space="0" w:color="auto"/>
              <w:right w:val="single" w:sz="8" w:space="0" w:color="auto"/>
            </w:tcBorders>
            <w:shd w:val="clear" w:color="auto" w:fill="auto"/>
            <w:hideMark/>
          </w:tcPr>
          <w:p w14:paraId="4D3D652B" w14:textId="77777777" w:rsidR="00905743" w:rsidRPr="00A518C1" w:rsidRDefault="00905743" w:rsidP="00905743">
            <w:pPr>
              <w:rPr>
                <w:sz w:val="18"/>
                <w:szCs w:val="18"/>
                <w:lang w:eastAsia="en-GB"/>
              </w:rPr>
            </w:pPr>
            <w:r w:rsidRPr="00A518C1">
              <w:rPr>
                <w:sz w:val="18"/>
                <w:szCs w:val="18"/>
                <w:lang w:eastAsia="en-GB"/>
              </w:rPr>
              <w:t>Security measures monitored and reviewed.  Internal training programme.</w:t>
            </w:r>
          </w:p>
        </w:tc>
        <w:tc>
          <w:tcPr>
            <w:tcW w:w="1280" w:type="dxa"/>
            <w:tcBorders>
              <w:top w:val="nil"/>
              <w:left w:val="nil"/>
              <w:bottom w:val="single" w:sz="8" w:space="0" w:color="auto"/>
              <w:right w:val="single" w:sz="8" w:space="0" w:color="auto"/>
            </w:tcBorders>
            <w:shd w:val="clear" w:color="auto" w:fill="auto"/>
            <w:noWrap/>
            <w:hideMark/>
          </w:tcPr>
          <w:p w14:paraId="475EF411" w14:textId="77777777" w:rsidR="00905743" w:rsidRPr="00A518C1" w:rsidRDefault="00905743" w:rsidP="00905743">
            <w:pPr>
              <w:jc w:val="right"/>
              <w:rPr>
                <w:sz w:val="18"/>
                <w:szCs w:val="18"/>
                <w:lang w:eastAsia="en-GB"/>
              </w:rPr>
            </w:pPr>
            <w:r w:rsidRPr="00A518C1">
              <w:rPr>
                <w:sz w:val="18"/>
                <w:szCs w:val="18"/>
                <w:lang w:eastAsia="en-GB"/>
              </w:rPr>
              <w:t>150,000</w:t>
            </w:r>
          </w:p>
        </w:tc>
        <w:tc>
          <w:tcPr>
            <w:tcW w:w="1160" w:type="dxa"/>
            <w:tcBorders>
              <w:top w:val="nil"/>
              <w:left w:val="nil"/>
              <w:bottom w:val="single" w:sz="8" w:space="0" w:color="auto"/>
              <w:right w:val="single" w:sz="8" w:space="0" w:color="auto"/>
            </w:tcBorders>
            <w:shd w:val="clear" w:color="auto" w:fill="auto"/>
            <w:noWrap/>
            <w:hideMark/>
          </w:tcPr>
          <w:p w14:paraId="20C61B07" w14:textId="77777777" w:rsidR="00905743" w:rsidRPr="00A518C1" w:rsidRDefault="00905743" w:rsidP="00905743">
            <w:pPr>
              <w:jc w:val="right"/>
              <w:rPr>
                <w:sz w:val="18"/>
                <w:szCs w:val="18"/>
                <w:lang w:eastAsia="en-GB"/>
              </w:rPr>
            </w:pPr>
            <w:r w:rsidRPr="00A518C1">
              <w:rPr>
                <w:sz w:val="18"/>
                <w:szCs w:val="18"/>
                <w:lang w:eastAsia="en-GB"/>
              </w:rPr>
              <w:t>0.25</w:t>
            </w:r>
          </w:p>
        </w:tc>
        <w:tc>
          <w:tcPr>
            <w:tcW w:w="1220" w:type="dxa"/>
            <w:tcBorders>
              <w:top w:val="nil"/>
              <w:left w:val="nil"/>
              <w:bottom w:val="single" w:sz="8" w:space="0" w:color="auto"/>
              <w:right w:val="single" w:sz="8" w:space="0" w:color="auto"/>
            </w:tcBorders>
            <w:shd w:val="clear" w:color="auto" w:fill="auto"/>
            <w:noWrap/>
            <w:hideMark/>
          </w:tcPr>
          <w:p w14:paraId="6B078FC4" w14:textId="77777777" w:rsidR="00905743" w:rsidRPr="00A518C1" w:rsidRDefault="00905743" w:rsidP="00905743">
            <w:pPr>
              <w:jc w:val="right"/>
              <w:rPr>
                <w:sz w:val="18"/>
                <w:szCs w:val="18"/>
                <w:lang w:eastAsia="en-GB"/>
              </w:rPr>
            </w:pPr>
            <w:r w:rsidRPr="00A518C1">
              <w:rPr>
                <w:sz w:val="18"/>
                <w:szCs w:val="18"/>
                <w:lang w:eastAsia="en-GB"/>
              </w:rPr>
              <w:t>37,500</w:t>
            </w:r>
          </w:p>
        </w:tc>
      </w:tr>
      <w:tr w:rsidR="00905743" w:rsidRPr="00A518C1" w14:paraId="5A471EDF" w14:textId="77777777" w:rsidTr="00905743">
        <w:trPr>
          <w:trHeight w:val="1103"/>
        </w:trPr>
        <w:tc>
          <w:tcPr>
            <w:tcW w:w="640" w:type="dxa"/>
            <w:tcBorders>
              <w:top w:val="nil"/>
              <w:left w:val="single" w:sz="8" w:space="0" w:color="auto"/>
              <w:bottom w:val="single" w:sz="8" w:space="0" w:color="auto"/>
              <w:right w:val="single" w:sz="8" w:space="0" w:color="auto"/>
            </w:tcBorders>
            <w:shd w:val="clear" w:color="auto" w:fill="auto"/>
            <w:hideMark/>
          </w:tcPr>
          <w:p w14:paraId="0FD5ABB6" w14:textId="77777777" w:rsidR="00905743" w:rsidRPr="00A518C1" w:rsidRDefault="00905743" w:rsidP="00905743">
            <w:pPr>
              <w:jc w:val="right"/>
              <w:rPr>
                <w:sz w:val="18"/>
                <w:szCs w:val="18"/>
                <w:lang w:eastAsia="en-GB"/>
              </w:rPr>
            </w:pPr>
            <w:r w:rsidRPr="00A518C1">
              <w:rPr>
                <w:sz w:val="18"/>
                <w:szCs w:val="18"/>
                <w:lang w:eastAsia="en-GB"/>
              </w:rPr>
              <w:t>19</w:t>
            </w:r>
          </w:p>
        </w:tc>
        <w:tc>
          <w:tcPr>
            <w:tcW w:w="2740" w:type="dxa"/>
            <w:tcBorders>
              <w:top w:val="nil"/>
              <w:left w:val="nil"/>
              <w:bottom w:val="single" w:sz="8" w:space="0" w:color="auto"/>
              <w:right w:val="single" w:sz="8" w:space="0" w:color="auto"/>
            </w:tcBorders>
            <w:shd w:val="clear" w:color="auto" w:fill="auto"/>
            <w:hideMark/>
          </w:tcPr>
          <w:p w14:paraId="132910BB" w14:textId="77777777" w:rsidR="00905743" w:rsidRPr="00A518C1" w:rsidRDefault="00905743" w:rsidP="00905743">
            <w:pPr>
              <w:rPr>
                <w:b/>
                <w:bCs/>
                <w:sz w:val="18"/>
                <w:szCs w:val="18"/>
                <w:lang w:eastAsia="en-GB"/>
              </w:rPr>
            </w:pPr>
            <w:r w:rsidRPr="00A518C1">
              <w:rPr>
                <w:b/>
                <w:bCs/>
                <w:sz w:val="18"/>
                <w:szCs w:val="18"/>
                <w:lang w:eastAsia="en-GB"/>
              </w:rPr>
              <w:t xml:space="preserve">HSE </w:t>
            </w:r>
            <w:r w:rsidR="00604D7F">
              <w:rPr>
                <w:b/>
                <w:bCs/>
                <w:sz w:val="18"/>
                <w:szCs w:val="18"/>
                <w:lang w:eastAsia="en-GB"/>
              </w:rPr>
              <w:t>i</w:t>
            </w:r>
            <w:r w:rsidRPr="00A518C1">
              <w:rPr>
                <w:b/>
                <w:bCs/>
                <w:sz w:val="18"/>
                <w:szCs w:val="18"/>
                <w:lang w:eastAsia="en-GB"/>
              </w:rPr>
              <w:t>nterventions</w:t>
            </w:r>
          </w:p>
        </w:tc>
        <w:tc>
          <w:tcPr>
            <w:tcW w:w="3060" w:type="dxa"/>
            <w:tcBorders>
              <w:top w:val="nil"/>
              <w:left w:val="nil"/>
              <w:bottom w:val="single" w:sz="8" w:space="0" w:color="auto"/>
              <w:right w:val="single" w:sz="8" w:space="0" w:color="auto"/>
            </w:tcBorders>
            <w:shd w:val="clear" w:color="auto" w:fill="auto"/>
            <w:hideMark/>
          </w:tcPr>
          <w:p w14:paraId="29737E79" w14:textId="77777777" w:rsidR="00905743" w:rsidRPr="00A518C1" w:rsidRDefault="00905743" w:rsidP="00905743">
            <w:pPr>
              <w:rPr>
                <w:sz w:val="18"/>
                <w:szCs w:val="18"/>
                <w:lang w:eastAsia="en-GB"/>
              </w:rPr>
            </w:pPr>
            <w:r w:rsidRPr="00A518C1">
              <w:rPr>
                <w:sz w:val="18"/>
                <w:szCs w:val="18"/>
                <w:lang w:eastAsia="en-GB"/>
              </w:rPr>
              <w:t>Cost of remedial measures; cost of fine; fees for HSE intervention, indirect costs of covering internal resources used to investigate the issue etc.</w:t>
            </w:r>
          </w:p>
        </w:tc>
        <w:tc>
          <w:tcPr>
            <w:tcW w:w="3100" w:type="dxa"/>
            <w:tcBorders>
              <w:top w:val="nil"/>
              <w:left w:val="nil"/>
              <w:bottom w:val="single" w:sz="8" w:space="0" w:color="auto"/>
              <w:right w:val="single" w:sz="8" w:space="0" w:color="auto"/>
            </w:tcBorders>
            <w:shd w:val="clear" w:color="auto" w:fill="auto"/>
            <w:hideMark/>
          </w:tcPr>
          <w:p w14:paraId="4EC7A5B3" w14:textId="77777777" w:rsidR="00905743" w:rsidRPr="00A518C1" w:rsidRDefault="00905743" w:rsidP="00905743">
            <w:pPr>
              <w:rPr>
                <w:sz w:val="18"/>
                <w:szCs w:val="18"/>
                <w:lang w:eastAsia="en-GB"/>
              </w:rPr>
            </w:pPr>
            <w:r w:rsidRPr="00A518C1">
              <w:rPr>
                <w:sz w:val="18"/>
                <w:szCs w:val="18"/>
                <w:lang w:eastAsia="en-GB"/>
              </w:rPr>
              <w:t>Operating procedures; training; written safety policy; risk assessments</w:t>
            </w:r>
          </w:p>
        </w:tc>
        <w:tc>
          <w:tcPr>
            <w:tcW w:w="1280" w:type="dxa"/>
            <w:tcBorders>
              <w:top w:val="nil"/>
              <w:left w:val="nil"/>
              <w:bottom w:val="single" w:sz="8" w:space="0" w:color="auto"/>
              <w:right w:val="single" w:sz="8" w:space="0" w:color="auto"/>
            </w:tcBorders>
            <w:shd w:val="clear" w:color="auto" w:fill="auto"/>
            <w:noWrap/>
            <w:hideMark/>
          </w:tcPr>
          <w:p w14:paraId="5C2C9147" w14:textId="77777777" w:rsidR="00905743" w:rsidRPr="00A518C1" w:rsidRDefault="00905743" w:rsidP="00905743">
            <w:pPr>
              <w:jc w:val="right"/>
              <w:rPr>
                <w:sz w:val="18"/>
                <w:szCs w:val="18"/>
                <w:lang w:eastAsia="en-GB"/>
              </w:rPr>
            </w:pPr>
            <w:r w:rsidRPr="00A518C1">
              <w:rPr>
                <w:sz w:val="18"/>
                <w:szCs w:val="18"/>
                <w:lang w:eastAsia="en-GB"/>
              </w:rPr>
              <w:t>300,000</w:t>
            </w:r>
          </w:p>
        </w:tc>
        <w:tc>
          <w:tcPr>
            <w:tcW w:w="1160" w:type="dxa"/>
            <w:tcBorders>
              <w:top w:val="nil"/>
              <w:left w:val="nil"/>
              <w:bottom w:val="single" w:sz="8" w:space="0" w:color="auto"/>
              <w:right w:val="single" w:sz="8" w:space="0" w:color="auto"/>
            </w:tcBorders>
            <w:shd w:val="clear" w:color="auto" w:fill="auto"/>
            <w:noWrap/>
            <w:hideMark/>
          </w:tcPr>
          <w:p w14:paraId="34CE350C" w14:textId="77777777" w:rsidR="00905743" w:rsidRPr="00A518C1" w:rsidRDefault="00905743" w:rsidP="00905743">
            <w:pPr>
              <w:jc w:val="right"/>
              <w:rPr>
                <w:sz w:val="18"/>
                <w:szCs w:val="18"/>
                <w:lang w:eastAsia="en-GB"/>
              </w:rPr>
            </w:pPr>
            <w:r w:rsidRPr="00A518C1">
              <w:rPr>
                <w:sz w:val="18"/>
                <w:szCs w:val="18"/>
                <w:lang w:eastAsia="en-GB"/>
              </w:rPr>
              <w:t>0.1</w:t>
            </w:r>
          </w:p>
        </w:tc>
        <w:tc>
          <w:tcPr>
            <w:tcW w:w="1220" w:type="dxa"/>
            <w:tcBorders>
              <w:top w:val="nil"/>
              <w:left w:val="nil"/>
              <w:bottom w:val="single" w:sz="8" w:space="0" w:color="auto"/>
              <w:right w:val="single" w:sz="8" w:space="0" w:color="auto"/>
            </w:tcBorders>
            <w:shd w:val="clear" w:color="auto" w:fill="auto"/>
            <w:noWrap/>
            <w:hideMark/>
          </w:tcPr>
          <w:p w14:paraId="65D5E88C" w14:textId="77777777" w:rsidR="00905743" w:rsidRPr="00A518C1" w:rsidRDefault="00905743" w:rsidP="00905743">
            <w:pPr>
              <w:jc w:val="right"/>
              <w:rPr>
                <w:sz w:val="18"/>
                <w:szCs w:val="18"/>
                <w:lang w:eastAsia="en-GB"/>
              </w:rPr>
            </w:pPr>
            <w:r w:rsidRPr="00A518C1">
              <w:rPr>
                <w:sz w:val="18"/>
                <w:szCs w:val="18"/>
                <w:lang w:eastAsia="en-GB"/>
              </w:rPr>
              <w:t>30,000</w:t>
            </w:r>
          </w:p>
        </w:tc>
      </w:tr>
      <w:tr w:rsidR="00905743" w:rsidRPr="00A518C1" w14:paraId="2F8866F3" w14:textId="77777777" w:rsidTr="00905743">
        <w:trPr>
          <w:trHeight w:val="1058"/>
        </w:trPr>
        <w:tc>
          <w:tcPr>
            <w:tcW w:w="640" w:type="dxa"/>
            <w:tcBorders>
              <w:top w:val="nil"/>
              <w:left w:val="single" w:sz="8" w:space="0" w:color="auto"/>
              <w:bottom w:val="single" w:sz="8" w:space="0" w:color="auto"/>
              <w:right w:val="single" w:sz="8" w:space="0" w:color="auto"/>
            </w:tcBorders>
            <w:shd w:val="clear" w:color="auto" w:fill="auto"/>
            <w:hideMark/>
          </w:tcPr>
          <w:p w14:paraId="75782CF2" w14:textId="77777777" w:rsidR="00905743" w:rsidRPr="00A518C1" w:rsidRDefault="00905743" w:rsidP="00905743">
            <w:pPr>
              <w:jc w:val="right"/>
              <w:rPr>
                <w:sz w:val="18"/>
                <w:szCs w:val="18"/>
                <w:lang w:eastAsia="en-GB"/>
              </w:rPr>
            </w:pPr>
            <w:r w:rsidRPr="00A518C1">
              <w:rPr>
                <w:sz w:val="18"/>
                <w:szCs w:val="18"/>
                <w:lang w:eastAsia="en-GB"/>
              </w:rPr>
              <w:t>20</w:t>
            </w:r>
          </w:p>
        </w:tc>
        <w:tc>
          <w:tcPr>
            <w:tcW w:w="2740" w:type="dxa"/>
            <w:tcBorders>
              <w:top w:val="nil"/>
              <w:left w:val="nil"/>
              <w:bottom w:val="single" w:sz="8" w:space="0" w:color="auto"/>
              <w:right w:val="single" w:sz="8" w:space="0" w:color="auto"/>
            </w:tcBorders>
            <w:shd w:val="clear" w:color="auto" w:fill="auto"/>
            <w:hideMark/>
          </w:tcPr>
          <w:p w14:paraId="1E613B40" w14:textId="77777777" w:rsidR="00905743" w:rsidRPr="00A518C1" w:rsidRDefault="00905743" w:rsidP="00905743">
            <w:pPr>
              <w:rPr>
                <w:b/>
                <w:bCs/>
                <w:sz w:val="18"/>
                <w:szCs w:val="18"/>
                <w:lang w:eastAsia="en-GB"/>
              </w:rPr>
            </w:pPr>
            <w:r w:rsidRPr="00A518C1">
              <w:rPr>
                <w:b/>
                <w:bCs/>
                <w:sz w:val="18"/>
                <w:szCs w:val="18"/>
                <w:lang w:eastAsia="en-GB"/>
              </w:rPr>
              <w:t>Natural disasters/ multiple large incidents requiring Bel</w:t>
            </w:r>
            <w:r w:rsidR="002125A1" w:rsidRPr="00A518C1">
              <w:rPr>
                <w:b/>
                <w:bCs/>
                <w:sz w:val="18"/>
                <w:szCs w:val="18"/>
                <w:lang w:eastAsia="en-GB"/>
              </w:rPr>
              <w:t>l</w:t>
            </w:r>
            <w:r w:rsidRPr="00A518C1">
              <w:rPr>
                <w:b/>
                <w:bCs/>
                <w:sz w:val="18"/>
                <w:szCs w:val="18"/>
                <w:lang w:eastAsia="en-GB"/>
              </w:rPr>
              <w:t>win support</w:t>
            </w:r>
          </w:p>
        </w:tc>
        <w:tc>
          <w:tcPr>
            <w:tcW w:w="3060" w:type="dxa"/>
            <w:tcBorders>
              <w:top w:val="nil"/>
              <w:left w:val="nil"/>
              <w:bottom w:val="single" w:sz="8" w:space="0" w:color="auto"/>
              <w:right w:val="single" w:sz="8" w:space="0" w:color="auto"/>
            </w:tcBorders>
            <w:shd w:val="clear" w:color="auto" w:fill="auto"/>
            <w:hideMark/>
          </w:tcPr>
          <w:p w14:paraId="132AB921" w14:textId="77777777" w:rsidR="00905743" w:rsidRPr="00A518C1" w:rsidRDefault="00905743" w:rsidP="00905743">
            <w:pPr>
              <w:rPr>
                <w:sz w:val="18"/>
                <w:szCs w:val="18"/>
                <w:lang w:eastAsia="en-GB"/>
              </w:rPr>
            </w:pPr>
            <w:r w:rsidRPr="00A518C1">
              <w:rPr>
                <w:sz w:val="18"/>
                <w:szCs w:val="18"/>
                <w:lang w:eastAsia="en-GB"/>
              </w:rPr>
              <w:t>Reduction in capability to respond</w:t>
            </w:r>
          </w:p>
        </w:tc>
        <w:tc>
          <w:tcPr>
            <w:tcW w:w="3100" w:type="dxa"/>
            <w:tcBorders>
              <w:top w:val="nil"/>
              <w:left w:val="nil"/>
              <w:bottom w:val="single" w:sz="8" w:space="0" w:color="auto"/>
              <w:right w:val="single" w:sz="8" w:space="0" w:color="auto"/>
            </w:tcBorders>
            <w:shd w:val="clear" w:color="auto" w:fill="auto"/>
            <w:hideMark/>
          </w:tcPr>
          <w:p w14:paraId="690CE746" w14:textId="77777777" w:rsidR="00905743" w:rsidRPr="00A518C1" w:rsidRDefault="00905743" w:rsidP="00905743">
            <w:pPr>
              <w:rPr>
                <w:sz w:val="18"/>
                <w:szCs w:val="18"/>
                <w:lang w:eastAsia="en-GB"/>
              </w:rPr>
            </w:pPr>
            <w:r w:rsidRPr="00A518C1">
              <w:rPr>
                <w:sz w:val="18"/>
                <w:szCs w:val="18"/>
                <w:lang w:eastAsia="en-GB"/>
              </w:rPr>
              <w:t>Multi-agency plans; New Dimensions equipment; BCM plans; Response degradation policy; Mutual Aid</w:t>
            </w:r>
          </w:p>
        </w:tc>
        <w:tc>
          <w:tcPr>
            <w:tcW w:w="1280" w:type="dxa"/>
            <w:tcBorders>
              <w:top w:val="nil"/>
              <w:left w:val="nil"/>
              <w:bottom w:val="single" w:sz="8" w:space="0" w:color="auto"/>
              <w:right w:val="single" w:sz="8" w:space="0" w:color="auto"/>
            </w:tcBorders>
            <w:shd w:val="clear" w:color="auto" w:fill="auto"/>
            <w:noWrap/>
            <w:hideMark/>
          </w:tcPr>
          <w:p w14:paraId="2F1162CA" w14:textId="77777777" w:rsidR="00905743" w:rsidRPr="00A518C1" w:rsidRDefault="00905743" w:rsidP="00905743">
            <w:pPr>
              <w:jc w:val="right"/>
              <w:rPr>
                <w:sz w:val="18"/>
                <w:szCs w:val="18"/>
                <w:lang w:eastAsia="en-GB"/>
              </w:rPr>
            </w:pPr>
            <w:r w:rsidRPr="00A518C1">
              <w:rPr>
                <w:sz w:val="18"/>
                <w:szCs w:val="18"/>
                <w:lang w:eastAsia="en-GB"/>
              </w:rPr>
              <w:t>100,000</w:t>
            </w:r>
          </w:p>
        </w:tc>
        <w:tc>
          <w:tcPr>
            <w:tcW w:w="1160" w:type="dxa"/>
            <w:tcBorders>
              <w:top w:val="nil"/>
              <w:left w:val="nil"/>
              <w:bottom w:val="single" w:sz="8" w:space="0" w:color="auto"/>
              <w:right w:val="single" w:sz="8" w:space="0" w:color="auto"/>
            </w:tcBorders>
            <w:shd w:val="clear" w:color="auto" w:fill="auto"/>
            <w:noWrap/>
            <w:hideMark/>
          </w:tcPr>
          <w:p w14:paraId="4907AA9C" w14:textId="77777777" w:rsidR="00905743" w:rsidRPr="00A518C1" w:rsidRDefault="00905743" w:rsidP="00905743">
            <w:pPr>
              <w:jc w:val="right"/>
              <w:rPr>
                <w:sz w:val="18"/>
                <w:szCs w:val="18"/>
                <w:lang w:eastAsia="en-GB"/>
              </w:rPr>
            </w:pPr>
            <w:r w:rsidRPr="00A518C1">
              <w:rPr>
                <w:sz w:val="18"/>
                <w:szCs w:val="18"/>
                <w:lang w:eastAsia="en-GB"/>
              </w:rPr>
              <w:t>0.3</w:t>
            </w:r>
          </w:p>
        </w:tc>
        <w:tc>
          <w:tcPr>
            <w:tcW w:w="1220" w:type="dxa"/>
            <w:tcBorders>
              <w:top w:val="nil"/>
              <w:left w:val="nil"/>
              <w:bottom w:val="single" w:sz="8" w:space="0" w:color="auto"/>
              <w:right w:val="single" w:sz="8" w:space="0" w:color="auto"/>
            </w:tcBorders>
            <w:shd w:val="clear" w:color="auto" w:fill="auto"/>
            <w:noWrap/>
            <w:hideMark/>
          </w:tcPr>
          <w:p w14:paraId="46290A99" w14:textId="77777777" w:rsidR="00905743" w:rsidRPr="00A518C1" w:rsidRDefault="00905743" w:rsidP="00905743">
            <w:pPr>
              <w:jc w:val="right"/>
              <w:rPr>
                <w:sz w:val="18"/>
                <w:szCs w:val="18"/>
                <w:lang w:eastAsia="en-GB"/>
              </w:rPr>
            </w:pPr>
            <w:r w:rsidRPr="00A518C1">
              <w:rPr>
                <w:sz w:val="18"/>
                <w:szCs w:val="18"/>
                <w:lang w:eastAsia="en-GB"/>
              </w:rPr>
              <w:t>30,000</w:t>
            </w:r>
          </w:p>
        </w:tc>
      </w:tr>
      <w:tr w:rsidR="00905743" w:rsidRPr="00A518C1" w14:paraId="70A0FBE8" w14:textId="77777777" w:rsidTr="00905743">
        <w:trPr>
          <w:trHeight w:val="263"/>
        </w:trPr>
        <w:tc>
          <w:tcPr>
            <w:tcW w:w="640" w:type="dxa"/>
            <w:tcBorders>
              <w:top w:val="nil"/>
              <w:left w:val="single" w:sz="8" w:space="0" w:color="auto"/>
              <w:bottom w:val="single" w:sz="8" w:space="0" w:color="auto"/>
              <w:right w:val="single" w:sz="8" w:space="0" w:color="auto"/>
            </w:tcBorders>
            <w:shd w:val="clear" w:color="auto" w:fill="auto"/>
            <w:vAlign w:val="bottom"/>
            <w:hideMark/>
          </w:tcPr>
          <w:p w14:paraId="1EE24A2D" w14:textId="77777777" w:rsidR="00905743" w:rsidRPr="00A518C1" w:rsidRDefault="00905743" w:rsidP="00905743">
            <w:pPr>
              <w:rPr>
                <w:b/>
                <w:bCs/>
                <w:sz w:val="18"/>
                <w:szCs w:val="18"/>
                <w:lang w:eastAsia="en-GB"/>
              </w:rPr>
            </w:pPr>
            <w:r w:rsidRPr="00A518C1">
              <w:rPr>
                <w:b/>
                <w:bCs/>
                <w:sz w:val="18"/>
                <w:szCs w:val="18"/>
                <w:lang w:eastAsia="en-GB"/>
              </w:rPr>
              <w:t> </w:t>
            </w:r>
          </w:p>
        </w:tc>
        <w:tc>
          <w:tcPr>
            <w:tcW w:w="2740" w:type="dxa"/>
            <w:tcBorders>
              <w:top w:val="nil"/>
              <w:left w:val="nil"/>
              <w:bottom w:val="single" w:sz="8" w:space="0" w:color="auto"/>
              <w:right w:val="single" w:sz="8" w:space="0" w:color="auto"/>
            </w:tcBorders>
            <w:shd w:val="clear" w:color="auto" w:fill="auto"/>
            <w:vAlign w:val="bottom"/>
            <w:hideMark/>
          </w:tcPr>
          <w:p w14:paraId="6A446847" w14:textId="77777777" w:rsidR="00905743" w:rsidRPr="00A518C1" w:rsidRDefault="00905743" w:rsidP="00905743">
            <w:pPr>
              <w:rPr>
                <w:b/>
                <w:bCs/>
                <w:sz w:val="18"/>
                <w:szCs w:val="18"/>
                <w:lang w:eastAsia="en-GB"/>
              </w:rPr>
            </w:pPr>
            <w:r w:rsidRPr="00A518C1">
              <w:rPr>
                <w:b/>
                <w:bCs/>
                <w:sz w:val="18"/>
                <w:szCs w:val="18"/>
                <w:lang w:eastAsia="en-GB"/>
              </w:rPr>
              <w:t>TOTALS</w:t>
            </w:r>
          </w:p>
        </w:tc>
        <w:tc>
          <w:tcPr>
            <w:tcW w:w="3060" w:type="dxa"/>
            <w:tcBorders>
              <w:top w:val="nil"/>
              <w:left w:val="nil"/>
              <w:bottom w:val="single" w:sz="8" w:space="0" w:color="auto"/>
              <w:right w:val="single" w:sz="8" w:space="0" w:color="auto"/>
            </w:tcBorders>
            <w:shd w:val="clear" w:color="auto" w:fill="auto"/>
            <w:vAlign w:val="bottom"/>
            <w:hideMark/>
          </w:tcPr>
          <w:p w14:paraId="5D615404" w14:textId="77777777" w:rsidR="00905743" w:rsidRPr="00A518C1" w:rsidRDefault="00905743" w:rsidP="00905743">
            <w:pPr>
              <w:rPr>
                <w:b/>
                <w:bCs/>
                <w:sz w:val="18"/>
                <w:szCs w:val="18"/>
                <w:lang w:eastAsia="en-GB"/>
              </w:rPr>
            </w:pPr>
            <w:r w:rsidRPr="00A518C1">
              <w:rPr>
                <w:b/>
                <w:bCs/>
                <w:sz w:val="18"/>
                <w:szCs w:val="18"/>
                <w:lang w:eastAsia="en-GB"/>
              </w:rPr>
              <w:t> </w:t>
            </w:r>
          </w:p>
        </w:tc>
        <w:tc>
          <w:tcPr>
            <w:tcW w:w="3100" w:type="dxa"/>
            <w:tcBorders>
              <w:top w:val="nil"/>
              <w:left w:val="nil"/>
              <w:bottom w:val="single" w:sz="8" w:space="0" w:color="auto"/>
              <w:right w:val="single" w:sz="8" w:space="0" w:color="auto"/>
            </w:tcBorders>
            <w:shd w:val="clear" w:color="auto" w:fill="auto"/>
            <w:vAlign w:val="bottom"/>
            <w:hideMark/>
          </w:tcPr>
          <w:p w14:paraId="79E110B1" w14:textId="77777777" w:rsidR="00905743" w:rsidRPr="00A518C1" w:rsidRDefault="00905743" w:rsidP="00905743">
            <w:pPr>
              <w:rPr>
                <w:b/>
                <w:bCs/>
                <w:sz w:val="18"/>
                <w:szCs w:val="18"/>
                <w:lang w:eastAsia="en-GB"/>
              </w:rPr>
            </w:pPr>
            <w:r w:rsidRPr="00A518C1">
              <w:rPr>
                <w:b/>
                <w:bCs/>
                <w:sz w:val="18"/>
                <w:szCs w:val="18"/>
                <w:lang w:eastAsia="en-GB"/>
              </w:rPr>
              <w:t> </w:t>
            </w:r>
          </w:p>
        </w:tc>
        <w:tc>
          <w:tcPr>
            <w:tcW w:w="1280" w:type="dxa"/>
            <w:tcBorders>
              <w:top w:val="nil"/>
              <w:left w:val="nil"/>
              <w:bottom w:val="single" w:sz="8" w:space="0" w:color="auto"/>
              <w:right w:val="single" w:sz="8" w:space="0" w:color="auto"/>
            </w:tcBorders>
            <w:shd w:val="clear" w:color="auto" w:fill="auto"/>
            <w:noWrap/>
            <w:vAlign w:val="bottom"/>
            <w:hideMark/>
          </w:tcPr>
          <w:p w14:paraId="4A4A3E13" w14:textId="77777777" w:rsidR="00905743" w:rsidRPr="00A518C1" w:rsidRDefault="00905743" w:rsidP="00905743">
            <w:pPr>
              <w:jc w:val="right"/>
              <w:rPr>
                <w:b/>
                <w:bCs/>
                <w:sz w:val="18"/>
                <w:szCs w:val="18"/>
                <w:lang w:eastAsia="en-GB"/>
              </w:rPr>
            </w:pPr>
            <w:r w:rsidRPr="00A518C1">
              <w:rPr>
                <w:b/>
                <w:bCs/>
                <w:sz w:val="18"/>
                <w:szCs w:val="18"/>
                <w:lang w:eastAsia="en-GB"/>
              </w:rPr>
              <w:t> </w:t>
            </w:r>
          </w:p>
        </w:tc>
        <w:tc>
          <w:tcPr>
            <w:tcW w:w="1160" w:type="dxa"/>
            <w:tcBorders>
              <w:top w:val="nil"/>
              <w:left w:val="nil"/>
              <w:bottom w:val="single" w:sz="8" w:space="0" w:color="auto"/>
              <w:right w:val="single" w:sz="8" w:space="0" w:color="auto"/>
            </w:tcBorders>
            <w:shd w:val="clear" w:color="auto" w:fill="auto"/>
            <w:noWrap/>
            <w:vAlign w:val="bottom"/>
            <w:hideMark/>
          </w:tcPr>
          <w:p w14:paraId="1D3C4EC6" w14:textId="77777777" w:rsidR="00905743" w:rsidRPr="00A518C1" w:rsidRDefault="00905743" w:rsidP="00905743">
            <w:pPr>
              <w:rPr>
                <w:b/>
                <w:bCs/>
                <w:sz w:val="18"/>
                <w:szCs w:val="18"/>
                <w:lang w:eastAsia="en-GB"/>
              </w:rPr>
            </w:pPr>
            <w:r w:rsidRPr="00A518C1">
              <w:rPr>
                <w:b/>
                <w:bCs/>
                <w:sz w:val="18"/>
                <w:szCs w:val="18"/>
                <w:lang w:eastAsia="en-GB"/>
              </w:rPr>
              <w:t> </w:t>
            </w:r>
          </w:p>
        </w:tc>
        <w:tc>
          <w:tcPr>
            <w:tcW w:w="1220" w:type="dxa"/>
            <w:tcBorders>
              <w:top w:val="nil"/>
              <w:left w:val="nil"/>
              <w:bottom w:val="single" w:sz="8" w:space="0" w:color="auto"/>
              <w:right w:val="single" w:sz="8" w:space="0" w:color="auto"/>
            </w:tcBorders>
            <w:shd w:val="clear" w:color="auto" w:fill="auto"/>
            <w:noWrap/>
            <w:vAlign w:val="bottom"/>
            <w:hideMark/>
          </w:tcPr>
          <w:p w14:paraId="2DA6BCAD" w14:textId="77777777" w:rsidR="00905743" w:rsidRPr="00A518C1" w:rsidRDefault="00905743" w:rsidP="00905743">
            <w:pPr>
              <w:jc w:val="right"/>
              <w:rPr>
                <w:b/>
                <w:bCs/>
                <w:sz w:val="18"/>
                <w:szCs w:val="18"/>
                <w:lang w:eastAsia="en-GB"/>
              </w:rPr>
            </w:pPr>
            <w:r w:rsidRPr="00A518C1">
              <w:rPr>
                <w:b/>
                <w:bCs/>
                <w:sz w:val="18"/>
                <w:szCs w:val="18"/>
                <w:lang w:eastAsia="en-GB"/>
              </w:rPr>
              <w:t>4,142,500</w:t>
            </w:r>
          </w:p>
        </w:tc>
      </w:tr>
    </w:tbl>
    <w:p w14:paraId="6AECE2EC" w14:textId="77777777" w:rsidR="00905743" w:rsidRPr="00A518C1" w:rsidRDefault="00905743" w:rsidP="00DB08E0">
      <w:pPr>
        <w:spacing w:after="160" w:line="259" w:lineRule="auto"/>
        <w:rPr>
          <w:b/>
          <w:sz w:val="24"/>
          <w:szCs w:val="24"/>
        </w:rPr>
      </w:pPr>
    </w:p>
    <w:p w14:paraId="1CCA6A74" w14:textId="77777777" w:rsidR="00AD238A" w:rsidRPr="004F47DA" w:rsidRDefault="00973760">
      <w:pPr>
        <w:rPr>
          <w:b/>
          <w:bCs/>
          <w:sz w:val="28"/>
          <w:szCs w:val="28"/>
          <w:highlight w:val="green"/>
        </w:rPr>
      </w:pPr>
      <w:r w:rsidRPr="00A518C1">
        <w:br w:type="page"/>
      </w:r>
      <w:r w:rsidR="00FE3BED" w:rsidRPr="00A518C1">
        <w:rPr>
          <w:b/>
          <w:bCs/>
          <w:sz w:val="28"/>
          <w:szCs w:val="28"/>
        </w:rPr>
        <w:lastRenderedPageBreak/>
        <w:tab/>
      </w:r>
      <w:r w:rsidR="00FE3BED" w:rsidRPr="00A518C1">
        <w:rPr>
          <w:b/>
          <w:bCs/>
          <w:sz w:val="28"/>
          <w:szCs w:val="28"/>
        </w:rPr>
        <w:tab/>
      </w:r>
      <w:r w:rsidR="00FE3BED" w:rsidRPr="00A518C1">
        <w:rPr>
          <w:b/>
          <w:bCs/>
          <w:sz w:val="28"/>
          <w:szCs w:val="28"/>
        </w:rPr>
        <w:tab/>
      </w:r>
      <w:r w:rsidR="00FE3BED" w:rsidRPr="00A518C1">
        <w:rPr>
          <w:b/>
          <w:bCs/>
          <w:sz w:val="28"/>
          <w:szCs w:val="28"/>
        </w:rPr>
        <w:tab/>
      </w:r>
      <w:r w:rsidR="00FE3BED" w:rsidRPr="00A518C1">
        <w:rPr>
          <w:b/>
          <w:bCs/>
          <w:sz w:val="28"/>
          <w:szCs w:val="28"/>
        </w:rPr>
        <w:tab/>
      </w:r>
      <w:r w:rsidR="00FE3BED" w:rsidRPr="00A518C1">
        <w:rPr>
          <w:b/>
          <w:bCs/>
          <w:sz w:val="28"/>
          <w:szCs w:val="28"/>
        </w:rPr>
        <w:tab/>
        <w:t xml:space="preserve">Earmarked Reserve Position </w:t>
      </w:r>
      <w:r w:rsidR="004B6C98" w:rsidRPr="00A518C1">
        <w:rPr>
          <w:b/>
          <w:bCs/>
          <w:sz w:val="28"/>
          <w:szCs w:val="28"/>
        </w:rPr>
        <w:t>2023/24</w:t>
      </w:r>
      <w:r w:rsidR="00FE3BED" w:rsidRPr="00A518C1">
        <w:rPr>
          <w:b/>
          <w:bCs/>
          <w:sz w:val="28"/>
          <w:szCs w:val="28"/>
        </w:rPr>
        <w:t xml:space="preserve"> to </w:t>
      </w:r>
      <w:r w:rsidR="004B6C98" w:rsidRPr="00A518C1">
        <w:rPr>
          <w:b/>
          <w:bCs/>
          <w:sz w:val="28"/>
          <w:szCs w:val="28"/>
        </w:rPr>
        <w:t>202</w:t>
      </w:r>
      <w:r w:rsidR="00CC2654" w:rsidRPr="00A518C1">
        <w:rPr>
          <w:b/>
          <w:bCs/>
          <w:sz w:val="28"/>
          <w:szCs w:val="28"/>
        </w:rPr>
        <w:t>6</w:t>
      </w:r>
      <w:r w:rsidR="004B6C98" w:rsidRPr="00A518C1">
        <w:rPr>
          <w:b/>
          <w:bCs/>
          <w:sz w:val="28"/>
          <w:szCs w:val="28"/>
        </w:rPr>
        <w:t>/</w:t>
      </w:r>
      <w:r w:rsidR="004B6C98" w:rsidRPr="00AC5A83">
        <w:rPr>
          <w:b/>
          <w:bCs/>
          <w:sz w:val="28"/>
          <w:szCs w:val="28"/>
        </w:rPr>
        <w:t>2</w:t>
      </w:r>
      <w:r w:rsidR="00CC2654" w:rsidRPr="00AC5A83">
        <w:rPr>
          <w:b/>
          <w:bCs/>
          <w:sz w:val="28"/>
          <w:szCs w:val="28"/>
        </w:rPr>
        <w:t>7</w:t>
      </w:r>
      <w:r w:rsidR="00FE3BED" w:rsidRPr="00AC5A83">
        <w:rPr>
          <w:b/>
          <w:bCs/>
          <w:sz w:val="28"/>
          <w:szCs w:val="28"/>
        </w:rPr>
        <w:tab/>
      </w:r>
      <w:r w:rsidR="00FE3BED" w:rsidRPr="00AC5A83">
        <w:rPr>
          <w:b/>
          <w:bCs/>
          <w:sz w:val="28"/>
          <w:szCs w:val="28"/>
        </w:rPr>
        <w:tab/>
      </w:r>
      <w:r w:rsidR="00FE3BED" w:rsidRPr="00AC5A83">
        <w:rPr>
          <w:b/>
          <w:bCs/>
          <w:sz w:val="28"/>
          <w:szCs w:val="28"/>
        </w:rPr>
        <w:tab/>
        <w:t>Appendix B</w:t>
      </w:r>
    </w:p>
    <w:p w14:paraId="1C629B37" w14:textId="77777777" w:rsidR="00302534" w:rsidRPr="004F47DA" w:rsidRDefault="00302534">
      <w:pPr>
        <w:rPr>
          <w:highlight w:val="green"/>
        </w:rPr>
      </w:pPr>
    </w:p>
    <w:p w14:paraId="0DE953DE" w14:textId="77777777" w:rsidR="00CE6999" w:rsidRPr="004F47DA" w:rsidRDefault="00CE6999">
      <w:pPr>
        <w:rPr>
          <w:highlight w:val="green"/>
        </w:rPr>
      </w:pPr>
    </w:p>
    <w:tbl>
      <w:tblPr>
        <w:tblW w:w="14739" w:type="dxa"/>
        <w:tblInd w:w="118" w:type="dxa"/>
        <w:tblLook w:val="04A0" w:firstRow="1" w:lastRow="0" w:firstColumn="1" w:lastColumn="0" w:noHBand="0" w:noVBand="1"/>
      </w:tblPr>
      <w:tblGrid>
        <w:gridCol w:w="4500"/>
        <w:gridCol w:w="1440"/>
        <w:gridCol w:w="1260"/>
        <w:gridCol w:w="1339"/>
        <w:gridCol w:w="1320"/>
        <w:gridCol w:w="1180"/>
        <w:gridCol w:w="1140"/>
        <w:gridCol w:w="1200"/>
        <w:gridCol w:w="1360"/>
      </w:tblGrid>
      <w:tr w:rsidR="00D1663B" w:rsidRPr="004F47DA" w14:paraId="0AE8D66B" w14:textId="77777777" w:rsidTr="00E42950">
        <w:trPr>
          <w:trHeight w:val="263"/>
          <w:tblHeader/>
        </w:trPr>
        <w:tc>
          <w:tcPr>
            <w:tcW w:w="4500" w:type="dxa"/>
            <w:tcBorders>
              <w:top w:val="single" w:sz="8" w:space="0" w:color="auto"/>
              <w:left w:val="single" w:sz="8" w:space="0" w:color="auto"/>
              <w:bottom w:val="nil"/>
              <w:right w:val="single" w:sz="4" w:space="0" w:color="auto"/>
            </w:tcBorders>
            <w:shd w:val="clear" w:color="auto" w:fill="auto"/>
            <w:noWrap/>
            <w:vAlign w:val="bottom"/>
            <w:hideMark/>
          </w:tcPr>
          <w:p w14:paraId="4B4318AE"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440" w:type="dxa"/>
            <w:tcBorders>
              <w:top w:val="single" w:sz="8" w:space="0" w:color="auto"/>
              <w:left w:val="nil"/>
              <w:bottom w:val="nil"/>
              <w:right w:val="single" w:sz="4" w:space="0" w:color="auto"/>
            </w:tcBorders>
            <w:shd w:val="clear" w:color="auto" w:fill="auto"/>
            <w:noWrap/>
            <w:vAlign w:val="bottom"/>
            <w:hideMark/>
          </w:tcPr>
          <w:p w14:paraId="6816AB6B"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Balance</w:t>
            </w:r>
          </w:p>
        </w:tc>
        <w:tc>
          <w:tcPr>
            <w:tcW w:w="1260" w:type="dxa"/>
            <w:tcBorders>
              <w:top w:val="single" w:sz="8" w:space="0" w:color="auto"/>
              <w:left w:val="nil"/>
              <w:bottom w:val="nil"/>
              <w:right w:val="single" w:sz="4" w:space="0" w:color="auto"/>
            </w:tcBorders>
            <w:shd w:val="clear" w:color="auto" w:fill="auto"/>
            <w:noWrap/>
            <w:vAlign w:val="bottom"/>
            <w:hideMark/>
          </w:tcPr>
          <w:p w14:paraId="48BB0A67"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Required</w:t>
            </w:r>
          </w:p>
        </w:tc>
        <w:tc>
          <w:tcPr>
            <w:tcW w:w="1339" w:type="dxa"/>
            <w:tcBorders>
              <w:top w:val="single" w:sz="8" w:space="0" w:color="auto"/>
              <w:left w:val="nil"/>
              <w:bottom w:val="nil"/>
              <w:right w:val="single" w:sz="4" w:space="0" w:color="auto"/>
            </w:tcBorders>
            <w:shd w:val="clear" w:color="auto" w:fill="auto"/>
            <w:noWrap/>
            <w:vAlign w:val="bottom"/>
            <w:hideMark/>
          </w:tcPr>
          <w:p w14:paraId="4A8AE5C9"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Reallocated </w:t>
            </w:r>
          </w:p>
        </w:tc>
        <w:tc>
          <w:tcPr>
            <w:tcW w:w="1320" w:type="dxa"/>
            <w:tcBorders>
              <w:top w:val="single" w:sz="8" w:space="0" w:color="auto"/>
              <w:left w:val="nil"/>
              <w:bottom w:val="nil"/>
              <w:right w:val="single" w:sz="4" w:space="0" w:color="auto"/>
            </w:tcBorders>
            <w:shd w:val="clear" w:color="000000" w:fill="DCE6F1"/>
            <w:noWrap/>
            <w:vAlign w:val="bottom"/>
            <w:hideMark/>
          </w:tcPr>
          <w:p w14:paraId="4D9E3E17"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Estimated Balance </w:t>
            </w:r>
          </w:p>
        </w:tc>
        <w:tc>
          <w:tcPr>
            <w:tcW w:w="1180" w:type="dxa"/>
            <w:tcBorders>
              <w:top w:val="single" w:sz="8" w:space="0" w:color="auto"/>
              <w:left w:val="nil"/>
              <w:bottom w:val="nil"/>
              <w:right w:val="single" w:sz="4" w:space="0" w:color="auto"/>
            </w:tcBorders>
            <w:shd w:val="clear" w:color="auto" w:fill="auto"/>
            <w:noWrap/>
            <w:vAlign w:val="bottom"/>
            <w:hideMark/>
          </w:tcPr>
          <w:p w14:paraId="4AC0CBAD"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Required </w:t>
            </w:r>
          </w:p>
        </w:tc>
        <w:tc>
          <w:tcPr>
            <w:tcW w:w="1140" w:type="dxa"/>
            <w:tcBorders>
              <w:top w:val="single" w:sz="8" w:space="0" w:color="auto"/>
              <w:left w:val="nil"/>
              <w:bottom w:val="nil"/>
              <w:right w:val="single" w:sz="4" w:space="0" w:color="auto"/>
            </w:tcBorders>
            <w:shd w:val="clear" w:color="auto" w:fill="auto"/>
            <w:noWrap/>
            <w:vAlign w:val="bottom"/>
            <w:hideMark/>
          </w:tcPr>
          <w:p w14:paraId="61528516"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Required </w:t>
            </w:r>
          </w:p>
        </w:tc>
        <w:tc>
          <w:tcPr>
            <w:tcW w:w="1200" w:type="dxa"/>
            <w:tcBorders>
              <w:top w:val="single" w:sz="8" w:space="0" w:color="auto"/>
              <w:left w:val="nil"/>
              <w:bottom w:val="nil"/>
              <w:right w:val="single" w:sz="4" w:space="0" w:color="auto"/>
            </w:tcBorders>
            <w:shd w:val="clear" w:color="auto" w:fill="auto"/>
            <w:noWrap/>
            <w:vAlign w:val="bottom"/>
            <w:hideMark/>
          </w:tcPr>
          <w:p w14:paraId="35C883A5"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Required </w:t>
            </w:r>
          </w:p>
        </w:tc>
        <w:tc>
          <w:tcPr>
            <w:tcW w:w="1360" w:type="dxa"/>
            <w:tcBorders>
              <w:top w:val="single" w:sz="8" w:space="0" w:color="auto"/>
              <w:left w:val="nil"/>
              <w:bottom w:val="nil"/>
              <w:right w:val="single" w:sz="8" w:space="0" w:color="auto"/>
            </w:tcBorders>
            <w:shd w:val="clear" w:color="auto" w:fill="auto"/>
            <w:noWrap/>
            <w:vAlign w:val="bottom"/>
            <w:hideMark/>
          </w:tcPr>
          <w:p w14:paraId="686F24EF"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Balance</w:t>
            </w:r>
          </w:p>
        </w:tc>
      </w:tr>
      <w:tr w:rsidR="00D1663B" w:rsidRPr="004F47DA" w14:paraId="0F3AEAE2" w14:textId="77777777" w:rsidTr="00E42950">
        <w:trPr>
          <w:trHeight w:val="263"/>
          <w:tblHeader/>
        </w:trPr>
        <w:tc>
          <w:tcPr>
            <w:tcW w:w="4500" w:type="dxa"/>
            <w:tcBorders>
              <w:top w:val="nil"/>
              <w:left w:val="single" w:sz="8" w:space="0" w:color="auto"/>
              <w:bottom w:val="nil"/>
              <w:right w:val="single" w:sz="4" w:space="0" w:color="auto"/>
            </w:tcBorders>
            <w:shd w:val="clear" w:color="auto" w:fill="auto"/>
            <w:noWrap/>
            <w:vAlign w:val="bottom"/>
            <w:hideMark/>
          </w:tcPr>
          <w:p w14:paraId="2176886F"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5B5CE1B0"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01-Apr-2</w:t>
            </w:r>
            <w:r w:rsidR="00CC2654" w:rsidRPr="00AC5A83">
              <w:rPr>
                <w:b/>
                <w:bCs/>
                <w:color w:val="000000"/>
                <w:sz w:val="20"/>
                <w:szCs w:val="20"/>
                <w:lang w:eastAsia="en-GB"/>
              </w:rPr>
              <w:t>3</w:t>
            </w:r>
          </w:p>
        </w:tc>
        <w:tc>
          <w:tcPr>
            <w:tcW w:w="1260" w:type="dxa"/>
            <w:tcBorders>
              <w:top w:val="nil"/>
              <w:left w:val="nil"/>
              <w:bottom w:val="nil"/>
              <w:right w:val="single" w:sz="4" w:space="0" w:color="auto"/>
            </w:tcBorders>
            <w:shd w:val="clear" w:color="auto" w:fill="auto"/>
            <w:noWrap/>
            <w:vAlign w:val="bottom"/>
            <w:hideMark/>
          </w:tcPr>
          <w:p w14:paraId="154B1533" w14:textId="77777777" w:rsidR="00CE6999" w:rsidRPr="00AC5A83" w:rsidRDefault="004B6C98" w:rsidP="00CE6999">
            <w:pPr>
              <w:jc w:val="center"/>
              <w:rPr>
                <w:b/>
                <w:bCs/>
                <w:color w:val="000000"/>
                <w:sz w:val="20"/>
                <w:szCs w:val="20"/>
                <w:lang w:eastAsia="en-GB"/>
              </w:rPr>
            </w:pPr>
            <w:r w:rsidRPr="00AC5A83">
              <w:rPr>
                <w:b/>
                <w:bCs/>
                <w:color w:val="000000"/>
                <w:sz w:val="20"/>
                <w:szCs w:val="20"/>
                <w:lang w:eastAsia="en-GB"/>
              </w:rPr>
              <w:t>2023/24</w:t>
            </w:r>
          </w:p>
        </w:tc>
        <w:tc>
          <w:tcPr>
            <w:tcW w:w="1339" w:type="dxa"/>
            <w:tcBorders>
              <w:top w:val="nil"/>
              <w:left w:val="nil"/>
              <w:bottom w:val="nil"/>
              <w:right w:val="single" w:sz="4" w:space="0" w:color="auto"/>
            </w:tcBorders>
            <w:shd w:val="clear" w:color="auto" w:fill="auto"/>
            <w:noWrap/>
            <w:vAlign w:val="bottom"/>
            <w:hideMark/>
          </w:tcPr>
          <w:p w14:paraId="7C790D75" w14:textId="77777777" w:rsidR="00CE6999" w:rsidRPr="00AC5A83" w:rsidRDefault="00CC2654" w:rsidP="00CE6999">
            <w:pPr>
              <w:jc w:val="center"/>
              <w:rPr>
                <w:b/>
                <w:bCs/>
                <w:color w:val="000000"/>
                <w:sz w:val="20"/>
                <w:szCs w:val="20"/>
                <w:lang w:eastAsia="en-GB"/>
              </w:rPr>
            </w:pPr>
            <w:r w:rsidRPr="00AC5A83">
              <w:rPr>
                <w:b/>
                <w:bCs/>
                <w:color w:val="000000"/>
                <w:sz w:val="20"/>
                <w:szCs w:val="20"/>
                <w:lang w:eastAsia="en-GB"/>
              </w:rPr>
              <w:t>23/24</w:t>
            </w:r>
          </w:p>
        </w:tc>
        <w:tc>
          <w:tcPr>
            <w:tcW w:w="1320" w:type="dxa"/>
            <w:tcBorders>
              <w:top w:val="nil"/>
              <w:left w:val="nil"/>
              <w:bottom w:val="nil"/>
              <w:right w:val="single" w:sz="4" w:space="0" w:color="auto"/>
            </w:tcBorders>
            <w:shd w:val="clear" w:color="000000" w:fill="DCE6F1"/>
            <w:noWrap/>
            <w:vAlign w:val="bottom"/>
            <w:hideMark/>
          </w:tcPr>
          <w:p w14:paraId="4B0629BB"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31-Mar-2</w:t>
            </w:r>
            <w:r w:rsidR="00CC2654" w:rsidRPr="00AC5A83">
              <w:rPr>
                <w:b/>
                <w:bCs/>
                <w:color w:val="000000"/>
                <w:sz w:val="20"/>
                <w:szCs w:val="20"/>
                <w:lang w:eastAsia="en-GB"/>
              </w:rPr>
              <w:t>4</w:t>
            </w:r>
          </w:p>
        </w:tc>
        <w:tc>
          <w:tcPr>
            <w:tcW w:w="1180" w:type="dxa"/>
            <w:tcBorders>
              <w:top w:val="nil"/>
              <w:left w:val="nil"/>
              <w:bottom w:val="nil"/>
              <w:right w:val="single" w:sz="4" w:space="0" w:color="auto"/>
            </w:tcBorders>
            <w:shd w:val="clear" w:color="auto" w:fill="auto"/>
            <w:noWrap/>
            <w:vAlign w:val="bottom"/>
            <w:hideMark/>
          </w:tcPr>
          <w:p w14:paraId="467BB7E3" w14:textId="77777777" w:rsidR="00CE6999" w:rsidRPr="00AC5A83" w:rsidRDefault="004B6C98" w:rsidP="00CE6999">
            <w:pPr>
              <w:jc w:val="center"/>
              <w:rPr>
                <w:b/>
                <w:bCs/>
                <w:color w:val="000000"/>
                <w:sz w:val="20"/>
                <w:szCs w:val="20"/>
                <w:lang w:eastAsia="en-GB"/>
              </w:rPr>
            </w:pPr>
            <w:r w:rsidRPr="00AC5A83">
              <w:rPr>
                <w:b/>
                <w:bCs/>
                <w:color w:val="000000"/>
                <w:sz w:val="20"/>
                <w:szCs w:val="20"/>
                <w:lang w:eastAsia="en-GB"/>
              </w:rPr>
              <w:t>2024/25</w:t>
            </w:r>
          </w:p>
        </w:tc>
        <w:tc>
          <w:tcPr>
            <w:tcW w:w="1140" w:type="dxa"/>
            <w:tcBorders>
              <w:top w:val="nil"/>
              <w:left w:val="nil"/>
              <w:bottom w:val="nil"/>
              <w:right w:val="single" w:sz="4" w:space="0" w:color="auto"/>
            </w:tcBorders>
            <w:shd w:val="clear" w:color="auto" w:fill="auto"/>
            <w:noWrap/>
            <w:vAlign w:val="bottom"/>
            <w:hideMark/>
          </w:tcPr>
          <w:p w14:paraId="134A47D9" w14:textId="77777777" w:rsidR="00CE6999" w:rsidRPr="00AC5A83" w:rsidRDefault="004B6C98" w:rsidP="00CE6999">
            <w:pPr>
              <w:jc w:val="center"/>
              <w:rPr>
                <w:b/>
                <w:bCs/>
                <w:color w:val="000000"/>
                <w:sz w:val="20"/>
                <w:szCs w:val="20"/>
                <w:lang w:eastAsia="en-GB"/>
              </w:rPr>
            </w:pPr>
            <w:r w:rsidRPr="00AC5A83">
              <w:rPr>
                <w:b/>
                <w:bCs/>
                <w:color w:val="000000"/>
                <w:sz w:val="20"/>
                <w:szCs w:val="20"/>
                <w:lang w:eastAsia="en-GB"/>
              </w:rPr>
              <w:t>2025/26</w:t>
            </w:r>
          </w:p>
        </w:tc>
        <w:tc>
          <w:tcPr>
            <w:tcW w:w="1200" w:type="dxa"/>
            <w:tcBorders>
              <w:top w:val="nil"/>
              <w:left w:val="nil"/>
              <w:bottom w:val="nil"/>
              <w:right w:val="single" w:sz="4" w:space="0" w:color="auto"/>
            </w:tcBorders>
            <w:shd w:val="clear" w:color="auto" w:fill="auto"/>
            <w:noWrap/>
            <w:vAlign w:val="bottom"/>
            <w:hideMark/>
          </w:tcPr>
          <w:p w14:paraId="23B31525" w14:textId="77777777" w:rsidR="00CE6999" w:rsidRPr="00AC5A83" w:rsidRDefault="004B6C98" w:rsidP="00CE6999">
            <w:pPr>
              <w:jc w:val="center"/>
              <w:rPr>
                <w:b/>
                <w:bCs/>
                <w:color w:val="000000"/>
                <w:sz w:val="20"/>
                <w:szCs w:val="20"/>
                <w:lang w:eastAsia="en-GB"/>
              </w:rPr>
            </w:pPr>
            <w:r w:rsidRPr="00AC5A83">
              <w:rPr>
                <w:b/>
                <w:bCs/>
                <w:color w:val="000000"/>
                <w:sz w:val="20"/>
                <w:szCs w:val="20"/>
                <w:lang w:eastAsia="en-GB"/>
              </w:rPr>
              <w:t>2026/27</w:t>
            </w:r>
          </w:p>
        </w:tc>
        <w:tc>
          <w:tcPr>
            <w:tcW w:w="1360" w:type="dxa"/>
            <w:tcBorders>
              <w:top w:val="nil"/>
              <w:left w:val="nil"/>
              <w:bottom w:val="nil"/>
              <w:right w:val="single" w:sz="8" w:space="0" w:color="auto"/>
            </w:tcBorders>
            <w:shd w:val="clear" w:color="auto" w:fill="auto"/>
            <w:noWrap/>
            <w:vAlign w:val="bottom"/>
            <w:hideMark/>
          </w:tcPr>
          <w:p w14:paraId="283EE098"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31-Mar-2</w:t>
            </w:r>
            <w:r w:rsidR="00CC2654" w:rsidRPr="00AC5A83">
              <w:rPr>
                <w:b/>
                <w:bCs/>
                <w:color w:val="000000"/>
                <w:sz w:val="20"/>
                <w:szCs w:val="20"/>
                <w:lang w:eastAsia="en-GB"/>
              </w:rPr>
              <w:t>7</w:t>
            </w:r>
          </w:p>
        </w:tc>
      </w:tr>
      <w:tr w:rsidR="00D1663B" w:rsidRPr="004F47DA" w14:paraId="6CC75013" w14:textId="77777777" w:rsidTr="00E42950">
        <w:trPr>
          <w:trHeight w:val="270"/>
          <w:tblHeader/>
        </w:trPr>
        <w:tc>
          <w:tcPr>
            <w:tcW w:w="4500" w:type="dxa"/>
            <w:tcBorders>
              <w:top w:val="nil"/>
              <w:left w:val="single" w:sz="8" w:space="0" w:color="auto"/>
              <w:bottom w:val="single" w:sz="8" w:space="0" w:color="auto"/>
              <w:right w:val="single" w:sz="4" w:space="0" w:color="auto"/>
            </w:tcBorders>
            <w:shd w:val="clear" w:color="auto" w:fill="auto"/>
            <w:noWrap/>
            <w:vAlign w:val="bottom"/>
            <w:hideMark/>
          </w:tcPr>
          <w:p w14:paraId="62519466"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440" w:type="dxa"/>
            <w:tcBorders>
              <w:top w:val="nil"/>
              <w:left w:val="nil"/>
              <w:bottom w:val="single" w:sz="8" w:space="0" w:color="auto"/>
              <w:right w:val="single" w:sz="4" w:space="0" w:color="auto"/>
            </w:tcBorders>
            <w:shd w:val="clear" w:color="auto" w:fill="auto"/>
            <w:noWrap/>
            <w:vAlign w:val="bottom"/>
            <w:hideMark/>
          </w:tcPr>
          <w:p w14:paraId="6EB70503"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260" w:type="dxa"/>
            <w:tcBorders>
              <w:top w:val="nil"/>
              <w:left w:val="nil"/>
              <w:bottom w:val="single" w:sz="8" w:space="0" w:color="auto"/>
              <w:right w:val="single" w:sz="4" w:space="0" w:color="auto"/>
            </w:tcBorders>
            <w:shd w:val="clear" w:color="auto" w:fill="auto"/>
            <w:noWrap/>
            <w:vAlign w:val="bottom"/>
            <w:hideMark/>
          </w:tcPr>
          <w:p w14:paraId="7E483CDF"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339" w:type="dxa"/>
            <w:tcBorders>
              <w:top w:val="nil"/>
              <w:left w:val="nil"/>
              <w:bottom w:val="single" w:sz="8" w:space="0" w:color="auto"/>
              <w:right w:val="single" w:sz="4" w:space="0" w:color="auto"/>
            </w:tcBorders>
            <w:shd w:val="clear" w:color="auto" w:fill="auto"/>
            <w:noWrap/>
            <w:vAlign w:val="bottom"/>
            <w:hideMark/>
          </w:tcPr>
          <w:p w14:paraId="34542FB9"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320" w:type="dxa"/>
            <w:tcBorders>
              <w:top w:val="nil"/>
              <w:left w:val="nil"/>
              <w:bottom w:val="single" w:sz="8" w:space="0" w:color="auto"/>
              <w:right w:val="single" w:sz="4" w:space="0" w:color="auto"/>
            </w:tcBorders>
            <w:shd w:val="clear" w:color="000000" w:fill="DCE6F1"/>
            <w:noWrap/>
            <w:vAlign w:val="bottom"/>
            <w:hideMark/>
          </w:tcPr>
          <w:p w14:paraId="1CB797AA"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180" w:type="dxa"/>
            <w:tcBorders>
              <w:top w:val="nil"/>
              <w:left w:val="nil"/>
              <w:bottom w:val="single" w:sz="8" w:space="0" w:color="auto"/>
              <w:right w:val="single" w:sz="4" w:space="0" w:color="auto"/>
            </w:tcBorders>
            <w:shd w:val="clear" w:color="auto" w:fill="auto"/>
            <w:noWrap/>
            <w:vAlign w:val="bottom"/>
            <w:hideMark/>
          </w:tcPr>
          <w:p w14:paraId="4A4204DD"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140" w:type="dxa"/>
            <w:tcBorders>
              <w:top w:val="nil"/>
              <w:left w:val="nil"/>
              <w:bottom w:val="single" w:sz="8" w:space="0" w:color="auto"/>
              <w:right w:val="single" w:sz="4" w:space="0" w:color="auto"/>
            </w:tcBorders>
            <w:shd w:val="clear" w:color="auto" w:fill="auto"/>
            <w:noWrap/>
            <w:vAlign w:val="bottom"/>
            <w:hideMark/>
          </w:tcPr>
          <w:p w14:paraId="61C15D49"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200" w:type="dxa"/>
            <w:tcBorders>
              <w:top w:val="nil"/>
              <w:left w:val="nil"/>
              <w:bottom w:val="single" w:sz="8" w:space="0" w:color="auto"/>
              <w:right w:val="single" w:sz="4" w:space="0" w:color="auto"/>
            </w:tcBorders>
            <w:shd w:val="clear" w:color="auto" w:fill="auto"/>
            <w:noWrap/>
            <w:vAlign w:val="bottom"/>
            <w:hideMark/>
          </w:tcPr>
          <w:p w14:paraId="5224B2E7"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c>
          <w:tcPr>
            <w:tcW w:w="1360" w:type="dxa"/>
            <w:tcBorders>
              <w:top w:val="nil"/>
              <w:left w:val="nil"/>
              <w:bottom w:val="single" w:sz="8" w:space="0" w:color="auto"/>
              <w:right w:val="single" w:sz="8" w:space="0" w:color="auto"/>
            </w:tcBorders>
            <w:shd w:val="clear" w:color="auto" w:fill="auto"/>
            <w:noWrap/>
            <w:vAlign w:val="bottom"/>
            <w:hideMark/>
          </w:tcPr>
          <w:p w14:paraId="64F02BA5" w14:textId="77777777" w:rsidR="00CE6999" w:rsidRPr="00AC5A83" w:rsidRDefault="00CE6999" w:rsidP="00CE6999">
            <w:pPr>
              <w:jc w:val="center"/>
              <w:rPr>
                <w:b/>
                <w:bCs/>
                <w:color w:val="000000"/>
                <w:sz w:val="20"/>
                <w:szCs w:val="20"/>
                <w:lang w:eastAsia="en-GB"/>
              </w:rPr>
            </w:pPr>
            <w:r w:rsidRPr="00AC5A83">
              <w:rPr>
                <w:b/>
                <w:bCs/>
                <w:color w:val="000000"/>
                <w:sz w:val="20"/>
                <w:szCs w:val="20"/>
                <w:lang w:eastAsia="en-GB"/>
              </w:rPr>
              <w:t xml:space="preserve"> £ </w:t>
            </w:r>
          </w:p>
        </w:tc>
      </w:tr>
      <w:tr w:rsidR="00D1663B" w:rsidRPr="004F47DA" w14:paraId="2614CE38" w14:textId="77777777" w:rsidTr="000408B1">
        <w:trPr>
          <w:trHeight w:val="263"/>
        </w:trPr>
        <w:tc>
          <w:tcPr>
            <w:tcW w:w="4500" w:type="dxa"/>
            <w:tcBorders>
              <w:top w:val="nil"/>
              <w:left w:val="single" w:sz="8" w:space="0" w:color="auto"/>
              <w:bottom w:val="nil"/>
              <w:right w:val="single" w:sz="4" w:space="0" w:color="auto"/>
            </w:tcBorders>
            <w:shd w:val="clear" w:color="auto" w:fill="auto"/>
            <w:noWrap/>
            <w:vAlign w:val="center"/>
            <w:hideMark/>
          </w:tcPr>
          <w:p w14:paraId="3557E1C3" w14:textId="77777777" w:rsidR="00CC2654" w:rsidRPr="00AC5A83" w:rsidRDefault="00CC2654" w:rsidP="00CC2654">
            <w:pPr>
              <w:rPr>
                <w:b/>
                <w:bCs/>
                <w:color w:val="000000"/>
                <w:sz w:val="20"/>
                <w:szCs w:val="20"/>
                <w:lang w:eastAsia="en-GB"/>
              </w:rPr>
            </w:pPr>
            <w:r w:rsidRPr="00AC5A83">
              <w:rPr>
                <w:b/>
                <w:bCs/>
                <w:color w:val="000000"/>
                <w:sz w:val="20"/>
                <w:szCs w:val="20"/>
              </w:rPr>
              <w:t>Prevention Protection and Partnership</w:t>
            </w:r>
          </w:p>
        </w:tc>
        <w:tc>
          <w:tcPr>
            <w:tcW w:w="1440" w:type="dxa"/>
            <w:tcBorders>
              <w:top w:val="nil"/>
              <w:left w:val="nil"/>
              <w:bottom w:val="nil"/>
              <w:right w:val="single" w:sz="4" w:space="0" w:color="auto"/>
            </w:tcBorders>
            <w:shd w:val="clear" w:color="auto" w:fill="auto"/>
            <w:noWrap/>
            <w:vAlign w:val="center"/>
            <w:hideMark/>
          </w:tcPr>
          <w:p w14:paraId="077CCF3C" w14:textId="77777777" w:rsidR="00CC2654" w:rsidRPr="00AC5A83" w:rsidRDefault="00CC2654" w:rsidP="00CC2654">
            <w:pPr>
              <w:rPr>
                <w:b/>
                <w:bCs/>
                <w:sz w:val="20"/>
                <w:szCs w:val="20"/>
                <w:lang w:eastAsia="en-GB"/>
              </w:rPr>
            </w:pPr>
            <w:r w:rsidRPr="00AC5A83">
              <w:rPr>
                <w:b/>
                <w:bCs/>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5A26D8A8" w14:textId="77777777" w:rsidR="00CC2654" w:rsidRPr="00AC5A83" w:rsidRDefault="00CC2654" w:rsidP="00CC2654">
            <w:pPr>
              <w:rPr>
                <w:b/>
                <w:bCs/>
                <w:sz w:val="20"/>
                <w:szCs w:val="20"/>
                <w:lang w:eastAsia="en-GB"/>
              </w:rPr>
            </w:pPr>
            <w:r w:rsidRPr="00AC5A83">
              <w:rPr>
                <w:b/>
                <w:bCs/>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1F529726" w14:textId="77777777" w:rsidR="00CC2654" w:rsidRPr="00AC5A83" w:rsidRDefault="00CC2654" w:rsidP="00CC2654">
            <w:pPr>
              <w:rPr>
                <w:b/>
                <w:bCs/>
                <w:sz w:val="20"/>
                <w:szCs w:val="20"/>
                <w:lang w:eastAsia="en-GB"/>
              </w:rPr>
            </w:pPr>
            <w:r w:rsidRPr="00AC5A83">
              <w:rPr>
                <w:b/>
                <w:bCs/>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E7D58C8" w14:textId="77777777" w:rsidR="00CC2654" w:rsidRPr="00AC5A83" w:rsidRDefault="00CC2654" w:rsidP="00CC2654">
            <w:pPr>
              <w:rPr>
                <w:b/>
                <w:bCs/>
                <w:color w:val="000000"/>
                <w:sz w:val="20"/>
                <w:szCs w:val="20"/>
                <w:lang w:eastAsia="en-GB"/>
              </w:rPr>
            </w:pPr>
            <w:r w:rsidRPr="00AC5A83">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69C3D189" w14:textId="77777777" w:rsidR="00CC2654" w:rsidRPr="00AC5A83" w:rsidRDefault="00CC2654" w:rsidP="00CC2654">
            <w:pPr>
              <w:rPr>
                <w:b/>
                <w:bCs/>
                <w:color w:val="000000"/>
                <w:sz w:val="20"/>
                <w:szCs w:val="20"/>
                <w:lang w:eastAsia="en-GB"/>
              </w:rPr>
            </w:pPr>
            <w:r w:rsidRPr="00AC5A83">
              <w:rPr>
                <w:b/>
                <w:bCs/>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184A6FA8" w14:textId="77777777" w:rsidR="00CC2654" w:rsidRPr="00AC5A83" w:rsidRDefault="00CC2654" w:rsidP="00CC2654">
            <w:pPr>
              <w:rPr>
                <w:b/>
                <w:bCs/>
                <w:color w:val="000000"/>
                <w:sz w:val="20"/>
                <w:szCs w:val="20"/>
                <w:lang w:eastAsia="en-GB"/>
              </w:rPr>
            </w:pPr>
            <w:r w:rsidRPr="00AC5A83">
              <w:rPr>
                <w:b/>
                <w:bCs/>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7AAA2F4F" w14:textId="77777777" w:rsidR="00CC2654" w:rsidRPr="00AC5A83" w:rsidRDefault="00CC2654" w:rsidP="00CC2654">
            <w:pPr>
              <w:rPr>
                <w:b/>
                <w:bCs/>
                <w:color w:val="000000"/>
                <w:sz w:val="20"/>
                <w:szCs w:val="20"/>
                <w:lang w:eastAsia="en-GB"/>
              </w:rPr>
            </w:pPr>
            <w:r w:rsidRPr="00AC5A83">
              <w:rPr>
                <w:b/>
                <w:bCs/>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DE5DB23" w14:textId="77777777" w:rsidR="00CC2654" w:rsidRPr="00AC5A83" w:rsidRDefault="00CC2654" w:rsidP="00CC2654">
            <w:pPr>
              <w:rPr>
                <w:b/>
                <w:bCs/>
                <w:color w:val="000000"/>
                <w:sz w:val="20"/>
                <w:szCs w:val="20"/>
                <w:lang w:eastAsia="en-GB"/>
              </w:rPr>
            </w:pPr>
            <w:r w:rsidRPr="00AC5A83">
              <w:rPr>
                <w:b/>
                <w:bCs/>
                <w:color w:val="000000"/>
                <w:sz w:val="20"/>
                <w:szCs w:val="20"/>
              </w:rPr>
              <w:t> </w:t>
            </w:r>
          </w:p>
        </w:tc>
      </w:tr>
      <w:tr w:rsidR="00D1663B" w:rsidRPr="004F47DA" w14:paraId="4273D918"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0738019B" w14:textId="77777777" w:rsidR="00CC2654" w:rsidRPr="00AC5A83" w:rsidRDefault="00CC2654" w:rsidP="00CC2654">
            <w:pPr>
              <w:rPr>
                <w:sz w:val="20"/>
                <w:szCs w:val="20"/>
                <w:lang w:eastAsia="en-GB"/>
              </w:rPr>
            </w:pPr>
            <w:r w:rsidRPr="00AC5A83">
              <w:rPr>
                <w:color w:val="000000"/>
                <w:sz w:val="20"/>
                <w:szCs w:val="20"/>
              </w:rPr>
              <w:t>Safe as Houses</w:t>
            </w:r>
          </w:p>
        </w:tc>
        <w:tc>
          <w:tcPr>
            <w:tcW w:w="1440" w:type="dxa"/>
            <w:tcBorders>
              <w:top w:val="nil"/>
              <w:left w:val="single" w:sz="4" w:space="0" w:color="auto"/>
              <w:bottom w:val="nil"/>
              <w:right w:val="single" w:sz="4" w:space="0" w:color="auto"/>
            </w:tcBorders>
            <w:shd w:val="clear" w:color="auto" w:fill="auto"/>
            <w:noWrap/>
            <w:vAlign w:val="center"/>
            <w:hideMark/>
          </w:tcPr>
          <w:p w14:paraId="0AA240D3" w14:textId="77777777" w:rsidR="00CC2654" w:rsidRPr="00AC5A83" w:rsidRDefault="00CC2654" w:rsidP="00775CCD">
            <w:pPr>
              <w:jc w:val="right"/>
              <w:rPr>
                <w:sz w:val="20"/>
                <w:szCs w:val="20"/>
                <w:lang w:eastAsia="en-GB"/>
              </w:rPr>
            </w:pPr>
            <w:r w:rsidRPr="00AC5A83">
              <w:rPr>
                <w:color w:val="000000"/>
                <w:sz w:val="20"/>
                <w:szCs w:val="20"/>
              </w:rPr>
              <w:t>13,685</w:t>
            </w:r>
          </w:p>
        </w:tc>
        <w:tc>
          <w:tcPr>
            <w:tcW w:w="1260" w:type="dxa"/>
            <w:tcBorders>
              <w:top w:val="nil"/>
              <w:left w:val="nil"/>
              <w:bottom w:val="nil"/>
              <w:right w:val="single" w:sz="4" w:space="0" w:color="auto"/>
            </w:tcBorders>
            <w:shd w:val="clear" w:color="auto" w:fill="auto"/>
            <w:noWrap/>
            <w:vAlign w:val="center"/>
            <w:hideMark/>
          </w:tcPr>
          <w:p w14:paraId="0D9D83E5" w14:textId="77777777" w:rsidR="00CC2654" w:rsidRPr="00AC5A83" w:rsidRDefault="00CC2654" w:rsidP="00775CCD">
            <w:pPr>
              <w:jc w:val="right"/>
              <w:rPr>
                <w:sz w:val="20"/>
                <w:szCs w:val="20"/>
                <w:lang w:eastAsia="en-GB"/>
              </w:rPr>
            </w:pPr>
            <w:r w:rsidRPr="00AC5A83">
              <w:rPr>
                <w:color w:val="000000"/>
                <w:sz w:val="20"/>
                <w:szCs w:val="20"/>
              </w:rPr>
              <w:t>-7,044</w:t>
            </w:r>
          </w:p>
        </w:tc>
        <w:tc>
          <w:tcPr>
            <w:tcW w:w="1339" w:type="dxa"/>
            <w:tcBorders>
              <w:top w:val="nil"/>
              <w:left w:val="nil"/>
              <w:bottom w:val="nil"/>
              <w:right w:val="single" w:sz="4" w:space="0" w:color="auto"/>
            </w:tcBorders>
            <w:shd w:val="clear" w:color="auto" w:fill="auto"/>
            <w:noWrap/>
            <w:vAlign w:val="center"/>
            <w:hideMark/>
          </w:tcPr>
          <w:p w14:paraId="6ED9A63B"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2ECB0E8F" w14:textId="77777777" w:rsidR="00CC2654" w:rsidRPr="00AC5A83" w:rsidRDefault="00CC2654" w:rsidP="00775CCD">
            <w:pPr>
              <w:jc w:val="right"/>
              <w:rPr>
                <w:b/>
                <w:bCs/>
                <w:color w:val="000000"/>
                <w:sz w:val="20"/>
                <w:szCs w:val="20"/>
                <w:lang w:eastAsia="en-GB"/>
              </w:rPr>
            </w:pPr>
            <w:r w:rsidRPr="00AC5A83">
              <w:rPr>
                <w:b/>
                <w:bCs/>
                <w:color w:val="000000"/>
                <w:sz w:val="20"/>
                <w:szCs w:val="20"/>
              </w:rPr>
              <w:t>6,641</w:t>
            </w:r>
          </w:p>
        </w:tc>
        <w:tc>
          <w:tcPr>
            <w:tcW w:w="1180" w:type="dxa"/>
            <w:tcBorders>
              <w:top w:val="nil"/>
              <w:left w:val="nil"/>
              <w:bottom w:val="nil"/>
              <w:right w:val="single" w:sz="4" w:space="0" w:color="auto"/>
            </w:tcBorders>
            <w:shd w:val="clear" w:color="auto" w:fill="auto"/>
            <w:noWrap/>
            <w:vAlign w:val="center"/>
            <w:hideMark/>
          </w:tcPr>
          <w:p w14:paraId="3EFA57CB" w14:textId="77777777" w:rsidR="00CC2654" w:rsidRPr="00AC5A83" w:rsidRDefault="00CC2654" w:rsidP="00775CCD">
            <w:pPr>
              <w:jc w:val="right"/>
              <w:rPr>
                <w:color w:val="000000"/>
                <w:sz w:val="20"/>
                <w:szCs w:val="20"/>
                <w:lang w:eastAsia="en-GB"/>
              </w:rPr>
            </w:pPr>
            <w:r w:rsidRPr="00AC5A83">
              <w:rPr>
                <w:color w:val="000000"/>
                <w:sz w:val="20"/>
                <w:szCs w:val="20"/>
              </w:rPr>
              <w:t>-6,641</w:t>
            </w:r>
          </w:p>
        </w:tc>
        <w:tc>
          <w:tcPr>
            <w:tcW w:w="1140" w:type="dxa"/>
            <w:tcBorders>
              <w:top w:val="nil"/>
              <w:left w:val="nil"/>
              <w:bottom w:val="nil"/>
              <w:right w:val="single" w:sz="4" w:space="0" w:color="auto"/>
            </w:tcBorders>
            <w:shd w:val="clear" w:color="auto" w:fill="auto"/>
            <w:noWrap/>
            <w:vAlign w:val="center"/>
            <w:hideMark/>
          </w:tcPr>
          <w:p w14:paraId="2506EA67"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155B3B3A"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7FBD052"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06A00F06"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715C387F" w14:textId="77777777" w:rsidR="00CC2654" w:rsidRPr="00AC5A83" w:rsidRDefault="00CC2654" w:rsidP="00CC2654">
            <w:pPr>
              <w:rPr>
                <w:sz w:val="20"/>
                <w:szCs w:val="20"/>
                <w:lang w:eastAsia="en-GB"/>
              </w:rPr>
            </w:pPr>
            <w:r w:rsidRPr="00AC5A83">
              <w:rPr>
                <w:color w:val="000000"/>
                <w:sz w:val="20"/>
                <w:szCs w:val="20"/>
              </w:rPr>
              <w:t>Community Safety - Innovation Fund</w:t>
            </w:r>
          </w:p>
        </w:tc>
        <w:tc>
          <w:tcPr>
            <w:tcW w:w="1440" w:type="dxa"/>
            <w:tcBorders>
              <w:top w:val="nil"/>
              <w:left w:val="single" w:sz="4" w:space="0" w:color="auto"/>
              <w:bottom w:val="nil"/>
              <w:right w:val="single" w:sz="4" w:space="0" w:color="auto"/>
            </w:tcBorders>
            <w:shd w:val="clear" w:color="auto" w:fill="auto"/>
            <w:noWrap/>
            <w:vAlign w:val="center"/>
            <w:hideMark/>
          </w:tcPr>
          <w:p w14:paraId="79F0449D" w14:textId="77777777" w:rsidR="00CC2654" w:rsidRPr="00AC5A83" w:rsidRDefault="00CC2654" w:rsidP="00775CCD">
            <w:pPr>
              <w:jc w:val="right"/>
              <w:rPr>
                <w:sz w:val="20"/>
                <w:szCs w:val="20"/>
                <w:lang w:eastAsia="en-GB"/>
              </w:rPr>
            </w:pPr>
            <w:r w:rsidRPr="00AC5A83">
              <w:rPr>
                <w:color w:val="000000"/>
                <w:sz w:val="20"/>
                <w:szCs w:val="20"/>
              </w:rPr>
              <w:t>39,500</w:t>
            </w:r>
          </w:p>
        </w:tc>
        <w:tc>
          <w:tcPr>
            <w:tcW w:w="1260" w:type="dxa"/>
            <w:tcBorders>
              <w:top w:val="nil"/>
              <w:left w:val="nil"/>
              <w:bottom w:val="nil"/>
              <w:right w:val="single" w:sz="4" w:space="0" w:color="auto"/>
            </w:tcBorders>
            <w:shd w:val="clear" w:color="auto" w:fill="auto"/>
            <w:noWrap/>
            <w:vAlign w:val="center"/>
          </w:tcPr>
          <w:p w14:paraId="11852B35" w14:textId="77777777" w:rsidR="00CC2654" w:rsidRPr="00AC5A83" w:rsidRDefault="00CC2654"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3CD74095"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28D5740A" w14:textId="77777777" w:rsidR="00CC2654" w:rsidRPr="00AC5A83" w:rsidRDefault="00CC2654" w:rsidP="00775CCD">
            <w:pPr>
              <w:jc w:val="right"/>
              <w:rPr>
                <w:b/>
                <w:bCs/>
                <w:color w:val="000000"/>
                <w:sz w:val="20"/>
                <w:szCs w:val="20"/>
                <w:lang w:eastAsia="en-GB"/>
              </w:rPr>
            </w:pPr>
            <w:r w:rsidRPr="00AC5A83">
              <w:rPr>
                <w:b/>
                <w:bCs/>
                <w:color w:val="000000"/>
                <w:sz w:val="20"/>
                <w:szCs w:val="20"/>
              </w:rPr>
              <w:t>39,500</w:t>
            </w:r>
          </w:p>
        </w:tc>
        <w:tc>
          <w:tcPr>
            <w:tcW w:w="1180" w:type="dxa"/>
            <w:tcBorders>
              <w:top w:val="nil"/>
              <w:left w:val="nil"/>
              <w:bottom w:val="nil"/>
              <w:right w:val="single" w:sz="4" w:space="0" w:color="auto"/>
            </w:tcBorders>
            <w:shd w:val="clear" w:color="auto" w:fill="auto"/>
            <w:noWrap/>
            <w:vAlign w:val="center"/>
            <w:hideMark/>
          </w:tcPr>
          <w:p w14:paraId="1FD16A4B" w14:textId="77777777" w:rsidR="00CC2654" w:rsidRPr="00AC5A83" w:rsidRDefault="00CC2654" w:rsidP="00775CCD">
            <w:pPr>
              <w:jc w:val="right"/>
              <w:rPr>
                <w:color w:val="000000"/>
                <w:sz w:val="20"/>
                <w:szCs w:val="20"/>
                <w:lang w:eastAsia="en-GB"/>
              </w:rPr>
            </w:pPr>
            <w:r w:rsidRPr="00AC5A83">
              <w:rPr>
                <w:color w:val="000000"/>
                <w:sz w:val="20"/>
                <w:szCs w:val="20"/>
              </w:rPr>
              <w:t>-20,000</w:t>
            </w:r>
          </w:p>
        </w:tc>
        <w:tc>
          <w:tcPr>
            <w:tcW w:w="1140" w:type="dxa"/>
            <w:tcBorders>
              <w:top w:val="nil"/>
              <w:left w:val="nil"/>
              <w:bottom w:val="nil"/>
              <w:right w:val="single" w:sz="4" w:space="0" w:color="auto"/>
            </w:tcBorders>
            <w:shd w:val="clear" w:color="auto" w:fill="auto"/>
            <w:noWrap/>
            <w:vAlign w:val="center"/>
            <w:hideMark/>
          </w:tcPr>
          <w:p w14:paraId="3FE77DBD" w14:textId="77777777" w:rsidR="00CC2654" w:rsidRPr="00AC5A83" w:rsidRDefault="00CC2654" w:rsidP="00775CCD">
            <w:pPr>
              <w:jc w:val="right"/>
              <w:rPr>
                <w:color w:val="000000"/>
                <w:sz w:val="20"/>
                <w:szCs w:val="20"/>
                <w:lang w:eastAsia="en-GB"/>
              </w:rPr>
            </w:pPr>
            <w:r w:rsidRPr="00AC5A83">
              <w:rPr>
                <w:color w:val="000000"/>
                <w:sz w:val="20"/>
                <w:szCs w:val="20"/>
              </w:rPr>
              <w:t>-19,500</w:t>
            </w:r>
          </w:p>
        </w:tc>
        <w:tc>
          <w:tcPr>
            <w:tcW w:w="1200" w:type="dxa"/>
            <w:tcBorders>
              <w:top w:val="nil"/>
              <w:left w:val="nil"/>
              <w:bottom w:val="nil"/>
              <w:right w:val="single" w:sz="4" w:space="0" w:color="auto"/>
            </w:tcBorders>
            <w:shd w:val="clear" w:color="auto" w:fill="auto"/>
            <w:noWrap/>
            <w:vAlign w:val="center"/>
            <w:hideMark/>
          </w:tcPr>
          <w:p w14:paraId="2ECF81DF"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9B6030E"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370EF876"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456D11FA" w14:textId="77777777" w:rsidR="00CC2654" w:rsidRPr="00AC5A83" w:rsidRDefault="00CC2654" w:rsidP="00CC2654">
            <w:pPr>
              <w:rPr>
                <w:sz w:val="20"/>
                <w:szCs w:val="20"/>
                <w:lang w:eastAsia="en-GB"/>
              </w:rPr>
            </w:pPr>
            <w:r w:rsidRPr="00AC5A83">
              <w:rPr>
                <w:color w:val="000000"/>
                <w:sz w:val="20"/>
                <w:szCs w:val="20"/>
              </w:rPr>
              <w:t>Grenfell Infrastructure Fund</w:t>
            </w:r>
          </w:p>
        </w:tc>
        <w:tc>
          <w:tcPr>
            <w:tcW w:w="1440" w:type="dxa"/>
            <w:tcBorders>
              <w:top w:val="nil"/>
              <w:left w:val="single" w:sz="4" w:space="0" w:color="auto"/>
              <w:bottom w:val="nil"/>
              <w:right w:val="single" w:sz="4" w:space="0" w:color="auto"/>
            </w:tcBorders>
            <w:shd w:val="clear" w:color="auto" w:fill="auto"/>
            <w:noWrap/>
            <w:vAlign w:val="center"/>
            <w:hideMark/>
          </w:tcPr>
          <w:p w14:paraId="04577186" w14:textId="77777777" w:rsidR="00CC2654" w:rsidRPr="00AC5A83" w:rsidRDefault="00CC2654" w:rsidP="00775CCD">
            <w:pPr>
              <w:jc w:val="right"/>
              <w:rPr>
                <w:sz w:val="20"/>
                <w:szCs w:val="20"/>
                <w:lang w:eastAsia="en-GB"/>
              </w:rPr>
            </w:pPr>
            <w:r w:rsidRPr="00AC5A83">
              <w:rPr>
                <w:color w:val="000000"/>
                <w:sz w:val="20"/>
                <w:szCs w:val="20"/>
              </w:rPr>
              <w:t>16,582</w:t>
            </w:r>
          </w:p>
        </w:tc>
        <w:tc>
          <w:tcPr>
            <w:tcW w:w="1260" w:type="dxa"/>
            <w:tcBorders>
              <w:top w:val="nil"/>
              <w:left w:val="nil"/>
              <w:bottom w:val="nil"/>
              <w:right w:val="single" w:sz="4" w:space="0" w:color="auto"/>
            </w:tcBorders>
            <w:shd w:val="clear" w:color="auto" w:fill="auto"/>
            <w:noWrap/>
            <w:vAlign w:val="center"/>
          </w:tcPr>
          <w:p w14:paraId="29AAE305" w14:textId="77777777" w:rsidR="00CC2654" w:rsidRPr="00AC5A83" w:rsidRDefault="00CC2654"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1BD3F948"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2E0EF70E" w14:textId="77777777" w:rsidR="00CC2654" w:rsidRPr="00AC5A83" w:rsidRDefault="00CC2654" w:rsidP="00775CCD">
            <w:pPr>
              <w:jc w:val="right"/>
              <w:rPr>
                <w:b/>
                <w:bCs/>
                <w:color w:val="000000"/>
                <w:sz w:val="20"/>
                <w:szCs w:val="20"/>
                <w:lang w:eastAsia="en-GB"/>
              </w:rPr>
            </w:pPr>
            <w:r w:rsidRPr="00AC5A83">
              <w:rPr>
                <w:b/>
                <w:bCs/>
                <w:color w:val="000000"/>
                <w:sz w:val="20"/>
                <w:szCs w:val="20"/>
              </w:rPr>
              <w:t>16,582</w:t>
            </w:r>
          </w:p>
        </w:tc>
        <w:tc>
          <w:tcPr>
            <w:tcW w:w="1180" w:type="dxa"/>
            <w:tcBorders>
              <w:top w:val="nil"/>
              <w:left w:val="nil"/>
              <w:bottom w:val="nil"/>
              <w:right w:val="single" w:sz="4" w:space="0" w:color="auto"/>
            </w:tcBorders>
            <w:shd w:val="clear" w:color="auto" w:fill="auto"/>
            <w:noWrap/>
            <w:vAlign w:val="center"/>
            <w:hideMark/>
          </w:tcPr>
          <w:p w14:paraId="0F289AE5" w14:textId="77777777" w:rsidR="00CC2654" w:rsidRPr="00AC5A83" w:rsidRDefault="00CC2654" w:rsidP="00775CCD">
            <w:pPr>
              <w:jc w:val="right"/>
              <w:rPr>
                <w:color w:val="000000"/>
                <w:sz w:val="20"/>
                <w:szCs w:val="20"/>
                <w:lang w:eastAsia="en-GB"/>
              </w:rPr>
            </w:pPr>
            <w:r w:rsidRPr="00AC5A83">
              <w:rPr>
                <w:color w:val="000000"/>
                <w:sz w:val="20"/>
                <w:szCs w:val="20"/>
              </w:rPr>
              <w:t>-16</w:t>
            </w:r>
            <w:r w:rsidR="00941188">
              <w:rPr>
                <w:color w:val="000000"/>
                <w:sz w:val="20"/>
                <w:szCs w:val="20"/>
              </w:rPr>
              <w:t>,</w:t>
            </w:r>
            <w:r w:rsidRPr="00AC5A83">
              <w:rPr>
                <w:color w:val="000000"/>
                <w:sz w:val="20"/>
                <w:szCs w:val="20"/>
              </w:rPr>
              <w:t>582</w:t>
            </w:r>
          </w:p>
        </w:tc>
        <w:tc>
          <w:tcPr>
            <w:tcW w:w="1140" w:type="dxa"/>
            <w:tcBorders>
              <w:top w:val="nil"/>
              <w:left w:val="nil"/>
              <w:bottom w:val="nil"/>
              <w:right w:val="single" w:sz="4" w:space="0" w:color="auto"/>
            </w:tcBorders>
            <w:shd w:val="clear" w:color="auto" w:fill="auto"/>
            <w:noWrap/>
            <w:vAlign w:val="center"/>
            <w:hideMark/>
          </w:tcPr>
          <w:p w14:paraId="23CB0F9F"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402304BA"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1A7935BB"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482774AD"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545EA32E" w14:textId="77777777" w:rsidR="00CC2654" w:rsidRPr="00AC5A83" w:rsidRDefault="00CC2654" w:rsidP="00CC2654">
            <w:pPr>
              <w:rPr>
                <w:sz w:val="20"/>
                <w:szCs w:val="20"/>
                <w:lang w:eastAsia="en-GB"/>
              </w:rPr>
            </w:pPr>
            <w:r w:rsidRPr="00AC5A83">
              <w:rPr>
                <w:color w:val="000000"/>
                <w:sz w:val="20"/>
                <w:szCs w:val="20"/>
              </w:rPr>
              <w:t>Fire Protection Funding / Uplift grant</w:t>
            </w:r>
          </w:p>
        </w:tc>
        <w:tc>
          <w:tcPr>
            <w:tcW w:w="1440" w:type="dxa"/>
            <w:tcBorders>
              <w:top w:val="nil"/>
              <w:left w:val="single" w:sz="4" w:space="0" w:color="auto"/>
              <w:bottom w:val="nil"/>
              <w:right w:val="single" w:sz="4" w:space="0" w:color="auto"/>
            </w:tcBorders>
            <w:shd w:val="clear" w:color="auto" w:fill="auto"/>
            <w:noWrap/>
            <w:vAlign w:val="center"/>
            <w:hideMark/>
          </w:tcPr>
          <w:p w14:paraId="4DA6ED28" w14:textId="77777777" w:rsidR="00CC2654" w:rsidRPr="00AC5A83" w:rsidRDefault="00CC2654" w:rsidP="00775CCD">
            <w:pPr>
              <w:jc w:val="right"/>
              <w:rPr>
                <w:sz w:val="20"/>
                <w:szCs w:val="20"/>
                <w:lang w:eastAsia="en-GB"/>
              </w:rPr>
            </w:pPr>
            <w:r w:rsidRPr="00AC5A83">
              <w:rPr>
                <w:color w:val="000000"/>
                <w:sz w:val="20"/>
                <w:szCs w:val="20"/>
              </w:rPr>
              <w:t>128,984</w:t>
            </w:r>
          </w:p>
        </w:tc>
        <w:tc>
          <w:tcPr>
            <w:tcW w:w="1260" w:type="dxa"/>
            <w:tcBorders>
              <w:top w:val="nil"/>
              <w:left w:val="nil"/>
              <w:bottom w:val="nil"/>
              <w:right w:val="single" w:sz="4" w:space="0" w:color="auto"/>
            </w:tcBorders>
            <w:shd w:val="clear" w:color="auto" w:fill="auto"/>
            <w:noWrap/>
            <w:vAlign w:val="center"/>
            <w:hideMark/>
          </w:tcPr>
          <w:p w14:paraId="17E50262" w14:textId="77777777" w:rsidR="00CC2654" w:rsidRPr="00AC5A83" w:rsidRDefault="00CC2654" w:rsidP="00775CCD">
            <w:pPr>
              <w:jc w:val="right"/>
              <w:rPr>
                <w:sz w:val="20"/>
                <w:szCs w:val="20"/>
                <w:lang w:eastAsia="en-GB"/>
              </w:rPr>
            </w:pPr>
            <w:r w:rsidRPr="00AC5A83">
              <w:rPr>
                <w:color w:val="000000"/>
                <w:sz w:val="20"/>
                <w:szCs w:val="20"/>
              </w:rPr>
              <w:t>-56,378</w:t>
            </w:r>
          </w:p>
        </w:tc>
        <w:tc>
          <w:tcPr>
            <w:tcW w:w="1339" w:type="dxa"/>
            <w:tcBorders>
              <w:top w:val="nil"/>
              <w:left w:val="nil"/>
              <w:bottom w:val="nil"/>
              <w:right w:val="single" w:sz="4" w:space="0" w:color="auto"/>
            </w:tcBorders>
            <w:shd w:val="clear" w:color="auto" w:fill="auto"/>
            <w:noWrap/>
            <w:vAlign w:val="center"/>
            <w:hideMark/>
          </w:tcPr>
          <w:p w14:paraId="47991DD4"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581A18A5" w14:textId="77777777" w:rsidR="00CC2654" w:rsidRPr="00AC5A83" w:rsidRDefault="00CC2654" w:rsidP="00775CCD">
            <w:pPr>
              <w:jc w:val="right"/>
              <w:rPr>
                <w:b/>
                <w:bCs/>
                <w:color w:val="000000"/>
                <w:sz w:val="20"/>
                <w:szCs w:val="20"/>
                <w:lang w:eastAsia="en-GB"/>
              </w:rPr>
            </w:pPr>
            <w:r w:rsidRPr="00AC5A83">
              <w:rPr>
                <w:b/>
                <w:bCs/>
                <w:color w:val="000000"/>
                <w:sz w:val="20"/>
                <w:szCs w:val="20"/>
              </w:rPr>
              <w:t>72,606</w:t>
            </w:r>
          </w:p>
        </w:tc>
        <w:tc>
          <w:tcPr>
            <w:tcW w:w="1180" w:type="dxa"/>
            <w:tcBorders>
              <w:top w:val="nil"/>
              <w:left w:val="nil"/>
              <w:bottom w:val="nil"/>
              <w:right w:val="single" w:sz="4" w:space="0" w:color="auto"/>
            </w:tcBorders>
            <w:shd w:val="clear" w:color="auto" w:fill="auto"/>
            <w:noWrap/>
            <w:vAlign w:val="center"/>
            <w:hideMark/>
          </w:tcPr>
          <w:p w14:paraId="7C30487B" w14:textId="77777777" w:rsidR="00CC2654" w:rsidRPr="00AC5A83" w:rsidRDefault="00CC2654" w:rsidP="00775CCD">
            <w:pPr>
              <w:jc w:val="right"/>
              <w:rPr>
                <w:color w:val="000000"/>
                <w:sz w:val="20"/>
                <w:szCs w:val="20"/>
                <w:lang w:eastAsia="en-GB"/>
              </w:rPr>
            </w:pPr>
            <w:r w:rsidRPr="00AC5A83">
              <w:rPr>
                <w:color w:val="000000"/>
                <w:sz w:val="20"/>
                <w:szCs w:val="20"/>
              </w:rPr>
              <w:t>-72</w:t>
            </w:r>
            <w:r w:rsidR="00941188">
              <w:rPr>
                <w:color w:val="000000"/>
                <w:sz w:val="20"/>
                <w:szCs w:val="20"/>
              </w:rPr>
              <w:t>,</w:t>
            </w:r>
            <w:r w:rsidRPr="00AC5A83">
              <w:rPr>
                <w:color w:val="000000"/>
                <w:sz w:val="20"/>
                <w:szCs w:val="20"/>
              </w:rPr>
              <w:t>606</w:t>
            </w:r>
          </w:p>
        </w:tc>
        <w:tc>
          <w:tcPr>
            <w:tcW w:w="1140" w:type="dxa"/>
            <w:tcBorders>
              <w:top w:val="nil"/>
              <w:left w:val="nil"/>
              <w:bottom w:val="nil"/>
              <w:right w:val="single" w:sz="4" w:space="0" w:color="auto"/>
            </w:tcBorders>
            <w:shd w:val="clear" w:color="auto" w:fill="auto"/>
            <w:noWrap/>
            <w:vAlign w:val="center"/>
            <w:hideMark/>
          </w:tcPr>
          <w:p w14:paraId="63598F04"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7DD081DD"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4312ED53"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53E80C77"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2CB3DD6D" w14:textId="77777777" w:rsidR="00CC2654" w:rsidRPr="00AC5A83" w:rsidRDefault="00CC2654" w:rsidP="00CC2654">
            <w:pPr>
              <w:rPr>
                <w:sz w:val="20"/>
                <w:szCs w:val="20"/>
                <w:lang w:eastAsia="en-GB"/>
              </w:rPr>
            </w:pPr>
            <w:r w:rsidRPr="00AC5A83">
              <w:rPr>
                <w:color w:val="000000"/>
                <w:sz w:val="20"/>
                <w:szCs w:val="20"/>
              </w:rPr>
              <w:t>Fire Cadets Project - Duke of Edinburg</w:t>
            </w:r>
          </w:p>
        </w:tc>
        <w:tc>
          <w:tcPr>
            <w:tcW w:w="1440" w:type="dxa"/>
            <w:tcBorders>
              <w:top w:val="nil"/>
              <w:left w:val="single" w:sz="4" w:space="0" w:color="auto"/>
              <w:bottom w:val="nil"/>
              <w:right w:val="single" w:sz="4" w:space="0" w:color="auto"/>
            </w:tcBorders>
            <w:shd w:val="clear" w:color="auto" w:fill="auto"/>
            <w:noWrap/>
            <w:vAlign w:val="center"/>
            <w:hideMark/>
          </w:tcPr>
          <w:p w14:paraId="0B426A81" w14:textId="77777777" w:rsidR="00CC2654" w:rsidRPr="00AC5A83" w:rsidRDefault="00CC2654" w:rsidP="00775CCD">
            <w:pPr>
              <w:jc w:val="right"/>
              <w:rPr>
                <w:sz w:val="20"/>
                <w:szCs w:val="20"/>
                <w:lang w:eastAsia="en-GB"/>
              </w:rPr>
            </w:pPr>
            <w:r w:rsidRPr="00AC5A83">
              <w:rPr>
                <w:color w:val="000000"/>
                <w:sz w:val="20"/>
                <w:szCs w:val="20"/>
              </w:rPr>
              <w:t>18,918</w:t>
            </w:r>
          </w:p>
        </w:tc>
        <w:tc>
          <w:tcPr>
            <w:tcW w:w="1260" w:type="dxa"/>
            <w:tcBorders>
              <w:top w:val="nil"/>
              <w:left w:val="nil"/>
              <w:bottom w:val="nil"/>
              <w:right w:val="single" w:sz="4" w:space="0" w:color="auto"/>
            </w:tcBorders>
            <w:shd w:val="clear" w:color="auto" w:fill="auto"/>
            <w:noWrap/>
            <w:vAlign w:val="center"/>
            <w:hideMark/>
          </w:tcPr>
          <w:p w14:paraId="0DFC8A6B" w14:textId="77777777" w:rsidR="00CC2654" w:rsidRPr="00AC5A83" w:rsidRDefault="00CC2654" w:rsidP="00775CCD">
            <w:pPr>
              <w:jc w:val="right"/>
              <w:rPr>
                <w:sz w:val="20"/>
                <w:szCs w:val="20"/>
                <w:lang w:eastAsia="en-GB"/>
              </w:rPr>
            </w:pPr>
            <w:r w:rsidRPr="00AC5A83">
              <w:rPr>
                <w:color w:val="000000"/>
                <w:sz w:val="20"/>
                <w:szCs w:val="20"/>
              </w:rPr>
              <w:t>-500</w:t>
            </w:r>
          </w:p>
        </w:tc>
        <w:tc>
          <w:tcPr>
            <w:tcW w:w="1339" w:type="dxa"/>
            <w:tcBorders>
              <w:top w:val="nil"/>
              <w:left w:val="nil"/>
              <w:bottom w:val="nil"/>
              <w:right w:val="single" w:sz="4" w:space="0" w:color="auto"/>
            </w:tcBorders>
            <w:shd w:val="clear" w:color="auto" w:fill="auto"/>
            <w:noWrap/>
            <w:vAlign w:val="center"/>
            <w:hideMark/>
          </w:tcPr>
          <w:p w14:paraId="2C56DD26"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1B6ED013" w14:textId="77777777" w:rsidR="00CC2654" w:rsidRPr="00AC5A83" w:rsidRDefault="00CC2654" w:rsidP="00775CCD">
            <w:pPr>
              <w:jc w:val="right"/>
              <w:rPr>
                <w:b/>
                <w:bCs/>
                <w:color w:val="000000"/>
                <w:sz w:val="20"/>
                <w:szCs w:val="20"/>
                <w:lang w:eastAsia="en-GB"/>
              </w:rPr>
            </w:pPr>
            <w:r w:rsidRPr="00AC5A83">
              <w:rPr>
                <w:b/>
                <w:bCs/>
                <w:color w:val="000000"/>
                <w:sz w:val="20"/>
                <w:szCs w:val="20"/>
              </w:rPr>
              <w:t>18,418</w:t>
            </w:r>
          </w:p>
        </w:tc>
        <w:tc>
          <w:tcPr>
            <w:tcW w:w="1180" w:type="dxa"/>
            <w:tcBorders>
              <w:top w:val="nil"/>
              <w:left w:val="nil"/>
              <w:bottom w:val="nil"/>
              <w:right w:val="single" w:sz="4" w:space="0" w:color="auto"/>
            </w:tcBorders>
            <w:shd w:val="clear" w:color="auto" w:fill="auto"/>
            <w:noWrap/>
            <w:vAlign w:val="center"/>
            <w:hideMark/>
          </w:tcPr>
          <w:p w14:paraId="05313782" w14:textId="77777777" w:rsidR="00CC2654" w:rsidRPr="00AC5A83" w:rsidRDefault="00CC2654" w:rsidP="00775CCD">
            <w:pPr>
              <w:jc w:val="right"/>
              <w:rPr>
                <w:color w:val="000000"/>
                <w:sz w:val="20"/>
                <w:szCs w:val="20"/>
                <w:lang w:eastAsia="en-GB"/>
              </w:rPr>
            </w:pPr>
            <w:r w:rsidRPr="00AC5A83">
              <w:rPr>
                <w:color w:val="000000"/>
                <w:sz w:val="20"/>
                <w:szCs w:val="20"/>
              </w:rPr>
              <w:t>-9,000</w:t>
            </w:r>
          </w:p>
        </w:tc>
        <w:tc>
          <w:tcPr>
            <w:tcW w:w="1140" w:type="dxa"/>
            <w:tcBorders>
              <w:top w:val="nil"/>
              <w:left w:val="nil"/>
              <w:bottom w:val="nil"/>
              <w:right w:val="single" w:sz="4" w:space="0" w:color="auto"/>
            </w:tcBorders>
            <w:shd w:val="clear" w:color="auto" w:fill="auto"/>
            <w:noWrap/>
            <w:vAlign w:val="center"/>
            <w:hideMark/>
          </w:tcPr>
          <w:p w14:paraId="4C2B1818" w14:textId="77777777" w:rsidR="00CC2654" w:rsidRPr="00AC5A83" w:rsidRDefault="00CC2654" w:rsidP="00775CCD">
            <w:pPr>
              <w:jc w:val="right"/>
              <w:rPr>
                <w:color w:val="000000"/>
                <w:sz w:val="20"/>
                <w:szCs w:val="20"/>
                <w:lang w:eastAsia="en-GB"/>
              </w:rPr>
            </w:pPr>
            <w:r w:rsidRPr="00AC5A83">
              <w:rPr>
                <w:color w:val="000000"/>
                <w:sz w:val="20"/>
                <w:szCs w:val="20"/>
              </w:rPr>
              <w:t>-9,418</w:t>
            </w:r>
          </w:p>
        </w:tc>
        <w:tc>
          <w:tcPr>
            <w:tcW w:w="1200" w:type="dxa"/>
            <w:tcBorders>
              <w:top w:val="nil"/>
              <w:left w:val="nil"/>
              <w:bottom w:val="nil"/>
              <w:right w:val="single" w:sz="4" w:space="0" w:color="auto"/>
            </w:tcBorders>
            <w:shd w:val="clear" w:color="auto" w:fill="auto"/>
            <w:noWrap/>
            <w:vAlign w:val="center"/>
            <w:hideMark/>
          </w:tcPr>
          <w:p w14:paraId="2C482E75"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82AFAE5"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7C0A4A61"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083312F1" w14:textId="77777777" w:rsidR="00CC2654" w:rsidRPr="00AC5A83" w:rsidRDefault="00CC2654" w:rsidP="00CC2654">
            <w:pPr>
              <w:rPr>
                <w:sz w:val="20"/>
                <w:szCs w:val="20"/>
                <w:lang w:eastAsia="en-GB"/>
              </w:rPr>
            </w:pPr>
            <w:r w:rsidRPr="00AC5A83">
              <w:rPr>
                <w:color w:val="000000"/>
                <w:sz w:val="20"/>
                <w:szCs w:val="20"/>
              </w:rPr>
              <w:t>Accreditation, Recognition &amp; Prior Learning</w:t>
            </w:r>
          </w:p>
        </w:tc>
        <w:tc>
          <w:tcPr>
            <w:tcW w:w="1440" w:type="dxa"/>
            <w:tcBorders>
              <w:top w:val="nil"/>
              <w:left w:val="single" w:sz="4" w:space="0" w:color="auto"/>
              <w:bottom w:val="nil"/>
              <w:right w:val="single" w:sz="4" w:space="0" w:color="auto"/>
            </w:tcBorders>
            <w:shd w:val="clear" w:color="auto" w:fill="auto"/>
            <w:noWrap/>
            <w:vAlign w:val="center"/>
            <w:hideMark/>
          </w:tcPr>
          <w:p w14:paraId="2A6A55A2" w14:textId="77777777" w:rsidR="00CC2654" w:rsidRPr="00AC5A83" w:rsidRDefault="00CC2654" w:rsidP="00775CCD">
            <w:pPr>
              <w:jc w:val="right"/>
              <w:rPr>
                <w:sz w:val="20"/>
                <w:szCs w:val="20"/>
                <w:lang w:eastAsia="en-GB"/>
              </w:rPr>
            </w:pPr>
            <w:r w:rsidRPr="00AC5A83">
              <w:rPr>
                <w:color w:val="000000"/>
                <w:sz w:val="20"/>
                <w:szCs w:val="20"/>
              </w:rPr>
              <w:t>19,099</w:t>
            </w:r>
          </w:p>
        </w:tc>
        <w:tc>
          <w:tcPr>
            <w:tcW w:w="1260" w:type="dxa"/>
            <w:tcBorders>
              <w:top w:val="nil"/>
              <w:left w:val="nil"/>
              <w:bottom w:val="nil"/>
              <w:right w:val="single" w:sz="4" w:space="0" w:color="auto"/>
            </w:tcBorders>
            <w:shd w:val="clear" w:color="auto" w:fill="auto"/>
            <w:noWrap/>
            <w:vAlign w:val="center"/>
          </w:tcPr>
          <w:p w14:paraId="4C63F687" w14:textId="77777777" w:rsidR="00CC2654" w:rsidRPr="00AC5A83" w:rsidRDefault="00CC2654"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31F5683E"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2EACEC24" w14:textId="77777777" w:rsidR="00CC2654" w:rsidRPr="00AC5A83" w:rsidRDefault="00CC2654" w:rsidP="00775CCD">
            <w:pPr>
              <w:jc w:val="right"/>
              <w:rPr>
                <w:b/>
                <w:bCs/>
                <w:color w:val="000000"/>
                <w:sz w:val="20"/>
                <w:szCs w:val="20"/>
                <w:lang w:eastAsia="en-GB"/>
              </w:rPr>
            </w:pPr>
            <w:r w:rsidRPr="00AC5A83">
              <w:rPr>
                <w:b/>
                <w:bCs/>
                <w:color w:val="000000"/>
                <w:sz w:val="20"/>
                <w:szCs w:val="20"/>
              </w:rPr>
              <w:t>19,099</w:t>
            </w:r>
          </w:p>
        </w:tc>
        <w:tc>
          <w:tcPr>
            <w:tcW w:w="1180" w:type="dxa"/>
            <w:tcBorders>
              <w:top w:val="nil"/>
              <w:left w:val="nil"/>
              <w:bottom w:val="nil"/>
              <w:right w:val="single" w:sz="4" w:space="0" w:color="auto"/>
            </w:tcBorders>
            <w:shd w:val="clear" w:color="auto" w:fill="auto"/>
            <w:noWrap/>
            <w:vAlign w:val="center"/>
            <w:hideMark/>
          </w:tcPr>
          <w:p w14:paraId="3AEBDDD8" w14:textId="77777777" w:rsidR="00CC2654" w:rsidRPr="00AC5A83" w:rsidRDefault="00CC2654" w:rsidP="00775CCD">
            <w:pPr>
              <w:jc w:val="right"/>
              <w:rPr>
                <w:color w:val="000000"/>
                <w:sz w:val="20"/>
                <w:szCs w:val="20"/>
                <w:lang w:eastAsia="en-GB"/>
              </w:rPr>
            </w:pPr>
            <w:r w:rsidRPr="00AC5A83">
              <w:rPr>
                <w:color w:val="000000"/>
                <w:sz w:val="20"/>
                <w:szCs w:val="20"/>
              </w:rPr>
              <w:t>-19,099</w:t>
            </w:r>
          </w:p>
        </w:tc>
        <w:tc>
          <w:tcPr>
            <w:tcW w:w="1140" w:type="dxa"/>
            <w:tcBorders>
              <w:top w:val="nil"/>
              <w:left w:val="nil"/>
              <w:bottom w:val="nil"/>
              <w:right w:val="single" w:sz="4" w:space="0" w:color="auto"/>
            </w:tcBorders>
            <w:shd w:val="clear" w:color="auto" w:fill="auto"/>
            <w:noWrap/>
            <w:vAlign w:val="center"/>
            <w:hideMark/>
          </w:tcPr>
          <w:p w14:paraId="05AA8D3A"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7AF890CE"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2CD82B85"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5846DB7B"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31D46CDE" w14:textId="77777777" w:rsidR="00CC2654" w:rsidRPr="00AC5A83" w:rsidRDefault="00CC2654" w:rsidP="00CC2654">
            <w:pPr>
              <w:rPr>
                <w:sz w:val="20"/>
                <w:szCs w:val="20"/>
                <w:lang w:eastAsia="en-GB"/>
              </w:rPr>
            </w:pPr>
            <w:r w:rsidRPr="00AC5A83">
              <w:rPr>
                <w:color w:val="000000"/>
                <w:sz w:val="20"/>
                <w:szCs w:val="20"/>
              </w:rPr>
              <w:t>Children’s Home Safety Equipment Scheme</w:t>
            </w:r>
          </w:p>
        </w:tc>
        <w:tc>
          <w:tcPr>
            <w:tcW w:w="1440" w:type="dxa"/>
            <w:tcBorders>
              <w:top w:val="nil"/>
              <w:left w:val="single" w:sz="4" w:space="0" w:color="auto"/>
              <w:bottom w:val="nil"/>
              <w:right w:val="single" w:sz="4" w:space="0" w:color="auto"/>
            </w:tcBorders>
            <w:shd w:val="clear" w:color="auto" w:fill="auto"/>
            <w:noWrap/>
            <w:vAlign w:val="center"/>
            <w:hideMark/>
          </w:tcPr>
          <w:p w14:paraId="3D613D6A" w14:textId="77777777" w:rsidR="00CC2654" w:rsidRPr="00AC5A83" w:rsidRDefault="00CC2654" w:rsidP="00775CCD">
            <w:pPr>
              <w:jc w:val="right"/>
              <w:rPr>
                <w:sz w:val="20"/>
                <w:szCs w:val="20"/>
                <w:lang w:eastAsia="en-GB"/>
              </w:rPr>
            </w:pPr>
            <w:r w:rsidRPr="00AC5A83">
              <w:rPr>
                <w:color w:val="000000"/>
                <w:sz w:val="20"/>
                <w:szCs w:val="20"/>
              </w:rPr>
              <w:t>42,363</w:t>
            </w:r>
          </w:p>
        </w:tc>
        <w:tc>
          <w:tcPr>
            <w:tcW w:w="1260" w:type="dxa"/>
            <w:tcBorders>
              <w:top w:val="nil"/>
              <w:left w:val="nil"/>
              <w:bottom w:val="nil"/>
              <w:right w:val="single" w:sz="4" w:space="0" w:color="auto"/>
            </w:tcBorders>
            <w:shd w:val="clear" w:color="auto" w:fill="auto"/>
            <w:noWrap/>
            <w:vAlign w:val="center"/>
          </w:tcPr>
          <w:p w14:paraId="567DF142" w14:textId="77777777" w:rsidR="00CC2654" w:rsidRPr="00AC5A83" w:rsidRDefault="00CC2654"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389D6471" w14:textId="77777777" w:rsidR="00CC2654" w:rsidRPr="00AC5A83" w:rsidRDefault="00CC2654" w:rsidP="00775CCD">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0923195F" w14:textId="77777777" w:rsidR="00CC2654" w:rsidRPr="00AC5A83" w:rsidRDefault="00CC2654" w:rsidP="00775CCD">
            <w:pPr>
              <w:jc w:val="right"/>
              <w:rPr>
                <w:b/>
                <w:bCs/>
                <w:color w:val="000000"/>
                <w:sz w:val="20"/>
                <w:szCs w:val="20"/>
                <w:lang w:eastAsia="en-GB"/>
              </w:rPr>
            </w:pPr>
            <w:r w:rsidRPr="00AC5A83">
              <w:rPr>
                <w:b/>
                <w:bCs/>
                <w:color w:val="000000"/>
                <w:sz w:val="20"/>
                <w:szCs w:val="20"/>
              </w:rPr>
              <w:t>42,363</w:t>
            </w:r>
          </w:p>
        </w:tc>
        <w:tc>
          <w:tcPr>
            <w:tcW w:w="1180" w:type="dxa"/>
            <w:tcBorders>
              <w:top w:val="nil"/>
              <w:left w:val="nil"/>
              <w:bottom w:val="nil"/>
              <w:right w:val="single" w:sz="4" w:space="0" w:color="auto"/>
            </w:tcBorders>
            <w:shd w:val="clear" w:color="auto" w:fill="auto"/>
            <w:noWrap/>
            <w:vAlign w:val="center"/>
            <w:hideMark/>
          </w:tcPr>
          <w:p w14:paraId="22910E95" w14:textId="77777777" w:rsidR="00CC2654" w:rsidRPr="00AC5A83" w:rsidRDefault="00CC2654" w:rsidP="00775CCD">
            <w:pPr>
              <w:jc w:val="right"/>
              <w:rPr>
                <w:color w:val="000000"/>
                <w:sz w:val="20"/>
                <w:szCs w:val="20"/>
                <w:lang w:eastAsia="en-GB"/>
              </w:rPr>
            </w:pPr>
            <w:r w:rsidRPr="00AC5A83">
              <w:rPr>
                <w:color w:val="000000"/>
                <w:sz w:val="20"/>
                <w:szCs w:val="20"/>
              </w:rPr>
              <w:t>-42,363</w:t>
            </w:r>
          </w:p>
        </w:tc>
        <w:tc>
          <w:tcPr>
            <w:tcW w:w="1140" w:type="dxa"/>
            <w:tcBorders>
              <w:top w:val="nil"/>
              <w:left w:val="nil"/>
              <w:bottom w:val="nil"/>
              <w:right w:val="single" w:sz="4" w:space="0" w:color="auto"/>
            </w:tcBorders>
            <w:shd w:val="clear" w:color="auto" w:fill="auto"/>
            <w:noWrap/>
            <w:vAlign w:val="center"/>
            <w:hideMark/>
          </w:tcPr>
          <w:p w14:paraId="31E91F08"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57583286" w14:textId="77777777" w:rsidR="00CC2654" w:rsidRPr="00AC5A83" w:rsidRDefault="00CC2654" w:rsidP="00775CCD">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D97167E" w14:textId="77777777" w:rsidR="00CC2654" w:rsidRPr="00AC5A83" w:rsidRDefault="00CC2654" w:rsidP="00775CCD">
            <w:pPr>
              <w:jc w:val="right"/>
              <w:rPr>
                <w:color w:val="000000"/>
                <w:sz w:val="20"/>
                <w:szCs w:val="20"/>
                <w:lang w:eastAsia="en-GB"/>
              </w:rPr>
            </w:pPr>
            <w:r w:rsidRPr="00AC5A83">
              <w:rPr>
                <w:color w:val="000000"/>
                <w:sz w:val="20"/>
                <w:szCs w:val="20"/>
              </w:rPr>
              <w:t>0</w:t>
            </w:r>
          </w:p>
        </w:tc>
      </w:tr>
      <w:tr w:rsidR="00D1663B" w:rsidRPr="004F47DA" w14:paraId="7E92668E" w14:textId="77777777" w:rsidTr="000408B1">
        <w:trPr>
          <w:trHeight w:val="263"/>
        </w:trPr>
        <w:tc>
          <w:tcPr>
            <w:tcW w:w="4500" w:type="dxa"/>
            <w:tcBorders>
              <w:top w:val="single" w:sz="4" w:space="0" w:color="auto"/>
              <w:left w:val="single" w:sz="8" w:space="0" w:color="auto"/>
              <w:bottom w:val="nil"/>
              <w:right w:val="single" w:sz="4" w:space="0" w:color="auto"/>
            </w:tcBorders>
            <w:shd w:val="clear" w:color="auto" w:fill="auto"/>
            <w:noWrap/>
            <w:vAlign w:val="center"/>
            <w:hideMark/>
          </w:tcPr>
          <w:p w14:paraId="315ED354" w14:textId="77777777" w:rsidR="00CC2654" w:rsidRPr="00AC5A83" w:rsidRDefault="00CC2654" w:rsidP="00CC2654">
            <w:pPr>
              <w:rPr>
                <w:b/>
                <w:bCs/>
                <w:color w:val="000000"/>
                <w:sz w:val="20"/>
                <w:szCs w:val="20"/>
                <w:lang w:eastAsia="en-GB"/>
              </w:rPr>
            </w:pPr>
            <w:r w:rsidRPr="00AC5A83">
              <w:rPr>
                <w:b/>
                <w:bCs/>
                <w:color w:val="000000"/>
                <w:sz w:val="20"/>
                <w:szCs w:val="20"/>
              </w:rPr>
              <w:t>Sub Total</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1DDE0899" w14:textId="77777777" w:rsidR="00CC2654" w:rsidRPr="00AC5A83" w:rsidRDefault="00CC2654" w:rsidP="00CC2654">
            <w:pPr>
              <w:jc w:val="right"/>
              <w:rPr>
                <w:b/>
                <w:bCs/>
                <w:sz w:val="20"/>
                <w:szCs w:val="20"/>
                <w:lang w:eastAsia="en-GB"/>
              </w:rPr>
            </w:pPr>
            <w:r w:rsidRPr="00AC5A83">
              <w:rPr>
                <w:b/>
                <w:bCs/>
                <w:color w:val="000000"/>
                <w:sz w:val="20"/>
                <w:szCs w:val="20"/>
              </w:rPr>
              <w:t>279,132 </w:t>
            </w:r>
          </w:p>
        </w:tc>
        <w:tc>
          <w:tcPr>
            <w:tcW w:w="1260" w:type="dxa"/>
            <w:tcBorders>
              <w:top w:val="single" w:sz="4" w:space="0" w:color="auto"/>
              <w:left w:val="nil"/>
              <w:bottom w:val="nil"/>
              <w:right w:val="single" w:sz="4" w:space="0" w:color="auto"/>
            </w:tcBorders>
            <w:shd w:val="clear" w:color="auto" w:fill="auto"/>
            <w:noWrap/>
            <w:vAlign w:val="center"/>
            <w:hideMark/>
          </w:tcPr>
          <w:p w14:paraId="69FC8935" w14:textId="77777777" w:rsidR="00CC2654" w:rsidRPr="00AC5A83" w:rsidRDefault="00CC2654" w:rsidP="00CC2654">
            <w:pPr>
              <w:jc w:val="right"/>
              <w:rPr>
                <w:b/>
                <w:bCs/>
                <w:sz w:val="20"/>
                <w:szCs w:val="20"/>
                <w:lang w:eastAsia="en-GB"/>
              </w:rPr>
            </w:pPr>
            <w:r w:rsidRPr="00AC5A83">
              <w:rPr>
                <w:b/>
                <w:bCs/>
                <w:color w:val="000000"/>
                <w:sz w:val="20"/>
                <w:szCs w:val="20"/>
              </w:rPr>
              <w:t>-63,922</w:t>
            </w:r>
          </w:p>
        </w:tc>
        <w:tc>
          <w:tcPr>
            <w:tcW w:w="1339" w:type="dxa"/>
            <w:tcBorders>
              <w:top w:val="single" w:sz="4" w:space="0" w:color="auto"/>
              <w:left w:val="nil"/>
              <w:bottom w:val="nil"/>
              <w:right w:val="single" w:sz="4" w:space="0" w:color="auto"/>
            </w:tcBorders>
            <w:shd w:val="clear" w:color="auto" w:fill="auto"/>
            <w:noWrap/>
            <w:vAlign w:val="center"/>
            <w:hideMark/>
          </w:tcPr>
          <w:p w14:paraId="182895DD" w14:textId="77777777" w:rsidR="00CC2654" w:rsidRPr="00AC5A83" w:rsidRDefault="00CC2654" w:rsidP="00CC2654">
            <w:pPr>
              <w:jc w:val="right"/>
              <w:rPr>
                <w:b/>
                <w:bCs/>
                <w:sz w:val="20"/>
                <w:szCs w:val="20"/>
                <w:lang w:eastAsia="en-GB"/>
              </w:rPr>
            </w:pPr>
            <w:r w:rsidRPr="00AC5A83">
              <w:rPr>
                <w:b/>
                <w:bCs/>
                <w:color w:val="000000"/>
                <w:sz w:val="20"/>
                <w:szCs w:val="20"/>
              </w:rPr>
              <w:t>0 </w:t>
            </w:r>
          </w:p>
        </w:tc>
        <w:tc>
          <w:tcPr>
            <w:tcW w:w="1320" w:type="dxa"/>
            <w:tcBorders>
              <w:top w:val="single" w:sz="4" w:space="0" w:color="auto"/>
              <w:left w:val="nil"/>
              <w:bottom w:val="nil"/>
              <w:right w:val="single" w:sz="4" w:space="0" w:color="auto"/>
            </w:tcBorders>
            <w:shd w:val="clear" w:color="000000" w:fill="DCE6F1"/>
            <w:noWrap/>
            <w:vAlign w:val="center"/>
            <w:hideMark/>
          </w:tcPr>
          <w:p w14:paraId="680A106E" w14:textId="77777777" w:rsidR="00CC2654" w:rsidRPr="00AC5A83" w:rsidRDefault="00775CCD" w:rsidP="00CC2654">
            <w:pPr>
              <w:jc w:val="right"/>
              <w:rPr>
                <w:b/>
                <w:bCs/>
                <w:sz w:val="20"/>
                <w:szCs w:val="20"/>
                <w:lang w:eastAsia="en-GB"/>
              </w:rPr>
            </w:pPr>
            <w:r w:rsidRPr="00AC5A83">
              <w:rPr>
                <w:b/>
                <w:bCs/>
                <w:color w:val="000000"/>
                <w:sz w:val="20"/>
                <w:szCs w:val="20"/>
              </w:rPr>
              <w:t>215,210</w:t>
            </w:r>
          </w:p>
        </w:tc>
        <w:tc>
          <w:tcPr>
            <w:tcW w:w="1180" w:type="dxa"/>
            <w:tcBorders>
              <w:top w:val="single" w:sz="4" w:space="0" w:color="auto"/>
              <w:left w:val="nil"/>
              <w:bottom w:val="nil"/>
              <w:right w:val="single" w:sz="4" w:space="0" w:color="auto"/>
            </w:tcBorders>
            <w:shd w:val="clear" w:color="auto" w:fill="auto"/>
            <w:noWrap/>
            <w:vAlign w:val="center"/>
            <w:hideMark/>
          </w:tcPr>
          <w:p w14:paraId="6525414C" w14:textId="77777777" w:rsidR="00CC2654" w:rsidRPr="00AC5A83" w:rsidRDefault="00775CCD" w:rsidP="00CC2654">
            <w:pPr>
              <w:jc w:val="right"/>
              <w:rPr>
                <w:b/>
                <w:bCs/>
                <w:sz w:val="20"/>
                <w:szCs w:val="20"/>
                <w:lang w:eastAsia="en-GB"/>
              </w:rPr>
            </w:pPr>
            <w:r w:rsidRPr="00AC5A83">
              <w:rPr>
                <w:b/>
                <w:bCs/>
                <w:color w:val="000000"/>
                <w:sz w:val="20"/>
                <w:szCs w:val="20"/>
              </w:rPr>
              <w:t>186,291</w:t>
            </w:r>
            <w:r w:rsidR="00CC2654" w:rsidRPr="00AC5A83">
              <w:rPr>
                <w:b/>
                <w:bCs/>
                <w:color w:val="000000"/>
                <w:sz w:val="20"/>
                <w:szCs w:val="20"/>
              </w:rPr>
              <w:t> </w:t>
            </w:r>
          </w:p>
        </w:tc>
        <w:tc>
          <w:tcPr>
            <w:tcW w:w="1140" w:type="dxa"/>
            <w:tcBorders>
              <w:top w:val="single" w:sz="4" w:space="0" w:color="auto"/>
              <w:left w:val="nil"/>
              <w:bottom w:val="nil"/>
              <w:right w:val="single" w:sz="4" w:space="0" w:color="auto"/>
            </w:tcBorders>
            <w:shd w:val="clear" w:color="auto" w:fill="auto"/>
            <w:noWrap/>
            <w:vAlign w:val="center"/>
            <w:hideMark/>
          </w:tcPr>
          <w:p w14:paraId="6146EBAE" w14:textId="77777777" w:rsidR="00CC2654" w:rsidRPr="00AC5A83" w:rsidRDefault="00775CCD" w:rsidP="00CC2654">
            <w:pPr>
              <w:jc w:val="right"/>
              <w:rPr>
                <w:b/>
                <w:bCs/>
                <w:sz w:val="20"/>
                <w:szCs w:val="20"/>
                <w:lang w:eastAsia="en-GB"/>
              </w:rPr>
            </w:pPr>
            <w:r w:rsidRPr="00AC5A83">
              <w:rPr>
                <w:b/>
                <w:bCs/>
                <w:color w:val="000000"/>
                <w:sz w:val="20"/>
                <w:szCs w:val="20"/>
              </w:rPr>
              <w:t>28,918</w:t>
            </w:r>
          </w:p>
        </w:tc>
        <w:tc>
          <w:tcPr>
            <w:tcW w:w="1200" w:type="dxa"/>
            <w:tcBorders>
              <w:top w:val="single" w:sz="4" w:space="0" w:color="auto"/>
              <w:left w:val="nil"/>
              <w:bottom w:val="nil"/>
              <w:right w:val="single" w:sz="4" w:space="0" w:color="auto"/>
            </w:tcBorders>
            <w:shd w:val="clear" w:color="auto" w:fill="auto"/>
            <w:noWrap/>
            <w:vAlign w:val="center"/>
            <w:hideMark/>
          </w:tcPr>
          <w:p w14:paraId="78CC61B3" w14:textId="77777777" w:rsidR="00CC2654" w:rsidRPr="00AC5A83" w:rsidRDefault="00775CCD" w:rsidP="00CC2654">
            <w:pPr>
              <w:jc w:val="right"/>
              <w:rPr>
                <w:b/>
                <w:bCs/>
                <w:sz w:val="20"/>
                <w:szCs w:val="20"/>
                <w:lang w:eastAsia="en-GB"/>
              </w:rPr>
            </w:pPr>
            <w:r w:rsidRPr="00AC5A83">
              <w:rPr>
                <w:b/>
                <w:bCs/>
                <w:color w:val="000000"/>
                <w:sz w:val="20"/>
                <w:szCs w:val="20"/>
              </w:rPr>
              <w:t>0</w:t>
            </w:r>
          </w:p>
        </w:tc>
        <w:tc>
          <w:tcPr>
            <w:tcW w:w="1360" w:type="dxa"/>
            <w:tcBorders>
              <w:top w:val="single" w:sz="4" w:space="0" w:color="auto"/>
              <w:left w:val="nil"/>
              <w:bottom w:val="nil"/>
              <w:right w:val="single" w:sz="4" w:space="0" w:color="auto"/>
            </w:tcBorders>
            <w:shd w:val="clear" w:color="auto" w:fill="auto"/>
            <w:noWrap/>
            <w:vAlign w:val="center"/>
            <w:hideMark/>
          </w:tcPr>
          <w:p w14:paraId="53CD1B05" w14:textId="77777777" w:rsidR="00CC2654" w:rsidRPr="00AC5A83" w:rsidRDefault="00775CCD" w:rsidP="00CC2654">
            <w:pPr>
              <w:jc w:val="right"/>
              <w:rPr>
                <w:b/>
                <w:bCs/>
                <w:sz w:val="20"/>
                <w:szCs w:val="20"/>
                <w:lang w:eastAsia="en-GB"/>
              </w:rPr>
            </w:pPr>
            <w:r w:rsidRPr="00AC5A83">
              <w:rPr>
                <w:b/>
                <w:bCs/>
                <w:color w:val="000000"/>
                <w:sz w:val="20"/>
                <w:szCs w:val="20"/>
              </w:rPr>
              <w:t>0</w:t>
            </w:r>
          </w:p>
        </w:tc>
      </w:tr>
      <w:tr w:rsidR="00D1663B" w:rsidRPr="004F47DA" w14:paraId="2B4FC1D1" w14:textId="77777777" w:rsidTr="00E42950">
        <w:trPr>
          <w:trHeight w:val="263"/>
        </w:trPr>
        <w:tc>
          <w:tcPr>
            <w:tcW w:w="4500" w:type="dxa"/>
            <w:tcBorders>
              <w:top w:val="nil"/>
              <w:left w:val="single" w:sz="8" w:space="0" w:color="auto"/>
              <w:bottom w:val="nil"/>
              <w:right w:val="single" w:sz="4" w:space="0" w:color="auto"/>
            </w:tcBorders>
            <w:shd w:val="clear" w:color="auto" w:fill="auto"/>
            <w:noWrap/>
            <w:vAlign w:val="bottom"/>
            <w:hideMark/>
          </w:tcPr>
          <w:p w14:paraId="51754A53"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1BB12BFE"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76F180F1"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29EC9D4E"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755B87A2"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536F4AEF"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6F9AA10B"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1A210441"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7FAD02C2"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5C999743" w14:textId="77777777" w:rsidTr="00E42950">
        <w:trPr>
          <w:trHeight w:val="263"/>
        </w:trPr>
        <w:tc>
          <w:tcPr>
            <w:tcW w:w="4500" w:type="dxa"/>
            <w:tcBorders>
              <w:top w:val="nil"/>
              <w:left w:val="single" w:sz="8" w:space="0" w:color="auto"/>
              <w:bottom w:val="nil"/>
              <w:right w:val="single" w:sz="4" w:space="0" w:color="auto"/>
            </w:tcBorders>
            <w:shd w:val="clear" w:color="auto" w:fill="auto"/>
            <w:noWrap/>
            <w:vAlign w:val="bottom"/>
            <w:hideMark/>
          </w:tcPr>
          <w:p w14:paraId="2DCB33C9"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Resilience</w:t>
            </w:r>
          </w:p>
        </w:tc>
        <w:tc>
          <w:tcPr>
            <w:tcW w:w="1440" w:type="dxa"/>
            <w:tcBorders>
              <w:top w:val="nil"/>
              <w:left w:val="nil"/>
              <w:bottom w:val="nil"/>
              <w:right w:val="single" w:sz="4" w:space="0" w:color="auto"/>
            </w:tcBorders>
            <w:shd w:val="clear" w:color="auto" w:fill="auto"/>
            <w:noWrap/>
            <w:vAlign w:val="bottom"/>
            <w:hideMark/>
          </w:tcPr>
          <w:p w14:paraId="678E7D16"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60619161"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1A130EA8"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68260364"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155D14A8"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2EEE3824"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03EC7F05"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22D1904D"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597103CF" w14:textId="77777777" w:rsidTr="00E42950">
        <w:trPr>
          <w:trHeight w:val="263"/>
        </w:trPr>
        <w:tc>
          <w:tcPr>
            <w:tcW w:w="4500" w:type="dxa"/>
            <w:tcBorders>
              <w:top w:val="nil"/>
              <w:left w:val="single" w:sz="8" w:space="0" w:color="auto"/>
              <w:bottom w:val="single" w:sz="4" w:space="0" w:color="auto"/>
              <w:right w:val="single" w:sz="4" w:space="0" w:color="auto"/>
            </w:tcBorders>
            <w:shd w:val="clear" w:color="auto" w:fill="auto"/>
            <w:noWrap/>
            <w:vAlign w:val="bottom"/>
            <w:hideMark/>
          </w:tcPr>
          <w:p w14:paraId="0B4CD583" w14:textId="77777777" w:rsidR="00CE6999" w:rsidRPr="00AC5A83" w:rsidRDefault="00CE6999" w:rsidP="00CE6999">
            <w:pPr>
              <w:rPr>
                <w:color w:val="000000"/>
                <w:sz w:val="20"/>
                <w:szCs w:val="20"/>
                <w:lang w:eastAsia="en-GB"/>
              </w:rPr>
            </w:pPr>
            <w:r w:rsidRPr="00AC5A83">
              <w:rPr>
                <w:color w:val="000000"/>
                <w:sz w:val="20"/>
                <w:szCs w:val="20"/>
                <w:lang w:eastAsia="en-GB"/>
              </w:rPr>
              <w:t xml:space="preserve">New Threats / MTFA </w:t>
            </w:r>
          </w:p>
        </w:tc>
        <w:tc>
          <w:tcPr>
            <w:tcW w:w="1440" w:type="dxa"/>
            <w:tcBorders>
              <w:top w:val="nil"/>
              <w:left w:val="nil"/>
              <w:bottom w:val="nil"/>
              <w:right w:val="single" w:sz="4" w:space="0" w:color="auto"/>
            </w:tcBorders>
            <w:shd w:val="clear" w:color="auto" w:fill="auto"/>
            <w:noWrap/>
            <w:vAlign w:val="bottom"/>
            <w:hideMark/>
          </w:tcPr>
          <w:p w14:paraId="1DA7B2D9" w14:textId="77777777" w:rsidR="00CE6999" w:rsidRPr="00AC5A83" w:rsidRDefault="00775CCD" w:rsidP="00CE6999">
            <w:pPr>
              <w:jc w:val="right"/>
              <w:rPr>
                <w:sz w:val="20"/>
                <w:szCs w:val="20"/>
                <w:lang w:eastAsia="en-GB"/>
              </w:rPr>
            </w:pPr>
            <w:r w:rsidRPr="00AC5A83">
              <w:rPr>
                <w:sz w:val="20"/>
                <w:szCs w:val="20"/>
                <w:lang w:eastAsia="en-GB"/>
              </w:rPr>
              <w:t>35,536</w:t>
            </w:r>
          </w:p>
        </w:tc>
        <w:tc>
          <w:tcPr>
            <w:tcW w:w="1260" w:type="dxa"/>
            <w:tcBorders>
              <w:top w:val="nil"/>
              <w:left w:val="nil"/>
              <w:bottom w:val="nil"/>
              <w:right w:val="single" w:sz="4" w:space="0" w:color="auto"/>
            </w:tcBorders>
            <w:shd w:val="clear" w:color="auto" w:fill="auto"/>
            <w:noWrap/>
            <w:vAlign w:val="bottom"/>
            <w:hideMark/>
          </w:tcPr>
          <w:p w14:paraId="4584E169"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15C843ED"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3EE29937" w14:textId="77777777" w:rsidR="00CE6999" w:rsidRPr="00AC5A83" w:rsidRDefault="00CE6999" w:rsidP="00CE6999">
            <w:pPr>
              <w:jc w:val="right"/>
              <w:rPr>
                <w:b/>
                <w:bCs/>
                <w:color w:val="000000"/>
                <w:sz w:val="20"/>
                <w:szCs w:val="20"/>
                <w:lang w:eastAsia="en-GB"/>
              </w:rPr>
            </w:pPr>
            <w:r w:rsidRPr="00AC5A83">
              <w:rPr>
                <w:b/>
                <w:bCs/>
                <w:color w:val="000000"/>
                <w:sz w:val="20"/>
                <w:szCs w:val="20"/>
                <w:lang w:eastAsia="en-GB"/>
              </w:rPr>
              <w:t>35,536</w:t>
            </w:r>
          </w:p>
        </w:tc>
        <w:tc>
          <w:tcPr>
            <w:tcW w:w="1180" w:type="dxa"/>
            <w:tcBorders>
              <w:top w:val="nil"/>
              <w:left w:val="nil"/>
              <w:bottom w:val="single" w:sz="4" w:space="0" w:color="auto"/>
              <w:right w:val="single" w:sz="4" w:space="0" w:color="auto"/>
            </w:tcBorders>
            <w:shd w:val="clear" w:color="auto" w:fill="auto"/>
            <w:noWrap/>
            <w:vAlign w:val="bottom"/>
            <w:hideMark/>
          </w:tcPr>
          <w:p w14:paraId="161C9CB6" w14:textId="77777777" w:rsidR="00CE6999" w:rsidRPr="00AC5A83" w:rsidRDefault="00CE6999" w:rsidP="00CE6999">
            <w:pPr>
              <w:jc w:val="right"/>
              <w:rPr>
                <w:color w:val="000000"/>
                <w:sz w:val="20"/>
                <w:szCs w:val="20"/>
                <w:lang w:eastAsia="en-GB"/>
              </w:rPr>
            </w:pPr>
            <w:r w:rsidRPr="00AC5A83">
              <w:rPr>
                <w:color w:val="000000"/>
                <w:sz w:val="20"/>
                <w:szCs w:val="20"/>
                <w:lang w:eastAsia="en-GB"/>
              </w:rPr>
              <w:t>-35,536</w:t>
            </w:r>
          </w:p>
        </w:tc>
        <w:tc>
          <w:tcPr>
            <w:tcW w:w="1140" w:type="dxa"/>
            <w:tcBorders>
              <w:top w:val="nil"/>
              <w:left w:val="nil"/>
              <w:bottom w:val="single" w:sz="4" w:space="0" w:color="auto"/>
              <w:right w:val="single" w:sz="4" w:space="0" w:color="auto"/>
            </w:tcBorders>
            <w:shd w:val="clear" w:color="auto" w:fill="auto"/>
            <w:noWrap/>
            <w:vAlign w:val="bottom"/>
            <w:hideMark/>
          </w:tcPr>
          <w:p w14:paraId="62B4C1C4"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7A5944"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single" w:sz="4" w:space="0" w:color="auto"/>
              <w:right w:val="single" w:sz="8" w:space="0" w:color="auto"/>
            </w:tcBorders>
            <w:shd w:val="clear" w:color="auto" w:fill="auto"/>
            <w:noWrap/>
            <w:vAlign w:val="bottom"/>
            <w:hideMark/>
          </w:tcPr>
          <w:p w14:paraId="2FBF501C" w14:textId="77777777" w:rsidR="00CE6999" w:rsidRPr="00AC5A83" w:rsidRDefault="00CE6999" w:rsidP="00CE6999">
            <w:pPr>
              <w:jc w:val="right"/>
              <w:rPr>
                <w:color w:val="000000"/>
                <w:sz w:val="20"/>
                <w:szCs w:val="20"/>
                <w:lang w:eastAsia="en-GB"/>
              </w:rPr>
            </w:pPr>
            <w:r w:rsidRPr="00AC5A83">
              <w:rPr>
                <w:color w:val="000000"/>
                <w:sz w:val="20"/>
                <w:szCs w:val="20"/>
                <w:lang w:eastAsia="en-GB"/>
              </w:rPr>
              <w:t>0</w:t>
            </w:r>
          </w:p>
        </w:tc>
      </w:tr>
      <w:tr w:rsidR="00D1663B" w:rsidRPr="004F47DA" w14:paraId="28E3BDFA" w14:textId="77777777" w:rsidTr="00E42950">
        <w:trPr>
          <w:trHeight w:val="263"/>
        </w:trPr>
        <w:tc>
          <w:tcPr>
            <w:tcW w:w="4500" w:type="dxa"/>
            <w:tcBorders>
              <w:top w:val="nil"/>
              <w:left w:val="single" w:sz="8" w:space="0" w:color="auto"/>
              <w:bottom w:val="nil"/>
              <w:right w:val="nil"/>
            </w:tcBorders>
            <w:shd w:val="clear" w:color="auto" w:fill="auto"/>
            <w:noWrap/>
            <w:vAlign w:val="bottom"/>
            <w:hideMark/>
          </w:tcPr>
          <w:p w14:paraId="5FABFA88"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Sub Total</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63B7278B" w14:textId="77777777" w:rsidR="00CE6999" w:rsidRPr="00AC5A83" w:rsidRDefault="00775CCD" w:rsidP="00CE6999">
            <w:pPr>
              <w:jc w:val="right"/>
              <w:rPr>
                <w:b/>
                <w:bCs/>
                <w:sz w:val="20"/>
                <w:szCs w:val="20"/>
                <w:lang w:eastAsia="en-GB"/>
              </w:rPr>
            </w:pPr>
            <w:r w:rsidRPr="00AC5A83">
              <w:rPr>
                <w:b/>
                <w:bCs/>
                <w:sz w:val="20"/>
                <w:szCs w:val="20"/>
                <w:lang w:eastAsia="en-GB"/>
              </w:rPr>
              <w:t>35,536</w:t>
            </w:r>
          </w:p>
        </w:tc>
        <w:tc>
          <w:tcPr>
            <w:tcW w:w="1260" w:type="dxa"/>
            <w:tcBorders>
              <w:top w:val="single" w:sz="4" w:space="0" w:color="auto"/>
              <w:left w:val="nil"/>
              <w:bottom w:val="nil"/>
              <w:right w:val="single" w:sz="4" w:space="0" w:color="auto"/>
            </w:tcBorders>
            <w:shd w:val="clear" w:color="auto" w:fill="auto"/>
            <w:noWrap/>
            <w:vAlign w:val="bottom"/>
            <w:hideMark/>
          </w:tcPr>
          <w:p w14:paraId="0474EE2B" w14:textId="77777777" w:rsidR="00CE6999" w:rsidRPr="00AC5A83" w:rsidRDefault="00CE6999" w:rsidP="00CE6999">
            <w:pPr>
              <w:jc w:val="right"/>
              <w:rPr>
                <w:b/>
                <w:bCs/>
                <w:sz w:val="20"/>
                <w:szCs w:val="20"/>
                <w:lang w:eastAsia="en-GB"/>
              </w:rPr>
            </w:pPr>
            <w:r w:rsidRPr="00AC5A83">
              <w:rPr>
                <w:b/>
                <w:bCs/>
                <w:sz w:val="20"/>
                <w:szCs w:val="20"/>
                <w:lang w:eastAsia="en-GB"/>
              </w:rPr>
              <w:t>0</w:t>
            </w:r>
          </w:p>
        </w:tc>
        <w:tc>
          <w:tcPr>
            <w:tcW w:w="1339" w:type="dxa"/>
            <w:tcBorders>
              <w:top w:val="single" w:sz="4" w:space="0" w:color="auto"/>
              <w:left w:val="nil"/>
              <w:bottom w:val="nil"/>
              <w:right w:val="single" w:sz="4" w:space="0" w:color="auto"/>
            </w:tcBorders>
            <w:shd w:val="clear" w:color="auto" w:fill="auto"/>
            <w:noWrap/>
            <w:vAlign w:val="bottom"/>
            <w:hideMark/>
          </w:tcPr>
          <w:p w14:paraId="14E1A5F7" w14:textId="77777777" w:rsidR="00CE6999" w:rsidRPr="00AC5A83" w:rsidRDefault="00CE6999" w:rsidP="00CE6999">
            <w:pPr>
              <w:jc w:val="right"/>
              <w:rPr>
                <w:b/>
                <w:bCs/>
                <w:sz w:val="20"/>
                <w:szCs w:val="20"/>
                <w:lang w:eastAsia="en-GB"/>
              </w:rPr>
            </w:pPr>
            <w:r w:rsidRPr="00AC5A83">
              <w:rPr>
                <w:b/>
                <w:bCs/>
                <w:sz w:val="20"/>
                <w:szCs w:val="20"/>
                <w:lang w:eastAsia="en-GB"/>
              </w:rPr>
              <w:t>0</w:t>
            </w:r>
          </w:p>
        </w:tc>
        <w:tc>
          <w:tcPr>
            <w:tcW w:w="1320" w:type="dxa"/>
            <w:tcBorders>
              <w:top w:val="single" w:sz="4" w:space="0" w:color="auto"/>
              <w:left w:val="nil"/>
              <w:bottom w:val="nil"/>
              <w:right w:val="single" w:sz="4" w:space="0" w:color="auto"/>
            </w:tcBorders>
            <w:shd w:val="clear" w:color="000000" w:fill="DCE6F1"/>
            <w:noWrap/>
            <w:vAlign w:val="bottom"/>
            <w:hideMark/>
          </w:tcPr>
          <w:p w14:paraId="2FA8AD01" w14:textId="77777777" w:rsidR="00CE6999" w:rsidRPr="00AC5A83" w:rsidRDefault="00CE6999" w:rsidP="00CE6999">
            <w:pPr>
              <w:jc w:val="right"/>
              <w:rPr>
                <w:b/>
                <w:bCs/>
                <w:sz w:val="20"/>
                <w:szCs w:val="20"/>
                <w:lang w:eastAsia="en-GB"/>
              </w:rPr>
            </w:pPr>
            <w:r w:rsidRPr="00AC5A83">
              <w:rPr>
                <w:b/>
                <w:bCs/>
                <w:sz w:val="20"/>
                <w:szCs w:val="20"/>
                <w:lang w:eastAsia="en-GB"/>
              </w:rPr>
              <w:t>35,536</w:t>
            </w:r>
          </w:p>
        </w:tc>
        <w:tc>
          <w:tcPr>
            <w:tcW w:w="1180" w:type="dxa"/>
            <w:tcBorders>
              <w:top w:val="nil"/>
              <w:left w:val="nil"/>
              <w:bottom w:val="nil"/>
              <w:right w:val="single" w:sz="4" w:space="0" w:color="auto"/>
            </w:tcBorders>
            <w:shd w:val="clear" w:color="auto" w:fill="auto"/>
            <w:noWrap/>
            <w:vAlign w:val="bottom"/>
            <w:hideMark/>
          </w:tcPr>
          <w:p w14:paraId="7501C2A5" w14:textId="77777777" w:rsidR="00CE6999" w:rsidRPr="00AC5A83" w:rsidRDefault="00CE6999" w:rsidP="00CE6999">
            <w:pPr>
              <w:jc w:val="right"/>
              <w:rPr>
                <w:b/>
                <w:bCs/>
                <w:color w:val="000000"/>
                <w:sz w:val="20"/>
                <w:szCs w:val="20"/>
                <w:lang w:eastAsia="en-GB"/>
              </w:rPr>
            </w:pPr>
            <w:r w:rsidRPr="00AC5A83">
              <w:rPr>
                <w:b/>
                <w:bCs/>
                <w:color w:val="000000"/>
                <w:sz w:val="20"/>
                <w:szCs w:val="20"/>
                <w:lang w:eastAsia="en-GB"/>
              </w:rPr>
              <w:t>-35,536</w:t>
            </w:r>
          </w:p>
        </w:tc>
        <w:tc>
          <w:tcPr>
            <w:tcW w:w="1140" w:type="dxa"/>
            <w:tcBorders>
              <w:top w:val="nil"/>
              <w:left w:val="nil"/>
              <w:bottom w:val="nil"/>
              <w:right w:val="nil"/>
            </w:tcBorders>
            <w:shd w:val="clear" w:color="auto" w:fill="auto"/>
            <w:noWrap/>
            <w:vAlign w:val="bottom"/>
            <w:hideMark/>
          </w:tcPr>
          <w:p w14:paraId="5F95387D" w14:textId="77777777" w:rsidR="00CE6999" w:rsidRPr="00AC5A83" w:rsidRDefault="00CE6999" w:rsidP="00CE6999">
            <w:pPr>
              <w:jc w:val="right"/>
              <w:rPr>
                <w:b/>
                <w:bCs/>
                <w:color w:val="000000"/>
                <w:sz w:val="20"/>
                <w:szCs w:val="20"/>
                <w:lang w:eastAsia="en-GB"/>
              </w:rPr>
            </w:pPr>
            <w:r w:rsidRPr="00AC5A83">
              <w:rPr>
                <w:b/>
                <w:bCs/>
                <w:color w:val="000000"/>
                <w:sz w:val="20"/>
                <w:szCs w:val="20"/>
                <w:lang w:eastAsia="en-GB"/>
              </w:rPr>
              <w:t>0</w:t>
            </w:r>
          </w:p>
        </w:tc>
        <w:tc>
          <w:tcPr>
            <w:tcW w:w="1200" w:type="dxa"/>
            <w:tcBorders>
              <w:top w:val="nil"/>
              <w:left w:val="single" w:sz="4" w:space="0" w:color="auto"/>
              <w:bottom w:val="nil"/>
              <w:right w:val="single" w:sz="4" w:space="0" w:color="auto"/>
            </w:tcBorders>
            <w:shd w:val="clear" w:color="auto" w:fill="auto"/>
            <w:noWrap/>
            <w:vAlign w:val="bottom"/>
            <w:hideMark/>
          </w:tcPr>
          <w:p w14:paraId="7AA4F9AF" w14:textId="77777777" w:rsidR="00CE6999" w:rsidRPr="00AC5A83" w:rsidRDefault="00CE6999" w:rsidP="00CE6999">
            <w:pPr>
              <w:jc w:val="right"/>
              <w:rPr>
                <w:b/>
                <w:bCs/>
                <w:color w:val="000000"/>
                <w:sz w:val="20"/>
                <w:szCs w:val="20"/>
                <w:lang w:eastAsia="en-GB"/>
              </w:rPr>
            </w:pPr>
            <w:r w:rsidRPr="00AC5A83">
              <w:rPr>
                <w:b/>
                <w:bCs/>
                <w:color w:val="000000"/>
                <w:sz w:val="20"/>
                <w:szCs w:val="20"/>
                <w:lang w:eastAsia="en-GB"/>
              </w:rPr>
              <w:t>0</w:t>
            </w:r>
          </w:p>
        </w:tc>
        <w:tc>
          <w:tcPr>
            <w:tcW w:w="1360" w:type="dxa"/>
            <w:tcBorders>
              <w:top w:val="nil"/>
              <w:left w:val="nil"/>
              <w:bottom w:val="nil"/>
              <w:right w:val="single" w:sz="8" w:space="0" w:color="auto"/>
            </w:tcBorders>
            <w:shd w:val="clear" w:color="auto" w:fill="auto"/>
            <w:noWrap/>
            <w:vAlign w:val="bottom"/>
            <w:hideMark/>
          </w:tcPr>
          <w:p w14:paraId="260BAC75" w14:textId="77777777" w:rsidR="00CE6999" w:rsidRPr="00AC5A83" w:rsidRDefault="00CE6999" w:rsidP="00CE6999">
            <w:pPr>
              <w:jc w:val="right"/>
              <w:rPr>
                <w:b/>
                <w:bCs/>
                <w:color w:val="000000"/>
                <w:sz w:val="20"/>
                <w:szCs w:val="20"/>
                <w:lang w:eastAsia="en-GB"/>
              </w:rPr>
            </w:pPr>
            <w:r w:rsidRPr="00AC5A83">
              <w:rPr>
                <w:b/>
                <w:bCs/>
                <w:color w:val="000000"/>
                <w:sz w:val="20"/>
                <w:szCs w:val="20"/>
                <w:lang w:eastAsia="en-GB"/>
              </w:rPr>
              <w:t>0</w:t>
            </w:r>
          </w:p>
        </w:tc>
      </w:tr>
      <w:tr w:rsidR="00D1663B" w:rsidRPr="004F47DA" w14:paraId="7C27152E" w14:textId="77777777" w:rsidTr="00E42950">
        <w:trPr>
          <w:trHeight w:val="263"/>
        </w:trPr>
        <w:tc>
          <w:tcPr>
            <w:tcW w:w="4500" w:type="dxa"/>
            <w:tcBorders>
              <w:top w:val="nil"/>
              <w:left w:val="single" w:sz="8" w:space="0" w:color="auto"/>
              <w:bottom w:val="nil"/>
              <w:right w:val="nil"/>
            </w:tcBorders>
            <w:shd w:val="clear" w:color="auto" w:fill="auto"/>
            <w:noWrap/>
            <w:vAlign w:val="bottom"/>
            <w:hideMark/>
          </w:tcPr>
          <w:p w14:paraId="43FBDF82"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440" w:type="dxa"/>
            <w:tcBorders>
              <w:top w:val="nil"/>
              <w:left w:val="single" w:sz="4" w:space="0" w:color="auto"/>
              <w:bottom w:val="nil"/>
              <w:right w:val="single" w:sz="4" w:space="0" w:color="auto"/>
            </w:tcBorders>
            <w:shd w:val="clear" w:color="auto" w:fill="auto"/>
            <w:noWrap/>
            <w:vAlign w:val="bottom"/>
            <w:hideMark/>
          </w:tcPr>
          <w:p w14:paraId="30BA6734"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7A15FBB8"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3866CD23"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5AD884F7"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3F71DBFC"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0E112DBD" w14:textId="77777777" w:rsidR="00CE6999" w:rsidRPr="00AC5A83" w:rsidRDefault="00CE6999" w:rsidP="00CE6999">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4414614F"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5CE5EFA3"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1EEE0079" w14:textId="77777777" w:rsidTr="00E42950">
        <w:trPr>
          <w:trHeight w:val="263"/>
        </w:trPr>
        <w:tc>
          <w:tcPr>
            <w:tcW w:w="4500" w:type="dxa"/>
            <w:tcBorders>
              <w:top w:val="nil"/>
              <w:left w:val="single" w:sz="8" w:space="0" w:color="auto"/>
              <w:bottom w:val="nil"/>
              <w:right w:val="nil"/>
            </w:tcBorders>
            <w:shd w:val="clear" w:color="auto" w:fill="auto"/>
            <w:noWrap/>
            <w:vAlign w:val="bottom"/>
            <w:hideMark/>
          </w:tcPr>
          <w:p w14:paraId="0264852B"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ICT</w:t>
            </w:r>
          </w:p>
        </w:tc>
        <w:tc>
          <w:tcPr>
            <w:tcW w:w="1440" w:type="dxa"/>
            <w:tcBorders>
              <w:top w:val="nil"/>
              <w:left w:val="single" w:sz="4" w:space="0" w:color="auto"/>
              <w:bottom w:val="nil"/>
              <w:right w:val="single" w:sz="4" w:space="0" w:color="auto"/>
            </w:tcBorders>
            <w:shd w:val="clear" w:color="auto" w:fill="auto"/>
            <w:noWrap/>
            <w:vAlign w:val="bottom"/>
            <w:hideMark/>
          </w:tcPr>
          <w:p w14:paraId="6555750C"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1A783092"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0FEC080A"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6CFD278B"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46E2FD60"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0D1F2BB6" w14:textId="77777777" w:rsidR="00CE6999" w:rsidRPr="00AC5A83" w:rsidRDefault="00CE6999" w:rsidP="00CE6999">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7FDCA4CD"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4EAB5BCF"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6901C63B"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2B94E77E" w14:textId="77777777" w:rsidR="00775CCD" w:rsidRPr="00AC5A83" w:rsidRDefault="00775CCD" w:rsidP="00775CCD">
            <w:pPr>
              <w:rPr>
                <w:sz w:val="20"/>
                <w:szCs w:val="20"/>
                <w:lang w:eastAsia="en-GB"/>
              </w:rPr>
            </w:pPr>
            <w:r w:rsidRPr="00AC5A83">
              <w:rPr>
                <w:color w:val="000000"/>
                <w:sz w:val="20"/>
                <w:szCs w:val="20"/>
              </w:rPr>
              <w:t>Systel Security PSN Work (NFRS)</w:t>
            </w:r>
          </w:p>
        </w:tc>
        <w:tc>
          <w:tcPr>
            <w:tcW w:w="1440" w:type="dxa"/>
            <w:tcBorders>
              <w:top w:val="nil"/>
              <w:left w:val="single" w:sz="4" w:space="0" w:color="auto"/>
              <w:bottom w:val="nil"/>
              <w:right w:val="single" w:sz="4" w:space="0" w:color="auto"/>
            </w:tcBorders>
            <w:shd w:val="clear" w:color="auto" w:fill="auto"/>
            <w:noWrap/>
            <w:vAlign w:val="center"/>
            <w:hideMark/>
          </w:tcPr>
          <w:p w14:paraId="0A8195D5" w14:textId="77777777" w:rsidR="00775CCD" w:rsidRPr="00AC5A83" w:rsidRDefault="00775CCD" w:rsidP="00775CCD">
            <w:pPr>
              <w:jc w:val="right"/>
              <w:rPr>
                <w:sz w:val="20"/>
                <w:szCs w:val="20"/>
                <w:lang w:eastAsia="en-GB"/>
              </w:rPr>
            </w:pPr>
            <w:r w:rsidRPr="00AC5A83">
              <w:rPr>
                <w:color w:val="000000"/>
                <w:sz w:val="20"/>
                <w:szCs w:val="20"/>
              </w:rPr>
              <w:t>266,370</w:t>
            </w:r>
          </w:p>
        </w:tc>
        <w:tc>
          <w:tcPr>
            <w:tcW w:w="1260" w:type="dxa"/>
            <w:tcBorders>
              <w:top w:val="nil"/>
              <w:left w:val="nil"/>
              <w:bottom w:val="nil"/>
              <w:right w:val="single" w:sz="4" w:space="0" w:color="auto"/>
            </w:tcBorders>
            <w:shd w:val="clear" w:color="auto" w:fill="auto"/>
            <w:noWrap/>
            <w:vAlign w:val="bottom"/>
          </w:tcPr>
          <w:p w14:paraId="285DC3AE"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30289FA3"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2180F740" w14:textId="77777777" w:rsidR="00775CCD" w:rsidRPr="00AC5A83" w:rsidRDefault="00775CCD" w:rsidP="00775CCD">
            <w:pPr>
              <w:jc w:val="right"/>
              <w:rPr>
                <w:b/>
                <w:bCs/>
                <w:color w:val="000000"/>
                <w:sz w:val="20"/>
                <w:szCs w:val="20"/>
                <w:lang w:eastAsia="en-GB"/>
              </w:rPr>
            </w:pPr>
            <w:r w:rsidRPr="00AC5A83">
              <w:rPr>
                <w:b/>
                <w:bCs/>
                <w:color w:val="000000"/>
                <w:sz w:val="20"/>
                <w:szCs w:val="20"/>
              </w:rPr>
              <w:t>266,370</w:t>
            </w:r>
          </w:p>
        </w:tc>
        <w:tc>
          <w:tcPr>
            <w:tcW w:w="1180" w:type="dxa"/>
            <w:tcBorders>
              <w:top w:val="nil"/>
              <w:left w:val="nil"/>
              <w:bottom w:val="nil"/>
              <w:right w:val="single" w:sz="4" w:space="0" w:color="auto"/>
            </w:tcBorders>
            <w:shd w:val="clear" w:color="auto" w:fill="auto"/>
            <w:noWrap/>
            <w:vAlign w:val="bottom"/>
            <w:hideMark/>
          </w:tcPr>
          <w:p w14:paraId="6B9A0D37"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0FF9F550"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0344BB22"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7ECBBC3F" w14:textId="77777777" w:rsidR="00775CCD" w:rsidRPr="00AC5A83" w:rsidRDefault="00775CCD" w:rsidP="00775CCD">
            <w:pPr>
              <w:jc w:val="right"/>
              <w:rPr>
                <w:color w:val="000000"/>
                <w:sz w:val="20"/>
                <w:szCs w:val="20"/>
                <w:lang w:eastAsia="en-GB"/>
              </w:rPr>
            </w:pPr>
            <w:r w:rsidRPr="00AC5A83">
              <w:rPr>
                <w:b/>
                <w:bCs/>
                <w:color w:val="000000"/>
                <w:sz w:val="20"/>
                <w:szCs w:val="20"/>
              </w:rPr>
              <w:t>266,370</w:t>
            </w:r>
          </w:p>
        </w:tc>
      </w:tr>
      <w:tr w:rsidR="00D1663B" w:rsidRPr="004F47DA" w14:paraId="6BF29B0A"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041EB442" w14:textId="77777777" w:rsidR="00775CCD" w:rsidRPr="00AC5A83" w:rsidRDefault="00775CCD" w:rsidP="00775CCD">
            <w:pPr>
              <w:rPr>
                <w:sz w:val="20"/>
                <w:szCs w:val="20"/>
                <w:lang w:eastAsia="en-GB"/>
              </w:rPr>
            </w:pPr>
            <w:r w:rsidRPr="00AC5A83">
              <w:rPr>
                <w:color w:val="000000"/>
                <w:sz w:val="20"/>
                <w:szCs w:val="20"/>
              </w:rPr>
              <w:t>ESN (Regional)</w:t>
            </w:r>
          </w:p>
        </w:tc>
        <w:tc>
          <w:tcPr>
            <w:tcW w:w="1440" w:type="dxa"/>
            <w:tcBorders>
              <w:top w:val="nil"/>
              <w:left w:val="single" w:sz="4" w:space="0" w:color="auto"/>
              <w:bottom w:val="nil"/>
              <w:right w:val="single" w:sz="4" w:space="0" w:color="auto"/>
            </w:tcBorders>
            <w:shd w:val="clear" w:color="auto" w:fill="auto"/>
            <w:noWrap/>
            <w:vAlign w:val="center"/>
            <w:hideMark/>
          </w:tcPr>
          <w:p w14:paraId="28F5EDE4" w14:textId="77777777" w:rsidR="00775CCD" w:rsidRPr="00AC5A83" w:rsidRDefault="00775CCD" w:rsidP="00775CCD">
            <w:pPr>
              <w:jc w:val="right"/>
              <w:rPr>
                <w:sz w:val="20"/>
                <w:szCs w:val="20"/>
                <w:lang w:eastAsia="en-GB"/>
              </w:rPr>
            </w:pPr>
            <w:r w:rsidRPr="00AC5A83">
              <w:rPr>
                <w:color w:val="000000"/>
                <w:sz w:val="20"/>
                <w:szCs w:val="20"/>
              </w:rPr>
              <w:t>100,617</w:t>
            </w:r>
          </w:p>
        </w:tc>
        <w:tc>
          <w:tcPr>
            <w:tcW w:w="1260" w:type="dxa"/>
            <w:tcBorders>
              <w:top w:val="nil"/>
              <w:left w:val="nil"/>
              <w:bottom w:val="nil"/>
              <w:right w:val="single" w:sz="4" w:space="0" w:color="auto"/>
            </w:tcBorders>
            <w:shd w:val="clear" w:color="auto" w:fill="auto"/>
            <w:noWrap/>
            <w:vAlign w:val="bottom"/>
          </w:tcPr>
          <w:p w14:paraId="7DB41A38"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015EC0BF"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2B15102B" w14:textId="77777777" w:rsidR="00775CCD" w:rsidRPr="00AC5A83" w:rsidRDefault="00775CCD" w:rsidP="00775CCD">
            <w:pPr>
              <w:jc w:val="right"/>
              <w:rPr>
                <w:b/>
                <w:bCs/>
                <w:color w:val="000000"/>
                <w:sz w:val="20"/>
                <w:szCs w:val="20"/>
                <w:lang w:eastAsia="en-GB"/>
              </w:rPr>
            </w:pPr>
            <w:r w:rsidRPr="00AC5A83">
              <w:rPr>
                <w:b/>
                <w:bCs/>
                <w:color w:val="000000"/>
                <w:sz w:val="20"/>
                <w:szCs w:val="20"/>
              </w:rPr>
              <w:t>100,617</w:t>
            </w:r>
          </w:p>
        </w:tc>
        <w:tc>
          <w:tcPr>
            <w:tcW w:w="1180" w:type="dxa"/>
            <w:tcBorders>
              <w:top w:val="nil"/>
              <w:left w:val="nil"/>
              <w:bottom w:val="nil"/>
              <w:right w:val="single" w:sz="4" w:space="0" w:color="auto"/>
            </w:tcBorders>
            <w:shd w:val="clear" w:color="auto" w:fill="auto"/>
            <w:noWrap/>
            <w:vAlign w:val="bottom"/>
            <w:hideMark/>
          </w:tcPr>
          <w:p w14:paraId="6219FE9D"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1A49ACD5"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177836CE"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79DB44FD" w14:textId="77777777" w:rsidR="00775CCD" w:rsidRPr="00AC5A83" w:rsidRDefault="00775CCD" w:rsidP="00775CCD">
            <w:pPr>
              <w:jc w:val="right"/>
              <w:rPr>
                <w:color w:val="000000"/>
                <w:sz w:val="20"/>
                <w:szCs w:val="20"/>
                <w:lang w:eastAsia="en-GB"/>
              </w:rPr>
            </w:pPr>
            <w:r w:rsidRPr="00AC5A83">
              <w:rPr>
                <w:b/>
                <w:bCs/>
                <w:color w:val="000000"/>
                <w:sz w:val="20"/>
                <w:szCs w:val="20"/>
              </w:rPr>
              <w:t>100,617</w:t>
            </w:r>
          </w:p>
        </w:tc>
      </w:tr>
      <w:tr w:rsidR="00D1663B" w:rsidRPr="004F47DA" w14:paraId="08B62195"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5532B5A9" w14:textId="77777777" w:rsidR="00775CCD" w:rsidRPr="00AC5A83" w:rsidRDefault="00775CCD" w:rsidP="00775CCD">
            <w:pPr>
              <w:rPr>
                <w:sz w:val="20"/>
                <w:szCs w:val="20"/>
                <w:lang w:eastAsia="en-GB"/>
              </w:rPr>
            </w:pPr>
            <w:r w:rsidRPr="00AC5A83">
              <w:rPr>
                <w:color w:val="000000"/>
                <w:sz w:val="20"/>
                <w:szCs w:val="20"/>
              </w:rPr>
              <w:t>ESN RAP Work (NFRS)</w:t>
            </w:r>
          </w:p>
        </w:tc>
        <w:tc>
          <w:tcPr>
            <w:tcW w:w="1440" w:type="dxa"/>
            <w:tcBorders>
              <w:top w:val="nil"/>
              <w:left w:val="single" w:sz="4" w:space="0" w:color="auto"/>
              <w:bottom w:val="nil"/>
              <w:right w:val="single" w:sz="4" w:space="0" w:color="auto"/>
            </w:tcBorders>
            <w:shd w:val="clear" w:color="auto" w:fill="auto"/>
            <w:noWrap/>
            <w:vAlign w:val="center"/>
            <w:hideMark/>
          </w:tcPr>
          <w:p w14:paraId="156FE4F2" w14:textId="77777777" w:rsidR="00775CCD" w:rsidRPr="00AC5A83" w:rsidRDefault="00775CCD" w:rsidP="00775CCD">
            <w:pPr>
              <w:jc w:val="right"/>
              <w:rPr>
                <w:sz w:val="20"/>
                <w:szCs w:val="20"/>
                <w:lang w:eastAsia="en-GB"/>
              </w:rPr>
            </w:pPr>
            <w:r w:rsidRPr="00AC5A83">
              <w:rPr>
                <w:color w:val="000000"/>
                <w:sz w:val="20"/>
                <w:szCs w:val="20"/>
              </w:rPr>
              <w:t>348,817</w:t>
            </w:r>
          </w:p>
        </w:tc>
        <w:tc>
          <w:tcPr>
            <w:tcW w:w="1260" w:type="dxa"/>
            <w:tcBorders>
              <w:top w:val="nil"/>
              <w:left w:val="nil"/>
              <w:bottom w:val="nil"/>
              <w:right w:val="single" w:sz="4" w:space="0" w:color="auto"/>
            </w:tcBorders>
            <w:shd w:val="clear" w:color="auto" w:fill="auto"/>
            <w:noWrap/>
            <w:vAlign w:val="bottom"/>
          </w:tcPr>
          <w:p w14:paraId="00AED582"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4E419B8A"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45F8E9A1" w14:textId="77777777" w:rsidR="00775CCD" w:rsidRPr="00AC5A83" w:rsidRDefault="00775CCD" w:rsidP="00775CCD">
            <w:pPr>
              <w:jc w:val="right"/>
              <w:rPr>
                <w:b/>
                <w:bCs/>
                <w:color w:val="000000"/>
                <w:sz w:val="20"/>
                <w:szCs w:val="20"/>
                <w:lang w:eastAsia="en-GB"/>
              </w:rPr>
            </w:pPr>
            <w:r w:rsidRPr="00AC5A83">
              <w:rPr>
                <w:b/>
                <w:bCs/>
                <w:color w:val="000000"/>
                <w:sz w:val="20"/>
                <w:szCs w:val="20"/>
              </w:rPr>
              <w:t>348,817</w:t>
            </w:r>
          </w:p>
        </w:tc>
        <w:tc>
          <w:tcPr>
            <w:tcW w:w="1180" w:type="dxa"/>
            <w:tcBorders>
              <w:top w:val="nil"/>
              <w:left w:val="nil"/>
              <w:bottom w:val="nil"/>
              <w:right w:val="single" w:sz="4" w:space="0" w:color="auto"/>
            </w:tcBorders>
            <w:shd w:val="clear" w:color="auto" w:fill="auto"/>
            <w:noWrap/>
            <w:vAlign w:val="bottom"/>
            <w:hideMark/>
          </w:tcPr>
          <w:p w14:paraId="7927AB63"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01E6F65F"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1486424D"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7DAA48C1" w14:textId="77777777" w:rsidR="00775CCD" w:rsidRPr="00AC5A83" w:rsidRDefault="00775CCD" w:rsidP="00775CCD">
            <w:pPr>
              <w:jc w:val="right"/>
              <w:rPr>
                <w:color w:val="000000"/>
                <w:sz w:val="20"/>
                <w:szCs w:val="20"/>
                <w:lang w:eastAsia="en-GB"/>
              </w:rPr>
            </w:pPr>
            <w:r w:rsidRPr="00AC5A83">
              <w:rPr>
                <w:b/>
                <w:bCs/>
                <w:color w:val="000000"/>
                <w:sz w:val="20"/>
                <w:szCs w:val="20"/>
              </w:rPr>
              <w:t>348,817</w:t>
            </w:r>
          </w:p>
        </w:tc>
      </w:tr>
      <w:tr w:rsidR="00D1663B" w:rsidRPr="004F47DA" w14:paraId="56330D25"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4E330235" w14:textId="77777777" w:rsidR="00775CCD" w:rsidRPr="00AC5A83" w:rsidRDefault="00775CCD" w:rsidP="00775CCD">
            <w:pPr>
              <w:rPr>
                <w:sz w:val="20"/>
                <w:szCs w:val="20"/>
                <w:lang w:eastAsia="en-GB"/>
              </w:rPr>
            </w:pPr>
            <w:r w:rsidRPr="00AC5A83">
              <w:rPr>
                <w:color w:val="000000"/>
                <w:sz w:val="20"/>
                <w:szCs w:val="20"/>
              </w:rPr>
              <w:t>ESN Control Room ICT</w:t>
            </w:r>
          </w:p>
        </w:tc>
        <w:tc>
          <w:tcPr>
            <w:tcW w:w="1440" w:type="dxa"/>
            <w:tcBorders>
              <w:top w:val="nil"/>
              <w:left w:val="single" w:sz="4" w:space="0" w:color="auto"/>
              <w:bottom w:val="nil"/>
              <w:right w:val="single" w:sz="4" w:space="0" w:color="auto"/>
            </w:tcBorders>
            <w:shd w:val="clear" w:color="auto" w:fill="auto"/>
            <w:noWrap/>
            <w:vAlign w:val="center"/>
            <w:hideMark/>
          </w:tcPr>
          <w:p w14:paraId="15E8841F" w14:textId="77777777" w:rsidR="00775CCD" w:rsidRPr="00AC5A83" w:rsidRDefault="00775CCD" w:rsidP="00775CCD">
            <w:pPr>
              <w:jc w:val="right"/>
              <w:rPr>
                <w:sz w:val="20"/>
                <w:szCs w:val="20"/>
                <w:lang w:eastAsia="en-GB"/>
              </w:rPr>
            </w:pPr>
            <w:r w:rsidRPr="00AC5A83">
              <w:rPr>
                <w:color w:val="000000"/>
                <w:sz w:val="20"/>
                <w:szCs w:val="20"/>
              </w:rPr>
              <w:t>20,100</w:t>
            </w:r>
          </w:p>
        </w:tc>
        <w:tc>
          <w:tcPr>
            <w:tcW w:w="1260" w:type="dxa"/>
            <w:tcBorders>
              <w:top w:val="nil"/>
              <w:left w:val="nil"/>
              <w:bottom w:val="nil"/>
              <w:right w:val="single" w:sz="4" w:space="0" w:color="auto"/>
            </w:tcBorders>
            <w:shd w:val="clear" w:color="auto" w:fill="auto"/>
            <w:noWrap/>
            <w:vAlign w:val="bottom"/>
          </w:tcPr>
          <w:p w14:paraId="14215D13"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5EFC6423"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139A8270" w14:textId="77777777" w:rsidR="00775CCD" w:rsidRPr="00AC5A83" w:rsidRDefault="00775CCD" w:rsidP="00775CCD">
            <w:pPr>
              <w:jc w:val="right"/>
              <w:rPr>
                <w:b/>
                <w:bCs/>
                <w:color w:val="000000"/>
                <w:sz w:val="20"/>
                <w:szCs w:val="20"/>
                <w:lang w:eastAsia="en-GB"/>
              </w:rPr>
            </w:pPr>
            <w:r w:rsidRPr="00AC5A83">
              <w:rPr>
                <w:b/>
                <w:bCs/>
                <w:color w:val="000000"/>
                <w:sz w:val="20"/>
                <w:szCs w:val="20"/>
              </w:rPr>
              <w:t>20,100</w:t>
            </w:r>
          </w:p>
        </w:tc>
        <w:tc>
          <w:tcPr>
            <w:tcW w:w="1180" w:type="dxa"/>
            <w:tcBorders>
              <w:top w:val="nil"/>
              <w:left w:val="nil"/>
              <w:bottom w:val="nil"/>
              <w:right w:val="single" w:sz="4" w:space="0" w:color="auto"/>
            </w:tcBorders>
            <w:shd w:val="clear" w:color="auto" w:fill="auto"/>
            <w:noWrap/>
            <w:vAlign w:val="bottom"/>
            <w:hideMark/>
          </w:tcPr>
          <w:p w14:paraId="298AAF7F"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487B6671"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4115C595"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7B49B85F" w14:textId="77777777" w:rsidR="00775CCD" w:rsidRPr="00AC5A83" w:rsidRDefault="00775CCD" w:rsidP="00775CCD">
            <w:pPr>
              <w:jc w:val="right"/>
              <w:rPr>
                <w:color w:val="000000"/>
                <w:sz w:val="20"/>
                <w:szCs w:val="20"/>
                <w:lang w:eastAsia="en-GB"/>
              </w:rPr>
            </w:pPr>
            <w:r w:rsidRPr="00AC5A83">
              <w:rPr>
                <w:b/>
                <w:bCs/>
                <w:color w:val="000000"/>
                <w:sz w:val="20"/>
                <w:szCs w:val="20"/>
              </w:rPr>
              <w:t>20,100</w:t>
            </w:r>
          </w:p>
        </w:tc>
      </w:tr>
      <w:tr w:rsidR="00D1663B" w:rsidRPr="004F47DA" w14:paraId="387D5413"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7F8C2F5C" w14:textId="77777777" w:rsidR="00775CCD" w:rsidRPr="00AC5A83" w:rsidRDefault="00775CCD" w:rsidP="00775CCD">
            <w:pPr>
              <w:rPr>
                <w:sz w:val="20"/>
                <w:szCs w:val="20"/>
                <w:lang w:eastAsia="en-GB"/>
              </w:rPr>
            </w:pPr>
            <w:r w:rsidRPr="00AC5A83">
              <w:rPr>
                <w:color w:val="000000"/>
                <w:sz w:val="20"/>
                <w:szCs w:val="20"/>
              </w:rPr>
              <w:t>Systel Airwave ESN Transition (NFRS)</w:t>
            </w:r>
          </w:p>
        </w:tc>
        <w:tc>
          <w:tcPr>
            <w:tcW w:w="1440" w:type="dxa"/>
            <w:tcBorders>
              <w:top w:val="nil"/>
              <w:left w:val="single" w:sz="4" w:space="0" w:color="auto"/>
              <w:bottom w:val="nil"/>
              <w:right w:val="single" w:sz="4" w:space="0" w:color="auto"/>
            </w:tcBorders>
            <w:shd w:val="clear" w:color="auto" w:fill="auto"/>
            <w:noWrap/>
            <w:vAlign w:val="center"/>
            <w:hideMark/>
          </w:tcPr>
          <w:p w14:paraId="4001E458" w14:textId="77777777" w:rsidR="00775CCD" w:rsidRPr="00AC5A83" w:rsidRDefault="00775CCD" w:rsidP="00775CCD">
            <w:pPr>
              <w:jc w:val="right"/>
              <w:rPr>
                <w:sz w:val="20"/>
                <w:szCs w:val="20"/>
                <w:lang w:eastAsia="en-GB"/>
              </w:rPr>
            </w:pPr>
            <w:r w:rsidRPr="00AC5A83">
              <w:rPr>
                <w:color w:val="000000"/>
                <w:sz w:val="20"/>
                <w:szCs w:val="20"/>
              </w:rPr>
              <w:t>173,184</w:t>
            </w:r>
          </w:p>
        </w:tc>
        <w:tc>
          <w:tcPr>
            <w:tcW w:w="1260" w:type="dxa"/>
            <w:tcBorders>
              <w:top w:val="nil"/>
              <w:left w:val="nil"/>
              <w:bottom w:val="nil"/>
              <w:right w:val="single" w:sz="4" w:space="0" w:color="auto"/>
            </w:tcBorders>
            <w:shd w:val="clear" w:color="auto" w:fill="auto"/>
            <w:noWrap/>
            <w:vAlign w:val="bottom"/>
          </w:tcPr>
          <w:p w14:paraId="23A1CAA1"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10E740FB"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12B4A365" w14:textId="77777777" w:rsidR="00775CCD" w:rsidRPr="00AC5A83" w:rsidRDefault="00775CCD" w:rsidP="00775CCD">
            <w:pPr>
              <w:jc w:val="right"/>
              <w:rPr>
                <w:b/>
                <w:bCs/>
                <w:color w:val="000000"/>
                <w:sz w:val="20"/>
                <w:szCs w:val="20"/>
                <w:lang w:eastAsia="en-GB"/>
              </w:rPr>
            </w:pPr>
            <w:r w:rsidRPr="00AC5A83">
              <w:rPr>
                <w:b/>
                <w:bCs/>
                <w:color w:val="000000"/>
                <w:sz w:val="20"/>
                <w:szCs w:val="20"/>
              </w:rPr>
              <w:t>173,184</w:t>
            </w:r>
          </w:p>
        </w:tc>
        <w:tc>
          <w:tcPr>
            <w:tcW w:w="1180" w:type="dxa"/>
            <w:tcBorders>
              <w:top w:val="nil"/>
              <w:left w:val="nil"/>
              <w:bottom w:val="nil"/>
              <w:right w:val="single" w:sz="4" w:space="0" w:color="auto"/>
            </w:tcBorders>
            <w:shd w:val="clear" w:color="auto" w:fill="auto"/>
            <w:noWrap/>
            <w:vAlign w:val="bottom"/>
            <w:hideMark/>
          </w:tcPr>
          <w:p w14:paraId="36ED14BC"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40414F3B"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24896998"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46A4B9EB" w14:textId="77777777" w:rsidR="00775CCD" w:rsidRPr="00AC5A83" w:rsidRDefault="00775CCD" w:rsidP="00775CCD">
            <w:pPr>
              <w:jc w:val="right"/>
              <w:rPr>
                <w:color w:val="000000"/>
                <w:sz w:val="20"/>
                <w:szCs w:val="20"/>
                <w:lang w:eastAsia="en-GB"/>
              </w:rPr>
            </w:pPr>
            <w:r w:rsidRPr="00AC5A83">
              <w:rPr>
                <w:b/>
                <w:bCs/>
                <w:color w:val="000000"/>
                <w:sz w:val="20"/>
                <w:szCs w:val="20"/>
              </w:rPr>
              <w:t>173,184</w:t>
            </w:r>
          </w:p>
        </w:tc>
      </w:tr>
      <w:tr w:rsidR="00D1663B" w:rsidRPr="004F47DA" w14:paraId="7E1C1502"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3B0F1F5D" w14:textId="77777777" w:rsidR="00775CCD" w:rsidRPr="00AC5A83" w:rsidRDefault="00775CCD" w:rsidP="00775CCD">
            <w:pPr>
              <w:rPr>
                <w:sz w:val="20"/>
                <w:szCs w:val="20"/>
                <w:lang w:eastAsia="en-GB"/>
              </w:rPr>
            </w:pPr>
            <w:r w:rsidRPr="00AC5A83">
              <w:rPr>
                <w:color w:val="000000"/>
                <w:sz w:val="20"/>
                <w:szCs w:val="20"/>
              </w:rPr>
              <w:t>ESN - Notts Local Transition Fund (NFRS)</w:t>
            </w:r>
          </w:p>
        </w:tc>
        <w:tc>
          <w:tcPr>
            <w:tcW w:w="1440" w:type="dxa"/>
            <w:tcBorders>
              <w:top w:val="nil"/>
              <w:left w:val="single" w:sz="4" w:space="0" w:color="auto"/>
              <w:bottom w:val="nil"/>
              <w:right w:val="single" w:sz="4" w:space="0" w:color="auto"/>
            </w:tcBorders>
            <w:shd w:val="clear" w:color="auto" w:fill="auto"/>
            <w:noWrap/>
            <w:vAlign w:val="center"/>
            <w:hideMark/>
          </w:tcPr>
          <w:p w14:paraId="4E33110B" w14:textId="77777777" w:rsidR="00775CCD" w:rsidRPr="00AC5A83" w:rsidRDefault="00775CCD" w:rsidP="00775CCD">
            <w:pPr>
              <w:jc w:val="right"/>
              <w:rPr>
                <w:sz w:val="20"/>
                <w:szCs w:val="20"/>
                <w:lang w:eastAsia="en-GB"/>
              </w:rPr>
            </w:pPr>
            <w:r w:rsidRPr="00AC5A83">
              <w:rPr>
                <w:color w:val="000000"/>
                <w:sz w:val="20"/>
                <w:szCs w:val="20"/>
              </w:rPr>
              <w:t>12,368</w:t>
            </w:r>
          </w:p>
        </w:tc>
        <w:tc>
          <w:tcPr>
            <w:tcW w:w="1260" w:type="dxa"/>
            <w:tcBorders>
              <w:top w:val="nil"/>
              <w:left w:val="nil"/>
              <w:bottom w:val="nil"/>
              <w:right w:val="single" w:sz="4" w:space="0" w:color="auto"/>
            </w:tcBorders>
            <w:shd w:val="clear" w:color="auto" w:fill="auto"/>
            <w:noWrap/>
            <w:vAlign w:val="bottom"/>
          </w:tcPr>
          <w:p w14:paraId="1821C02B"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61D5FE0C"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697FF6B0" w14:textId="77777777" w:rsidR="00775CCD" w:rsidRPr="00AC5A83" w:rsidRDefault="00775CCD" w:rsidP="00775CCD">
            <w:pPr>
              <w:jc w:val="right"/>
              <w:rPr>
                <w:b/>
                <w:bCs/>
                <w:color w:val="000000"/>
                <w:sz w:val="20"/>
                <w:szCs w:val="20"/>
                <w:lang w:eastAsia="en-GB"/>
              </w:rPr>
            </w:pPr>
            <w:r w:rsidRPr="00AC5A83">
              <w:rPr>
                <w:b/>
                <w:bCs/>
                <w:color w:val="000000"/>
                <w:sz w:val="20"/>
                <w:szCs w:val="20"/>
              </w:rPr>
              <w:t>12,368</w:t>
            </w:r>
          </w:p>
        </w:tc>
        <w:tc>
          <w:tcPr>
            <w:tcW w:w="1180" w:type="dxa"/>
            <w:tcBorders>
              <w:top w:val="nil"/>
              <w:left w:val="nil"/>
              <w:bottom w:val="nil"/>
              <w:right w:val="single" w:sz="4" w:space="0" w:color="auto"/>
            </w:tcBorders>
            <w:shd w:val="clear" w:color="auto" w:fill="auto"/>
            <w:noWrap/>
            <w:vAlign w:val="bottom"/>
            <w:hideMark/>
          </w:tcPr>
          <w:p w14:paraId="6D27A017"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2435909D"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35F98D0F"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41A550DD" w14:textId="77777777" w:rsidR="00775CCD" w:rsidRPr="00AC5A83" w:rsidRDefault="00775CCD" w:rsidP="00775CCD">
            <w:pPr>
              <w:jc w:val="right"/>
              <w:rPr>
                <w:color w:val="000000"/>
                <w:sz w:val="20"/>
                <w:szCs w:val="20"/>
                <w:lang w:eastAsia="en-GB"/>
              </w:rPr>
            </w:pPr>
            <w:r w:rsidRPr="00AC5A83">
              <w:rPr>
                <w:b/>
                <w:bCs/>
                <w:color w:val="000000"/>
                <w:sz w:val="20"/>
                <w:szCs w:val="20"/>
              </w:rPr>
              <w:t>12,368</w:t>
            </w:r>
          </w:p>
        </w:tc>
      </w:tr>
      <w:tr w:rsidR="00D1663B" w:rsidRPr="004F47DA" w14:paraId="6C12989C"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165EEF0E" w14:textId="77777777" w:rsidR="00775CCD" w:rsidRPr="00AC5A83" w:rsidRDefault="00775CCD" w:rsidP="00775CCD">
            <w:pPr>
              <w:rPr>
                <w:sz w:val="20"/>
                <w:szCs w:val="20"/>
                <w:lang w:eastAsia="en-GB"/>
              </w:rPr>
            </w:pPr>
            <w:r w:rsidRPr="00AC5A83">
              <w:rPr>
                <w:color w:val="000000"/>
                <w:sz w:val="20"/>
                <w:szCs w:val="20"/>
              </w:rPr>
              <w:t>Delivery of ESN – Additional funding  (NFRS)</w:t>
            </w:r>
          </w:p>
        </w:tc>
        <w:tc>
          <w:tcPr>
            <w:tcW w:w="1440" w:type="dxa"/>
            <w:tcBorders>
              <w:top w:val="nil"/>
              <w:left w:val="single" w:sz="4" w:space="0" w:color="auto"/>
              <w:bottom w:val="nil"/>
              <w:right w:val="single" w:sz="4" w:space="0" w:color="auto"/>
            </w:tcBorders>
            <w:shd w:val="clear" w:color="auto" w:fill="auto"/>
            <w:noWrap/>
            <w:vAlign w:val="center"/>
            <w:hideMark/>
          </w:tcPr>
          <w:p w14:paraId="5305B358" w14:textId="77777777" w:rsidR="00775CCD" w:rsidRPr="00AC5A83" w:rsidRDefault="00775CCD" w:rsidP="00775CCD">
            <w:pPr>
              <w:jc w:val="right"/>
              <w:rPr>
                <w:sz w:val="20"/>
                <w:szCs w:val="20"/>
                <w:lang w:eastAsia="en-GB"/>
              </w:rPr>
            </w:pPr>
            <w:r w:rsidRPr="00AC5A83">
              <w:rPr>
                <w:color w:val="000000"/>
                <w:sz w:val="20"/>
                <w:szCs w:val="20"/>
              </w:rPr>
              <w:t>77,000</w:t>
            </w:r>
          </w:p>
        </w:tc>
        <w:tc>
          <w:tcPr>
            <w:tcW w:w="1260" w:type="dxa"/>
            <w:tcBorders>
              <w:top w:val="nil"/>
              <w:left w:val="nil"/>
              <w:bottom w:val="nil"/>
              <w:right w:val="single" w:sz="4" w:space="0" w:color="auto"/>
            </w:tcBorders>
            <w:shd w:val="clear" w:color="auto" w:fill="auto"/>
            <w:noWrap/>
            <w:vAlign w:val="bottom"/>
          </w:tcPr>
          <w:p w14:paraId="1CBE06D8"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41195812" w14:textId="77777777" w:rsidR="00775CCD" w:rsidRPr="00AC5A83" w:rsidRDefault="00775CCD" w:rsidP="00775CCD">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04548EF2" w14:textId="77777777" w:rsidR="00775CCD" w:rsidRPr="00AC5A83" w:rsidRDefault="00775CCD" w:rsidP="00775CCD">
            <w:pPr>
              <w:jc w:val="right"/>
              <w:rPr>
                <w:b/>
                <w:bCs/>
                <w:color w:val="000000"/>
                <w:sz w:val="20"/>
                <w:szCs w:val="20"/>
                <w:lang w:eastAsia="en-GB"/>
              </w:rPr>
            </w:pPr>
            <w:r w:rsidRPr="00AC5A83">
              <w:rPr>
                <w:b/>
                <w:bCs/>
                <w:color w:val="000000"/>
                <w:sz w:val="20"/>
                <w:szCs w:val="20"/>
              </w:rPr>
              <w:t>77,000</w:t>
            </w:r>
          </w:p>
        </w:tc>
        <w:tc>
          <w:tcPr>
            <w:tcW w:w="1180" w:type="dxa"/>
            <w:tcBorders>
              <w:top w:val="nil"/>
              <w:left w:val="nil"/>
              <w:bottom w:val="nil"/>
              <w:right w:val="single" w:sz="4" w:space="0" w:color="auto"/>
            </w:tcBorders>
            <w:shd w:val="clear" w:color="auto" w:fill="auto"/>
            <w:noWrap/>
            <w:vAlign w:val="bottom"/>
            <w:hideMark/>
          </w:tcPr>
          <w:p w14:paraId="3AFC9CAD"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08136C9F" w14:textId="77777777" w:rsidR="00775CCD" w:rsidRPr="00AC5A83" w:rsidRDefault="00775CCD" w:rsidP="00775CCD">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6C3AC615"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25CE07EB" w14:textId="77777777" w:rsidR="00775CCD" w:rsidRPr="00AC5A83" w:rsidRDefault="00775CCD" w:rsidP="00775CCD">
            <w:pPr>
              <w:jc w:val="right"/>
              <w:rPr>
                <w:color w:val="000000"/>
                <w:sz w:val="20"/>
                <w:szCs w:val="20"/>
                <w:lang w:eastAsia="en-GB"/>
              </w:rPr>
            </w:pPr>
            <w:r w:rsidRPr="00AC5A83">
              <w:rPr>
                <w:b/>
                <w:bCs/>
                <w:color w:val="000000"/>
                <w:sz w:val="20"/>
                <w:szCs w:val="20"/>
              </w:rPr>
              <w:t>77,000</w:t>
            </w:r>
          </w:p>
        </w:tc>
      </w:tr>
      <w:tr w:rsidR="00D1663B" w:rsidRPr="004F47DA" w14:paraId="127482CA" w14:textId="77777777" w:rsidTr="00A36626">
        <w:trPr>
          <w:trHeight w:val="263"/>
        </w:trPr>
        <w:tc>
          <w:tcPr>
            <w:tcW w:w="4500" w:type="dxa"/>
            <w:tcBorders>
              <w:top w:val="nil"/>
              <w:left w:val="single" w:sz="8" w:space="0" w:color="auto"/>
              <w:bottom w:val="nil"/>
              <w:right w:val="nil"/>
            </w:tcBorders>
            <w:shd w:val="clear" w:color="auto" w:fill="auto"/>
            <w:noWrap/>
            <w:vAlign w:val="center"/>
            <w:hideMark/>
          </w:tcPr>
          <w:p w14:paraId="20759B80" w14:textId="77777777" w:rsidR="00775CCD" w:rsidRPr="00AC5A83" w:rsidRDefault="00775CCD" w:rsidP="00775CCD">
            <w:pPr>
              <w:rPr>
                <w:b/>
                <w:bCs/>
                <w:color w:val="000000"/>
                <w:sz w:val="20"/>
                <w:szCs w:val="20"/>
                <w:lang w:eastAsia="en-GB"/>
              </w:rPr>
            </w:pPr>
            <w:r w:rsidRPr="00AC5A83">
              <w:rPr>
                <w:b/>
                <w:bCs/>
                <w:color w:val="000000"/>
                <w:sz w:val="20"/>
                <w:szCs w:val="20"/>
              </w:rPr>
              <w:t>ESN Sub Total</w:t>
            </w:r>
          </w:p>
        </w:tc>
        <w:tc>
          <w:tcPr>
            <w:tcW w:w="1440" w:type="dxa"/>
            <w:tcBorders>
              <w:top w:val="nil"/>
              <w:left w:val="single" w:sz="4" w:space="0" w:color="auto"/>
              <w:bottom w:val="nil"/>
              <w:right w:val="single" w:sz="4" w:space="0" w:color="auto"/>
            </w:tcBorders>
            <w:shd w:val="clear" w:color="auto" w:fill="auto"/>
            <w:noWrap/>
            <w:vAlign w:val="center"/>
            <w:hideMark/>
          </w:tcPr>
          <w:p w14:paraId="5ADB36AB" w14:textId="77777777" w:rsidR="00775CCD" w:rsidRPr="00AC5A83" w:rsidRDefault="00775CCD" w:rsidP="00775CCD">
            <w:pPr>
              <w:jc w:val="right"/>
              <w:rPr>
                <w:b/>
                <w:bCs/>
                <w:sz w:val="20"/>
                <w:szCs w:val="20"/>
                <w:lang w:eastAsia="en-GB"/>
              </w:rPr>
            </w:pPr>
            <w:r w:rsidRPr="00AC5A83">
              <w:rPr>
                <w:b/>
                <w:bCs/>
                <w:color w:val="000000"/>
                <w:sz w:val="20"/>
                <w:szCs w:val="20"/>
              </w:rPr>
              <w:t>998,455</w:t>
            </w:r>
          </w:p>
        </w:tc>
        <w:tc>
          <w:tcPr>
            <w:tcW w:w="1260" w:type="dxa"/>
            <w:tcBorders>
              <w:top w:val="nil"/>
              <w:left w:val="nil"/>
              <w:bottom w:val="nil"/>
              <w:right w:val="single" w:sz="4" w:space="0" w:color="auto"/>
            </w:tcBorders>
            <w:shd w:val="clear" w:color="auto" w:fill="auto"/>
            <w:noWrap/>
            <w:vAlign w:val="bottom"/>
          </w:tcPr>
          <w:p w14:paraId="26CD2EAA"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hideMark/>
          </w:tcPr>
          <w:p w14:paraId="288402DB" w14:textId="77777777" w:rsidR="00775CCD" w:rsidRPr="00AC5A83" w:rsidRDefault="00775CCD" w:rsidP="00775CCD">
            <w:pPr>
              <w:rPr>
                <w:b/>
                <w:bCs/>
                <w:sz w:val="20"/>
                <w:szCs w:val="20"/>
                <w:lang w:eastAsia="en-GB"/>
              </w:rPr>
            </w:pPr>
            <w:r w:rsidRPr="00AC5A83">
              <w:rPr>
                <w:b/>
                <w:bCs/>
                <w:sz w:val="20"/>
                <w:szCs w:val="20"/>
                <w:lang w:eastAsia="en-GB"/>
              </w:rPr>
              <w:t> </w:t>
            </w:r>
          </w:p>
        </w:tc>
        <w:tc>
          <w:tcPr>
            <w:tcW w:w="1320" w:type="dxa"/>
            <w:tcBorders>
              <w:top w:val="nil"/>
              <w:left w:val="nil"/>
              <w:bottom w:val="nil"/>
              <w:right w:val="single" w:sz="4" w:space="0" w:color="auto"/>
            </w:tcBorders>
            <w:shd w:val="clear" w:color="000000" w:fill="DCE6F1"/>
            <w:noWrap/>
            <w:vAlign w:val="center"/>
            <w:hideMark/>
          </w:tcPr>
          <w:p w14:paraId="6B6E4FE4" w14:textId="77777777" w:rsidR="00775CCD" w:rsidRPr="00AC5A83" w:rsidRDefault="00775CCD" w:rsidP="00775CCD">
            <w:pPr>
              <w:jc w:val="right"/>
              <w:rPr>
                <w:b/>
                <w:bCs/>
                <w:color w:val="000000"/>
                <w:sz w:val="20"/>
                <w:szCs w:val="20"/>
                <w:lang w:eastAsia="en-GB"/>
              </w:rPr>
            </w:pPr>
            <w:r w:rsidRPr="00AC5A83">
              <w:rPr>
                <w:b/>
                <w:bCs/>
                <w:color w:val="000000"/>
                <w:sz w:val="20"/>
                <w:szCs w:val="20"/>
              </w:rPr>
              <w:t>998,455</w:t>
            </w:r>
          </w:p>
        </w:tc>
        <w:tc>
          <w:tcPr>
            <w:tcW w:w="1180" w:type="dxa"/>
            <w:tcBorders>
              <w:top w:val="nil"/>
              <w:left w:val="nil"/>
              <w:bottom w:val="nil"/>
              <w:right w:val="single" w:sz="4" w:space="0" w:color="auto"/>
            </w:tcBorders>
            <w:shd w:val="clear" w:color="auto" w:fill="auto"/>
            <w:noWrap/>
            <w:vAlign w:val="bottom"/>
            <w:hideMark/>
          </w:tcPr>
          <w:p w14:paraId="01FBD0D9" w14:textId="77777777" w:rsidR="00775CCD" w:rsidRPr="00AC5A83" w:rsidRDefault="00775CCD" w:rsidP="00775CCD">
            <w:pPr>
              <w:rPr>
                <w:b/>
                <w:bCs/>
                <w:color w:val="000000"/>
                <w:sz w:val="20"/>
                <w:szCs w:val="20"/>
                <w:lang w:eastAsia="en-GB"/>
              </w:rPr>
            </w:pPr>
            <w:r w:rsidRPr="00AC5A83">
              <w:rPr>
                <w:b/>
                <w:bCs/>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3487C16A" w14:textId="77777777" w:rsidR="00775CCD" w:rsidRPr="00AC5A83" w:rsidRDefault="00775CCD" w:rsidP="00775CCD">
            <w:pPr>
              <w:rPr>
                <w:b/>
                <w:bCs/>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5713DC45" w14:textId="77777777" w:rsidR="00775CCD" w:rsidRPr="00AC5A83" w:rsidRDefault="00775CCD" w:rsidP="00775CCD">
            <w:pPr>
              <w:rPr>
                <w:b/>
                <w:bCs/>
                <w:color w:val="000000"/>
                <w:sz w:val="20"/>
                <w:szCs w:val="20"/>
                <w:lang w:eastAsia="en-GB"/>
              </w:rPr>
            </w:pPr>
            <w:r w:rsidRPr="00AC5A83">
              <w:rPr>
                <w:b/>
                <w:bCs/>
                <w:color w:val="000000"/>
                <w:sz w:val="20"/>
                <w:szCs w:val="20"/>
                <w:lang w:eastAsia="en-GB"/>
              </w:rPr>
              <w:t> </w:t>
            </w:r>
          </w:p>
        </w:tc>
        <w:tc>
          <w:tcPr>
            <w:tcW w:w="1360" w:type="dxa"/>
            <w:tcBorders>
              <w:top w:val="nil"/>
              <w:left w:val="nil"/>
              <w:bottom w:val="nil"/>
              <w:right w:val="single" w:sz="8" w:space="0" w:color="auto"/>
            </w:tcBorders>
            <w:shd w:val="clear" w:color="auto" w:fill="auto"/>
            <w:noWrap/>
            <w:vAlign w:val="center"/>
            <w:hideMark/>
          </w:tcPr>
          <w:p w14:paraId="2FF62EF7" w14:textId="77777777" w:rsidR="00775CCD" w:rsidRPr="00AC5A83" w:rsidRDefault="00775CCD" w:rsidP="00775CCD">
            <w:pPr>
              <w:jc w:val="right"/>
              <w:rPr>
                <w:b/>
                <w:bCs/>
                <w:color w:val="000000"/>
                <w:sz w:val="20"/>
                <w:szCs w:val="20"/>
                <w:lang w:eastAsia="en-GB"/>
              </w:rPr>
            </w:pPr>
            <w:r w:rsidRPr="00AC5A83">
              <w:rPr>
                <w:b/>
                <w:bCs/>
                <w:color w:val="000000"/>
                <w:sz w:val="20"/>
                <w:szCs w:val="20"/>
              </w:rPr>
              <w:t>998,455</w:t>
            </w:r>
          </w:p>
        </w:tc>
      </w:tr>
      <w:tr w:rsidR="00D1663B" w:rsidRPr="004F47DA" w14:paraId="49BBFEA4" w14:textId="77777777" w:rsidTr="00A52849">
        <w:trPr>
          <w:trHeight w:val="263"/>
        </w:trPr>
        <w:tc>
          <w:tcPr>
            <w:tcW w:w="4500" w:type="dxa"/>
            <w:tcBorders>
              <w:top w:val="nil"/>
              <w:left w:val="single" w:sz="8" w:space="0" w:color="auto"/>
              <w:right w:val="nil"/>
            </w:tcBorders>
            <w:shd w:val="clear" w:color="auto" w:fill="auto"/>
            <w:noWrap/>
            <w:vAlign w:val="bottom"/>
            <w:hideMark/>
          </w:tcPr>
          <w:p w14:paraId="1ACA36AF"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440" w:type="dxa"/>
            <w:tcBorders>
              <w:top w:val="nil"/>
              <w:left w:val="single" w:sz="4" w:space="0" w:color="auto"/>
              <w:right w:val="single" w:sz="4" w:space="0" w:color="auto"/>
            </w:tcBorders>
            <w:shd w:val="clear" w:color="auto" w:fill="auto"/>
            <w:noWrap/>
            <w:vAlign w:val="bottom"/>
            <w:hideMark/>
          </w:tcPr>
          <w:p w14:paraId="5AA08CFF"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right w:val="single" w:sz="4" w:space="0" w:color="auto"/>
            </w:tcBorders>
            <w:shd w:val="clear" w:color="auto" w:fill="auto"/>
            <w:noWrap/>
            <w:vAlign w:val="bottom"/>
            <w:hideMark/>
          </w:tcPr>
          <w:p w14:paraId="5C4E0008" w14:textId="77777777" w:rsidR="00CE6999" w:rsidRPr="00AC5A83" w:rsidRDefault="00CE6999" w:rsidP="00CE6999">
            <w:pPr>
              <w:jc w:val="right"/>
              <w:rPr>
                <w:sz w:val="20"/>
                <w:szCs w:val="20"/>
                <w:lang w:eastAsia="en-GB"/>
              </w:rPr>
            </w:pPr>
          </w:p>
        </w:tc>
        <w:tc>
          <w:tcPr>
            <w:tcW w:w="1339" w:type="dxa"/>
            <w:tcBorders>
              <w:top w:val="nil"/>
              <w:left w:val="nil"/>
              <w:right w:val="single" w:sz="4" w:space="0" w:color="auto"/>
            </w:tcBorders>
            <w:shd w:val="clear" w:color="auto" w:fill="auto"/>
            <w:noWrap/>
            <w:vAlign w:val="bottom"/>
            <w:hideMark/>
          </w:tcPr>
          <w:p w14:paraId="3764143D"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right w:val="single" w:sz="4" w:space="0" w:color="auto"/>
            </w:tcBorders>
            <w:shd w:val="clear" w:color="000000" w:fill="DCE6F1"/>
            <w:noWrap/>
            <w:vAlign w:val="bottom"/>
            <w:hideMark/>
          </w:tcPr>
          <w:p w14:paraId="15694021" w14:textId="77777777" w:rsidR="00CE6999" w:rsidRPr="00AC5A83" w:rsidRDefault="00CE6999" w:rsidP="00CE6999">
            <w:pPr>
              <w:jc w:val="right"/>
              <w:rPr>
                <w:b/>
                <w:bCs/>
                <w:color w:val="000000"/>
                <w:sz w:val="20"/>
                <w:szCs w:val="20"/>
                <w:lang w:eastAsia="en-GB"/>
              </w:rPr>
            </w:pPr>
          </w:p>
        </w:tc>
        <w:tc>
          <w:tcPr>
            <w:tcW w:w="1180" w:type="dxa"/>
            <w:tcBorders>
              <w:top w:val="nil"/>
              <w:left w:val="nil"/>
              <w:right w:val="single" w:sz="4" w:space="0" w:color="auto"/>
            </w:tcBorders>
            <w:shd w:val="clear" w:color="auto" w:fill="auto"/>
            <w:noWrap/>
            <w:vAlign w:val="bottom"/>
            <w:hideMark/>
          </w:tcPr>
          <w:p w14:paraId="01CDEEE9"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right w:val="nil"/>
            </w:tcBorders>
            <w:shd w:val="clear" w:color="auto" w:fill="auto"/>
            <w:noWrap/>
            <w:vAlign w:val="bottom"/>
            <w:hideMark/>
          </w:tcPr>
          <w:p w14:paraId="5453079B" w14:textId="77777777" w:rsidR="00CE6999" w:rsidRPr="00AC5A83" w:rsidRDefault="00CE6999" w:rsidP="00CE6999">
            <w:pPr>
              <w:rPr>
                <w:color w:val="000000"/>
                <w:sz w:val="20"/>
                <w:szCs w:val="20"/>
                <w:lang w:eastAsia="en-GB"/>
              </w:rPr>
            </w:pPr>
          </w:p>
        </w:tc>
        <w:tc>
          <w:tcPr>
            <w:tcW w:w="1200" w:type="dxa"/>
            <w:tcBorders>
              <w:top w:val="nil"/>
              <w:left w:val="single" w:sz="4" w:space="0" w:color="auto"/>
              <w:right w:val="single" w:sz="4" w:space="0" w:color="auto"/>
            </w:tcBorders>
            <w:shd w:val="clear" w:color="auto" w:fill="auto"/>
            <w:noWrap/>
            <w:vAlign w:val="bottom"/>
            <w:hideMark/>
          </w:tcPr>
          <w:p w14:paraId="1057B089"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right w:val="single" w:sz="8" w:space="0" w:color="auto"/>
            </w:tcBorders>
            <w:shd w:val="clear" w:color="auto" w:fill="auto"/>
            <w:noWrap/>
            <w:vAlign w:val="bottom"/>
            <w:hideMark/>
          </w:tcPr>
          <w:p w14:paraId="0F1C3F7B"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208C1432" w14:textId="77777777" w:rsidTr="00A36626">
        <w:trPr>
          <w:trHeight w:val="263"/>
        </w:trPr>
        <w:tc>
          <w:tcPr>
            <w:tcW w:w="4500" w:type="dxa"/>
            <w:tcBorders>
              <w:top w:val="single" w:sz="4" w:space="0" w:color="auto"/>
              <w:left w:val="single" w:sz="8" w:space="0" w:color="auto"/>
              <w:bottom w:val="nil"/>
              <w:right w:val="nil"/>
            </w:tcBorders>
            <w:shd w:val="clear" w:color="auto" w:fill="auto"/>
            <w:vAlign w:val="center"/>
            <w:hideMark/>
          </w:tcPr>
          <w:p w14:paraId="4C24B2D1" w14:textId="77777777" w:rsidR="00775CCD" w:rsidRPr="00AC5A83" w:rsidRDefault="00775CCD" w:rsidP="00775CCD">
            <w:pPr>
              <w:rPr>
                <w:sz w:val="20"/>
                <w:szCs w:val="20"/>
                <w:lang w:eastAsia="en-GB"/>
              </w:rPr>
            </w:pPr>
            <w:r w:rsidRPr="00AC5A83">
              <w:rPr>
                <w:color w:val="000000"/>
                <w:sz w:val="20"/>
                <w:szCs w:val="20"/>
              </w:rPr>
              <w:t>WIFI Enhancement - Local Resilience Forum</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36ECE294" w14:textId="77777777" w:rsidR="00775CCD" w:rsidRPr="00AC5A83" w:rsidRDefault="00775CCD" w:rsidP="00775CCD">
            <w:pPr>
              <w:jc w:val="right"/>
              <w:rPr>
                <w:sz w:val="20"/>
                <w:szCs w:val="20"/>
                <w:lang w:eastAsia="en-GB"/>
              </w:rPr>
            </w:pPr>
            <w:r w:rsidRPr="00AC5A83">
              <w:rPr>
                <w:color w:val="000000"/>
                <w:sz w:val="20"/>
                <w:szCs w:val="20"/>
              </w:rPr>
              <w:t>2,701</w:t>
            </w:r>
          </w:p>
        </w:tc>
        <w:tc>
          <w:tcPr>
            <w:tcW w:w="1260" w:type="dxa"/>
            <w:tcBorders>
              <w:top w:val="single" w:sz="4" w:space="0" w:color="auto"/>
              <w:left w:val="nil"/>
              <w:bottom w:val="nil"/>
              <w:right w:val="single" w:sz="4" w:space="0" w:color="auto"/>
            </w:tcBorders>
            <w:shd w:val="clear" w:color="auto" w:fill="auto"/>
            <w:noWrap/>
            <w:vAlign w:val="bottom"/>
          </w:tcPr>
          <w:p w14:paraId="38BD1BC3" w14:textId="77777777" w:rsidR="00775CCD" w:rsidRPr="00AC5A83" w:rsidRDefault="00775CCD" w:rsidP="00775CCD">
            <w:pPr>
              <w:jc w:val="right"/>
              <w:rPr>
                <w:sz w:val="20"/>
                <w:szCs w:val="20"/>
                <w:lang w:eastAsia="en-GB"/>
              </w:rPr>
            </w:pPr>
          </w:p>
        </w:tc>
        <w:tc>
          <w:tcPr>
            <w:tcW w:w="1339" w:type="dxa"/>
            <w:tcBorders>
              <w:top w:val="single" w:sz="4" w:space="0" w:color="auto"/>
              <w:left w:val="nil"/>
              <w:bottom w:val="nil"/>
              <w:right w:val="single" w:sz="4" w:space="0" w:color="auto"/>
            </w:tcBorders>
            <w:shd w:val="clear" w:color="auto" w:fill="auto"/>
            <w:noWrap/>
            <w:vAlign w:val="bottom"/>
          </w:tcPr>
          <w:p w14:paraId="49DED311" w14:textId="77777777" w:rsidR="00775CCD" w:rsidRPr="00AC5A83" w:rsidRDefault="00775CCD" w:rsidP="00775CCD">
            <w:pPr>
              <w:jc w:val="right"/>
              <w:rPr>
                <w:sz w:val="20"/>
                <w:szCs w:val="20"/>
                <w:lang w:eastAsia="en-GB"/>
              </w:rPr>
            </w:pPr>
          </w:p>
        </w:tc>
        <w:tc>
          <w:tcPr>
            <w:tcW w:w="1320" w:type="dxa"/>
            <w:tcBorders>
              <w:top w:val="single" w:sz="4" w:space="0" w:color="auto"/>
              <w:left w:val="nil"/>
              <w:bottom w:val="nil"/>
              <w:right w:val="single" w:sz="4" w:space="0" w:color="auto"/>
            </w:tcBorders>
            <w:shd w:val="clear" w:color="000000" w:fill="DCE6F1"/>
            <w:noWrap/>
            <w:vAlign w:val="bottom"/>
            <w:hideMark/>
          </w:tcPr>
          <w:p w14:paraId="04541B1B" w14:textId="77777777" w:rsidR="00775CCD" w:rsidRPr="00AC5A83" w:rsidRDefault="00775CCD" w:rsidP="00775CCD">
            <w:pPr>
              <w:jc w:val="right"/>
              <w:rPr>
                <w:b/>
                <w:bCs/>
                <w:color w:val="000000"/>
                <w:sz w:val="20"/>
                <w:szCs w:val="20"/>
                <w:lang w:eastAsia="en-GB"/>
              </w:rPr>
            </w:pPr>
            <w:r w:rsidRPr="00AC5A83">
              <w:rPr>
                <w:b/>
                <w:bCs/>
                <w:color w:val="000000"/>
                <w:sz w:val="20"/>
                <w:szCs w:val="20"/>
                <w:lang w:eastAsia="en-GB"/>
              </w:rPr>
              <w:t>2,701</w:t>
            </w:r>
          </w:p>
        </w:tc>
        <w:tc>
          <w:tcPr>
            <w:tcW w:w="1180" w:type="dxa"/>
            <w:tcBorders>
              <w:top w:val="single" w:sz="4" w:space="0" w:color="auto"/>
              <w:left w:val="nil"/>
              <w:bottom w:val="nil"/>
              <w:right w:val="single" w:sz="4" w:space="0" w:color="auto"/>
            </w:tcBorders>
            <w:shd w:val="clear" w:color="auto" w:fill="auto"/>
            <w:noWrap/>
            <w:vAlign w:val="bottom"/>
            <w:hideMark/>
          </w:tcPr>
          <w:p w14:paraId="29A08BD0" w14:textId="77777777" w:rsidR="00775CCD" w:rsidRPr="00AC5A83" w:rsidRDefault="00775CCD" w:rsidP="00775CCD">
            <w:pPr>
              <w:jc w:val="right"/>
              <w:rPr>
                <w:color w:val="000000"/>
                <w:sz w:val="20"/>
                <w:szCs w:val="20"/>
                <w:lang w:eastAsia="en-GB"/>
              </w:rPr>
            </w:pPr>
            <w:r w:rsidRPr="00AC5A83">
              <w:rPr>
                <w:color w:val="000000"/>
                <w:sz w:val="20"/>
                <w:szCs w:val="20"/>
                <w:lang w:eastAsia="en-GB"/>
              </w:rPr>
              <w:t> -2,701</w:t>
            </w:r>
          </w:p>
        </w:tc>
        <w:tc>
          <w:tcPr>
            <w:tcW w:w="1140" w:type="dxa"/>
            <w:tcBorders>
              <w:top w:val="single" w:sz="4" w:space="0" w:color="auto"/>
              <w:left w:val="nil"/>
              <w:bottom w:val="nil"/>
              <w:right w:val="nil"/>
            </w:tcBorders>
            <w:shd w:val="clear" w:color="auto" w:fill="auto"/>
            <w:noWrap/>
            <w:vAlign w:val="bottom"/>
            <w:hideMark/>
          </w:tcPr>
          <w:p w14:paraId="0F207C76" w14:textId="77777777" w:rsidR="00775CCD" w:rsidRPr="00AC5A83" w:rsidRDefault="00775CCD" w:rsidP="00775CCD">
            <w:pPr>
              <w:jc w:val="right"/>
              <w:rPr>
                <w:color w:val="000000"/>
                <w:sz w:val="20"/>
                <w:szCs w:val="20"/>
                <w:lang w:eastAsia="en-GB"/>
              </w:rPr>
            </w:pP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14:paraId="6C5382CC" w14:textId="77777777" w:rsidR="00775CCD" w:rsidRPr="00AC5A83" w:rsidRDefault="00775CCD" w:rsidP="00775CCD">
            <w:pPr>
              <w:jc w:val="right"/>
              <w:rPr>
                <w:color w:val="000000"/>
                <w:sz w:val="20"/>
                <w:szCs w:val="20"/>
                <w:lang w:eastAsia="en-GB"/>
              </w:rPr>
            </w:pPr>
            <w:r w:rsidRPr="00AC5A83">
              <w:rPr>
                <w:color w:val="000000"/>
                <w:sz w:val="20"/>
                <w:szCs w:val="20"/>
                <w:lang w:eastAsia="en-GB"/>
              </w:rPr>
              <w:t> </w:t>
            </w:r>
          </w:p>
        </w:tc>
        <w:tc>
          <w:tcPr>
            <w:tcW w:w="1360" w:type="dxa"/>
            <w:tcBorders>
              <w:top w:val="single" w:sz="4" w:space="0" w:color="auto"/>
              <w:left w:val="nil"/>
              <w:bottom w:val="nil"/>
              <w:right w:val="single" w:sz="8" w:space="0" w:color="auto"/>
            </w:tcBorders>
            <w:shd w:val="clear" w:color="auto" w:fill="auto"/>
            <w:noWrap/>
            <w:vAlign w:val="bottom"/>
            <w:hideMark/>
          </w:tcPr>
          <w:p w14:paraId="5ACDB455" w14:textId="77777777" w:rsidR="00775CCD" w:rsidRPr="00AC5A83" w:rsidRDefault="00775CCD" w:rsidP="00775CCD">
            <w:pPr>
              <w:jc w:val="right"/>
              <w:rPr>
                <w:color w:val="000000"/>
                <w:sz w:val="20"/>
                <w:szCs w:val="20"/>
                <w:lang w:eastAsia="en-GB"/>
              </w:rPr>
            </w:pPr>
            <w:r w:rsidRPr="00AC5A83">
              <w:rPr>
                <w:color w:val="000000"/>
                <w:sz w:val="20"/>
                <w:szCs w:val="20"/>
                <w:lang w:eastAsia="en-GB"/>
              </w:rPr>
              <w:t>0</w:t>
            </w:r>
          </w:p>
        </w:tc>
      </w:tr>
      <w:tr w:rsidR="00D1663B" w:rsidRPr="004F47DA" w14:paraId="4128AB31" w14:textId="77777777" w:rsidTr="00A36626">
        <w:trPr>
          <w:trHeight w:val="263"/>
        </w:trPr>
        <w:tc>
          <w:tcPr>
            <w:tcW w:w="4500" w:type="dxa"/>
            <w:tcBorders>
              <w:top w:val="nil"/>
              <w:left w:val="single" w:sz="8" w:space="0" w:color="auto"/>
              <w:bottom w:val="nil"/>
              <w:right w:val="nil"/>
            </w:tcBorders>
            <w:shd w:val="clear" w:color="auto" w:fill="auto"/>
            <w:vAlign w:val="bottom"/>
            <w:hideMark/>
          </w:tcPr>
          <w:p w14:paraId="38EF8A8C" w14:textId="77777777" w:rsidR="00775CCD" w:rsidRPr="00AC5A83" w:rsidRDefault="00775CCD" w:rsidP="00775CCD">
            <w:pPr>
              <w:rPr>
                <w:sz w:val="20"/>
                <w:szCs w:val="20"/>
                <w:lang w:eastAsia="en-GB"/>
              </w:rPr>
            </w:pPr>
            <w:r w:rsidRPr="00AC5A83">
              <w:rPr>
                <w:sz w:val="20"/>
                <w:szCs w:val="20"/>
              </w:rPr>
              <w:t>CFRMIS Project</w:t>
            </w:r>
          </w:p>
        </w:tc>
        <w:tc>
          <w:tcPr>
            <w:tcW w:w="1440" w:type="dxa"/>
            <w:tcBorders>
              <w:top w:val="nil"/>
              <w:left w:val="single" w:sz="4" w:space="0" w:color="auto"/>
              <w:bottom w:val="nil"/>
              <w:right w:val="single" w:sz="4" w:space="0" w:color="auto"/>
            </w:tcBorders>
            <w:shd w:val="clear" w:color="auto" w:fill="auto"/>
            <w:noWrap/>
            <w:vAlign w:val="center"/>
            <w:hideMark/>
          </w:tcPr>
          <w:p w14:paraId="58A2E22B" w14:textId="77777777" w:rsidR="00775CCD" w:rsidRPr="00AC5A83" w:rsidRDefault="00775CCD" w:rsidP="00775CCD">
            <w:pPr>
              <w:jc w:val="right"/>
              <w:rPr>
                <w:sz w:val="20"/>
                <w:szCs w:val="20"/>
                <w:lang w:eastAsia="en-GB"/>
              </w:rPr>
            </w:pPr>
            <w:r w:rsidRPr="00AC5A83">
              <w:rPr>
                <w:color w:val="000000"/>
                <w:sz w:val="20"/>
                <w:szCs w:val="20"/>
              </w:rPr>
              <w:t>55,395</w:t>
            </w:r>
          </w:p>
        </w:tc>
        <w:tc>
          <w:tcPr>
            <w:tcW w:w="1260" w:type="dxa"/>
            <w:tcBorders>
              <w:top w:val="nil"/>
              <w:left w:val="nil"/>
              <w:bottom w:val="nil"/>
              <w:right w:val="single" w:sz="4" w:space="0" w:color="auto"/>
            </w:tcBorders>
            <w:shd w:val="clear" w:color="auto" w:fill="auto"/>
            <w:noWrap/>
            <w:vAlign w:val="bottom"/>
          </w:tcPr>
          <w:p w14:paraId="7BCB6622" w14:textId="77777777" w:rsidR="00775CCD" w:rsidRPr="00AC5A83" w:rsidRDefault="00775CCD" w:rsidP="00775CCD">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bottom"/>
          </w:tcPr>
          <w:p w14:paraId="451A1060" w14:textId="77777777" w:rsidR="00775CCD" w:rsidRPr="00AC5A83" w:rsidRDefault="00775CCD" w:rsidP="00775CCD">
            <w:pPr>
              <w:jc w:val="right"/>
              <w:rPr>
                <w:sz w:val="20"/>
                <w:szCs w:val="20"/>
                <w:lang w:eastAsia="en-GB"/>
              </w:rPr>
            </w:pPr>
          </w:p>
        </w:tc>
        <w:tc>
          <w:tcPr>
            <w:tcW w:w="1320" w:type="dxa"/>
            <w:tcBorders>
              <w:top w:val="nil"/>
              <w:left w:val="nil"/>
              <w:bottom w:val="nil"/>
              <w:right w:val="single" w:sz="4" w:space="0" w:color="auto"/>
            </w:tcBorders>
            <w:shd w:val="clear" w:color="000000" w:fill="DCE6F1"/>
            <w:noWrap/>
            <w:vAlign w:val="bottom"/>
            <w:hideMark/>
          </w:tcPr>
          <w:p w14:paraId="13F30D9E" w14:textId="77777777" w:rsidR="00775CCD" w:rsidRPr="00AC5A83" w:rsidRDefault="00775CCD" w:rsidP="00775CCD">
            <w:pPr>
              <w:jc w:val="right"/>
              <w:rPr>
                <w:b/>
                <w:bCs/>
                <w:color w:val="000000"/>
                <w:sz w:val="20"/>
                <w:szCs w:val="20"/>
                <w:lang w:eastAsia="en-GB"/>
              </w:rPr>
            </w:pPr>
            <w:r w:rsidRPr="00AC5A83">
              <w:rPr>
                <w:b/>
                <w:bCs/>
                <w:color w:val="000000"/>
                <w:sz w:val="20"/>
                <w:szCs w:val="20"/>
                <w:lang w:eastAsia="en-GB"/>
              </w:rPr>
              <w:t>55,395</w:t>
            </w:r>
          </w:p>
        </w:tc>
        <w:tc>
          <w:tcPr>
            <w:tcW w:w="1180" w:type="dxa"/>
            <w:tcBorders>
              <w:top w:val="nil"/>
              <w:left w:val="nil"/>
              <w:bottom w:val="nil"/>
              <w:right w:val="single" w:sz="4" w:space="0" w:color="auto"/>
            </w:tcBorders>
            <w:shd w:val="clear" w:color="auto" w:fill="auto"/>
            <w:noWrap/>
            <w:vAlign w:val="bottom"/>
            <w:hideMark/>
          </w:tcPr>
          <w:p w14:paraId="6E5E1899" w14:textId="77777777" w:rsidR="00775CCD" w:rsidRPr="00AC5A83" w:rsidRDefault="00775CCD" w:rsidP="00775CCD">
            <w:pPr>
              <w:jc w:val="right"/>
              <w:rPr>
                <w:color w:val="000000"/>
                <w:sz w:val="20"/>
                <w:szCs w:val="20"/>
                <w:lang w:eastAsia="en-GB"/>
              </w:rPr>
            </w:pPr>
            <w:r w:rsidRPr="00AC5A83">
              <w:rPr>
                <w:color w:val="000000"/>
                <w:sz w:val="20"/>
                <w:szCs w:val="20"/>
                <w:lang w:eastAsia="en-GB"/>
              </w:rPr>
              <w:t> -55,395</w:t>
            </w:r>
          </w:p>
        </w:tc>
        <w:tc>
          <w:tcPr>
            <w:tcW w:w="1140" w:type="dxa"/>
            <w:tcBorders>
              <w:top w:val="nil"/>
              <w:left w:val="nil"/>
              <w:bottom w:val="nil"/>
              <w:right w:val="nil"/>
            </w:tcBorders>
            <w:shd w:val="clear" w:color="auto" w:fill="auto"/>
            <w:noWrap/>
            <w:vAlign w:val="bottom"/>
            <w:hideMark/>
          </w:tcPr>
          <w:p w14:paraId="2AE29A3F" w14:textId="77777777" w:rsidR="00775CCD" w:rsidRPr="00AC5A83" w:rsidRDefault="00775CCD" w:rsidP="00775CCD">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524435AF" w14:textId="77777777" w:rsidR="00775CCD" w:rsidRPr="00AC5A83" w:rsidRDefault="00775CCD" w:rsidP="00775CCD">
            <w:pPr>
              <w:jc w:val="right"/>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1DCC4967" w14:textId="77777777" w:rsidR="00775CCD" w:rsidRPr="00AC5A83" w:rsidRDefault="00775CCD" w:rsidP="00775CCD">
            <w:pPr>
              <w:jc w:val="right"/>
              <w:rPr>
                <w:color w:val="000000"/>
                <w:sz w:val="20"/>
                <w:szCs w:val="20"/>
                <w:lang w:eastAsia="en-GB"/>
              </w:rPr>
            </w:pPr>
            <w:r w:rsidRPr="00AC5A83">
              <w:rPr>
                <w:color w:val="000000"/>
                <w:sz w:val="20"/>
                <w:szCs w:val="20"/>
                <w:lang w:eastAsia="en-GB"/>
              </w:rPr>
              <w:t>0</w:t>
            </w:r>
          </w:p>
        </w:tc>
      </w:tr>
      <w:tr w:rsidR="00D1663B" w:rsidRPr="004F47DA" w14:paraId="4D79D32F" w14:textId="77777777" w:rsidTr="00A36626">
        <w:trPr>
          <w:trHeight w:val="263"/>
        </w:trPr>
        <w:tc>
          <w:tcPr>
            <w:tcW w:w="4500" w:type="dxa"/>
            <w:tcBorders>
              <w:top w:val="nil"/>
              <w:left w:val="single" w:sz="8" w:space="0" w:color="auto"/>
              <w:bottom w:val="nil"/>
              <w:right w:val="nil"/>
            </w:tcBorders>
            <w:shd w:val="clear" w:color="auto" w:fill="auto"/>
            <w:noWrap/>
            <w:vAlign w:val="center"/>
            <w:hideMark/>
          </w:tcPr>
          <w:p w14:paraId="503C482C" w14:textId="77777777" w:rsidR="00775CCD" w:rsidRPr="00AC5A83" w:rsidRDefault="00775CCD" w:rsidP="00775CCD">
            <w:pPr>
              <w:rPr>
                <w:color w:val="000000"/>
                <w:sz w:val="20"/>
                <w:szCs w:val="20"/>
                <w:lang w:eastAsia="en-GB"/>
              </w:rPr>
            </w:pPr>
            <w:r w:rsidRPr="00AC5A83">
              <w:rPr>
                <w:color w:val="000000"/>
                <w:sz w:val="20"/>
                <w:szCs w:val="20"/>
              </w:rPr>
              <w:lastRenderedPageBreak/>
              <w:t>Additional iTrent Support</w:t>
            </w:r>
          </w:p>
        </w:tc>
        <w:tc>
          <w:tcPr>
            <w:tcW w:w="1440" w:type="dxa"/>
            <w:tcBorders>
              <w:top w:val="nil"/>
              <w:left w:val="single" w:sz="4" w:space="0" w:color="auto"/>
              <w:bottom w:val="nil"/>
              <w:right w:val="single" w:sz="4" w:space="0" w:color="auto"/>
            </w:tcBorders>
            <w:shd w:val="clear" w:color="auto" w:fill="auto"/>
            <w:noWrap/>
            <w:vAlign w:val="center"/>
            <w:hideMark/>
          </w:tcPr>
          <w:p w14:paraId="33A9A3DD" w14:textId="77777777" w:rsidR="00775CCD" w:rsidRPr="00AC5A83" w:rsidRDefault="00775CCD" w:rsidP="00775CCD">
            <w:pPr>
              <w:jc w:val="right"/>
              <w:rPr>
                <w:sz w:val="20"/>
                <w:szCs w:val="20"/>
                <w:lang w:eastAsia="en-GB"/>
              </w:rPr>
            </w:pPr>
            <w:r w:rsidRPr="00AC5A83">
              <w:rPr>
                <w:color w:val="000000"/>
                <w:sz w:val="20"/>
                <w:szCs w:val="20"/>
              </w:rPr>
              <w:t>32,529</w:t>
            </w:r>
          </w:p>
        </w:tc>
        <w:tc>
          <w:tcPr>
            <w:tcW w:w="1260" w:type="dxa"/>
            <w:tcBorders>
              <w:top w:val="nil"/>
              <w:left w:val="nil"/>
              <w:bottom w:val="nil"/>
              <w:right w:val="single" w:sz="4" w:space="0" w:color="auto"/>
            </w:tcBorders>
            <w:shd w:val="clear" w:color="auto" w:fill="auto"/>
            <w:noWrap/>
            <w:vAlign w:val="bottom"/>
            <w:hideMark/>
          </w:tcPr>
          <w:p w14:paraId="0E0033FF" w14:textId="77777777" w:rsidR="00775CCD" w:rsidRPr="00AC5A83" w:rsidRDefault="00775CCD" w:rsidP="00775CCD">
            <w:pPr>
              <w:jc w:val="right"/>
              <w:rPr>
                <w:sz w:val="20"/>
                <w:szCs w:val="20"/>
                <w:lang w:eastAsia="en-GB"/>
              </w:rPr>
            </w:pPr>
            <w:r w:rsidRPr="00AC5A83">
              <w:rPr>
                <w:sz w:val="20"/>
                <w:szCs w:val="20"/>
                <w:lang w:eastAsia="en-GB"/>
              </w:rPr>
              <w:t>-15,529</w:t>
            </w:r>
          </w:p>
        </w:tc>
        <w:tc>
          <w:tcPr>
            <w:tcW w:w="1339" w:type="dxa"/>
            <w:tcBorders>
              <w:top w:val="nil"/>
              <w:left w:val="nil"/>
              <w:bottom w:val="nil"/>
              <w:right w:val="single" w:sz="4" w:space="0" w:color="auto"/>
            </w:tcBorders>
            <w:shd w:val="clear" w:color="auto" w:fill="auto"/>
            <w:noWrap/>
            <w:vAlign w:val="bottom"/>
          </w:tcPr>
          <w:p w14:paraId="38D787E4" w14:textId="77777777" w:rsidR="00775CCD" w:rsidRPr="00AC5A83" w:rsidRDefault="00775CCD" w:rsidP="00775CCD">
            <w:pPr>
              <w:jc w:val="right"/>
              <w:rPr>
                <w:sz w:val="20"/>
                <w:szCs w:val="20"/>
                <w:lang w:eastAsia="en-GB"/>
              </w:rPr>
            </w:pPr>
          </w:p>
        </w:tc>
        <w:tc>
          <w:tcPr>
            <w:tcW w:w="1320" w:type="dxa"/>
            <w:tcBorders>
              <w:top w:val="nil"/>
              <w:left w:val="nil"/>
              <w:bottom w:val="nil"/>
              <w:right w:val="single" w:sz="4" w:space="0" w:color="auto"/>
            </w:tcBorders>
            <w:shd w:val="clear" w:color="000000" w:fill="DCE6F1"/>
            <w:noWrap/>
            <w:vAlign w:val="bottom"/>
            <w:hideMark/>
          </w:tcPr>
          <w:p w14:paraId="3F850FE4" w14:textId="77777777" w:rsidR="00775CCD" w:rsidRPr="00AC5A83" w:rsidRDefault="00775CCD" w:rsidP="00775CCD">
            <w:pPr>
              <w:jc w:val="right"/>
              <w:rPr>
                <w:b/>
                <w:bCs/>
                <w:color w:val="000000"/>
                <w:sz w:val="20"/>
                <w:szCs w:val="20"/>
                <w:lang w:eastAsia="en-GB"/>
              </w:rPr>
            </w:pPr>
            <w:r w:rsidRPr="00AC5A83">
              <w:rPr>
                <w:b/>
                <w:bCs/>
                <w:color w:val="000000"/>
                <w:sz w:val="20"/>
                <w:szCs w:val="20"/>
                <w:lang w:eastAsia="en-GB"/>
              </w:rPr>
              <w:t>17,000</w:t>
            </w:r>
          </w:p>
        </w:tc>
        <w:tc>
          <w:tcPr>
            <w:tcW w:w="1180" w:type="dxa"/>
            <w:tcBorders>
              <w:top w:val="nil"/>
              <w:left w:val="nil"/>
              <w:bottom w:val="nil"/>
              <w:right w:val="single" w:sz="4" w:space="0" w:color="auto"/>
            </w:tcBorders>
            <w:shd w:val="clear" w:color="auto" w:fill="auto"/>
            <w:noWrap/>
            <w:vAlign w:val="bottom"/>
            <w:hideMark/>
          </w:tcPr>
          <w:p w14:paraId="6EBF8467" w14:textId="77777777" w:rsidR="00775CCD" w:rsidRPr="00AC5A83" w:rsidRDefault="00775CCD" w:rsidP="00775CCD">
            <w:pPr>
              <w:jc w:val="right"/>
              <w:rPr>
                <w:color w:val="000000"/>
                <w:sz w:val="20"/>
                <w:szCs w:val="20"/>
                <w:lang w:eastAsia="en-GB"/>
              </w:rPr>
            </w:pPr>
            <w:r w:rsidRPr="00AC5A83">
              <w:rPr>
                <w:color w:val="000000"/>
                <w:sz w:val="20"/>
                <w:szCs w:val="20"/>
                <w:lang w:eastAsia="en-GB"/>
              </w:rPr>
              <w:t>-17,000</w:t>
            </w:r>
          </w:p>
        </w:tc>
        <w:tc>
          <w:tcPr>
            <w:tcW w:w="1140" w:type="dxa"/>
            <w:tcBorders>
              <w:top w:val="nil"/>
              <w:left w:val="nil"/>
              <w:bottom w:val="nil"/>
              <w:right w:val="nil"/>
            </w:tcBorders>
            <w:shd w:val="clear" w:color="auto" w:fill="auto"/>
            <w:noWrap/>
            <w:vAlign w:val="bottom"/>
            <w:hideMark/>
          </w:tcPr>
          <w:p w14:paraId="444756CF" w14:textId="77777777" w:rsidR="00775CCD" w:rsidRPr="00AC5A83" w:rsidRDefault="00775CCD" w:rsidP="00775CCD">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7FDA128B" w14:textId="77777777" w:rsidR="00775CCD" w:rsidRPr="00AC5A83" w:rsidRDefault="00775CCD" w:rsidP="00775CCD">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6C066C68" w14:textId="77777777" w:rsidR="00775CCD" w:rsidRPr="00AC5A83" w:rsidRDefault="00775CCD" w:rsidP="00775CCD">
            <w:pPr>
              <w:jc w:val="right"/>
              <w:rPr>
                <w:color w:val="000000"/>
                <w:sz w:val="20"/>
                <w:szCs w:val="20"/>
                <w:lang w:eastAsia="en-GB"/>
              </w:rPr>
            </w:pPr>
            <w:r w:rsidRPr="00AC5A83">
              <w:rPr>
                <w:color w:val="000000"/>
                <w:sz w:val="20"/>
                <w:szCs w:val="20"/>
                <w:lang w:eastAsia="en-GB"/>
              </w:rPr>
              <w:t>0</w:t>
            </w:r>
          </w:p>
        </w:tc>
      </w:tr>
      <w:tr w:rsidR="00D1663B" w:rsidRPr="004F47DA" w14:paraId="2E9DFBC5" w14:textId="77777777" w:rsidTr="000408B1">
        <w:trPr>
          <w:trHeight w:val="263"/>
        </w:trPr>
        <w:tc>
          <w:tcPr>
            <w:tcW w:w="4500" w:type="dxa"/>
            <w:tcBorders>
              <w:top w:val="nil"/>
              <w:left w:val="single" w:sz="8" w:space="0" w:color="auto"/>
              <w:bottom w:val="nil"/>
              <w:right w:val="nil"/>
            </w:tcBorders>
            <w:shd w:val="clear" w:color="auto" w:fill="auto"/>
            <w:noWrap/>
            <w:vAlign w:val="center"/>
          </w:tcPr>
          <w:p w14:paraId="55A78039" w14:textId="77777777" w:rsidR="00775CCD" w:rsidRPr="00AC5A83" w:rsidRDefault="00775CCD" w:rsidP="00775CCD">
            <w:pPr>
              <w:rPr>
                <w:color w:val="000000"/>
                <w:sz w:val="20"/>
                <w:szCs w:val="20"/>
              </w:rPr>
            </w:pPr>
            <w:r w:rsidRPr="00AC5A83">
              <w:rPr>
                <w:color w:val="000000"/>
                <w:sz w:val="20"/>
                <w:szCs w:val="20"/>
              </w:rPr>
              <w:t xml:space="preserve">Business System Development </w:t>
            </w:r>
          </w:p>
        </w:tc>
        <w:tc>
          <w:tcPr>
            <w:tcW w:w="1440" w:type="dxa"/>
            <w:tcBorders>
              <w:top w:val="nil"/>
              <w:left w:val="single" w:sz="4" w:space="0" w:color="auto"/>
              <w:bottom w:val="nil"/>
              <w:right w:val="single" w:sz="4" w:space="0" w:color="auto"/>
            </w:tcBorders>
            <w:shd w:val="clear" w:color="auto" w:fill="auto"/>
            <w:noWrap/>
            <w:vAlign w:val="center"/>
          </w:tcPr>
          <w:p w14:paraId="15EEF5DB" w14:textId="77777777" w:rsidR="00775CCD" w:rsidRPr="00AC5A83" w:rsidRDefault="00775CCD" w:rsidP="00775CCD">
            <w:pPr>
              <w:jc w:val="right"/>
              <w:rPr>
                <w:sz w:val="20"/>
                <w:szCs w:val="20"/>
                <w:lang w:eastAsia="en-GB"/>
              </w:rPr>
            </w:pPr>
            <w:r w:rsidRPr="00AC5A83">
              <w:rPr>
                <w:color w:val="000000"/>
                <w:sz w:val="20"/>
                <w:szCs w:val="20"/>
              </w:rPr>
              <w:t>58,818</w:t>
            </w:r>
          </w:p>
        </w:tc>
        <w:tc>
          <w:tcPr>
            <w:tcW w:w="1260" w:type="dxa"/>
            <w:tcBorders>
              <w:top w:val="nil"/>
              <w:left w:val="nil"/>
              <w:bottom w:val="nil"/>
              <w:right w:val="single" w:sz="4" w:space="0" w:color="auto"/>
            </w:tcBorders>
            <w:shd w:val="clear" w:color="auto" w:fill="auto"/>
            <w:noWrap/>
            <w:vAlign w:val="bottom"/>
          </w:tcPr>
          <w:p w14:paraId="0B5AA2A9" w14:textId="77777777" w:rsidR="00775CCD" w:rsidRPr="00AC5A83" w:rsidRDefault="00775CCD" w:rsidP="00775CCD">
            <w:pPr>
              <w:jc w:val="right"/>
              <w:rPr>
                <w:sz w:val="20"/>
                <w:szCs w:val="20"/>
                <w:lang w:eastAsia="en-GB"/>
              </w:rPr>
            </w:pPr>
            <w:r w:rsidRPr="00AC5A83">
              <w:rPr>
                <w:sz w:val="20"/>
                <w:szCs w:val="20"/>
                <w:lang w:eastAsia="en-GB"/>
              </w:rPr>
              <w:t>-58,818</w:t>
            </w:r>
          </w:p>
        </w:tc>
        <w:tc>
          <w:tcPr>
            <w:tcW w:w="1339" w:type="dxa"/>
            <w:tcBorders>
              <w:top w:val="nil"/>
              <w:left w:val="nil"/>
              <w:bottom w:val="nil"/>
              <w:right w:val="single" w:sz="4" w:space="0" w:color="auto"/>
            </w:tcBorders>
            <w:shd w:val="clear" w:color="auto" w:fill="auto"/>
            <w:noWrap/>
            <w:vAlign w:val="bottom"/>
          </w:tcPr>
          <w:p w14:paraId="2F1EE78A" w14:textId="77777777" w:rsidR="00775CCD" w:rsidRPr="00AC5A83" w:rsidRDefault="00775CCD" w:rsidP="00775CCD">
            <w:pPr>
              <w:jc w:val="right"/>
              <w:rPr>
                <w:sz w:val="20"/>
                <w:szCs w:val="20"/>
                <w:lang w:eastAsia="en-GB"/>
              </w:rPr>
            </w:pPr>
          </w:p>
        </w:tc>
        <w:tc>
          <w:tcPr>
            <w:tcW w:w="1320" w:type="dxa"/>
            <w:tcBorders>
              <w:top w:val="nil"/>
              <w:left w:val="nil"/>
              <w:bottom w:val="nil"/>
              <w:right w:val="single" w:sz="4" w:space="0" w:color="auto"/>
            </w:tcBorders>
            <w:shd w:val="clear" w:color="000000" w:fill="DCE6F1"/>
            <w:noWrap/>
            <w:vAlign w:val="bottom"/>
          </w:tcPr>
          <w:p w14:paraId="4FA5712C" w14:textId="77777777" w:rsidR="00775CCD" w:rsidRPr="00AC5A83" w:rsidRDefault="00775CCD" w:rsidP="00775CCD">
            <w:pPr>
              <w:jc w:val="right"/>
              <w:rPr>
                <w:b/>
                <w:bCs/>
                <w:color w:val="000000"/>
                <w:sz w:val="20"/>
                <w:szCs w:val="20"/>
                <w:lang w:eastAsia="en-GB"/>
              </w:rPr>
            </w:pPr>
            <w:r w:rsidRPr="00AC5A83">
              <w:rPr>
                <w:b/>
                <w:bCs/>
                <w:color w:val="000000"/>
                <w:sz w:val="20"/>
                <w:szCs w:val="20"/>
                <w:lang w:eastAsia="en-GB"/>
              </w:rPr>
              <w:t>0</w:t>
            </w:r>
          </w:p>
        </w:tc>
        <w:tc>
          <w:tcPr>
            <w:tcW w:w="1180" w:type="dxa"/>
            <w:tcBorders>
              <w:top w:val="nil"/>
              <w:left w:val="nil"/>
              <w:bottom w:val="nil"/>
              <w:right w:val="single" w:sz="4" w:space="0" w:color="auto"/>
            </w:tcBorders>
            <w:shd w:val="clear" w:color="auto" w:fill="auto"/>
            <w:noWrap/>
            <w:vAlign w:val="bottom"/>
          </w:tcPr>
          <w:p w14:paraId="18F38F3C" w14:textId="77777777" w:rsidR="00775CCD" w:rsidRPr="00AC5A83" w:rsidRDefault="00775CCD" w:rsidP="00775CCD">
            <w:pPr>
              <w:jc w:val="right"/>
              <w:rPr>
                <w:color w:val="000000"/>
                <w:sz w:val="20"/>
                <w:szCs w:val="20"/>
                <w:lang w:eastAsia="en-GB"/>
              </w:rPr>
            </w:pPr>
          </w:p>
        </w:tc>
        <w:tc>
          <w:tcPr>
            <w:tcW w:w="1140" w:type="dxa"/>
            <w:tcBorders>
              <w:top w:val="nil"/>
              <w:left w:val="nil"/>
              <w:bottom w:val="nil"/>
              <w:right w:val="nil"/>
            </w:tcBorders>
            <w:shd w:val="clear" w:color="auto" w:fill="auto"/>
            <w:noWrap/>
            <w:vAlign w:val="bottom"/>
          </w:tcPr>
          <w:p w14:paraId="52CABA00" w14:textId="77777777" w:rsidR="00775CCD" w:rsidRPr="00AC5A83" w:rsidRDefault="00775CCD" w:rsidP="00775CCD">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tcPr>
          <w:p w14:paraId="464E7D99" w14:textId="77777777" w:rsidR="00775CCD" w:rsidRPr="00AC5A83" w:rsidRDefault="00775CCD" w:rsidP="00775CCD">
            <w:pPr>
              <w:rPr>
                <w:color w:val="000000"/>
                <w:sz w:val="20"/>
                <w:szCs w:val="20"/>
                <w:lang w:eastAsia="en-GB"/>
              </w:rPr>
            </w:pPr>
          </w:p>
        </w:tc>
        <w:tc>
          <w:tcPr>
            <w:tcW w:w="1360" w:type="dxa"/>
            <w:tcBorders>
              <w:top w:val="nil"/>
              <w:left w:val="nil"/>
              <w:bottom w:val="nil"/>
              <w:right w:val="single" w:sz="8" w:space="0" w:color="auto"/>
            </w:tcBorders>
            <w:shd w:val="clear" w:color="auto" w:fill="auto"/>
            <w:noWrap/>
            <w:vAlign w:val="bottom"/>
          </w:tcPr>
          <w:p w14:paraId="4C352A20" w14:textId="77777777" w:rsidR="00775CCD" w:rsidRPr="00AC5A83" w:rsidRDefault="00775CCD" w:rsidP="00775CCD">
            <w:pPr>
              <w:jc w:val="right"/>
              <w:rPr>
                <w:color w:val="000000"/>
                <w:sz w:val="20"/>
                <w:szCs w:val="20"/>
                <w:lang w:eastAsia="en-GB"/>
              </w:rPr>
            </w:pPr>
            <w:r w:rsidRPr="00AC5A83">
              <w:rPr>
                <w:color w:val="000000"/>
                <w:sz w:val="20"/>
                <w:szCs w:val="20"/>
                <w:lang w:eastAsia="en-GB"/>
              </w:rPr>
              <w:t>0</w:t>
            </w:r>
          </w:p>
        </w:tc>
      </w:tr>
      <w:tr w:rsidR="00D1663B" w:rsidRPr="004F47DA" w14:paraId="6DECEE1F" w14:textId="77777777" w:rsidTr="00E42950">
        <w:trPr>
          <w:trHeight w:val="263"/>
        </w:trPr>
        <w:tc>
          <w:tcPr>
            <w:tcW w:w="4500" w:type="dxa"/>
            <w:tcBorders>
              <w:top w:val="single" w:sz="4" w:space="0" w:color="auto"/>
              <w:left w:val="single" w:sz="8" w:space="0" w:color="auto"/>
              <w:bottom w:val="nil"/>
              <w:right w:val="nil"/>
            </w:tcBorders>
            <w:shd w:val="clear" w:color="auto" w:fill="auto"/>
            <w:noWrap/>
            <w:vAlign w:val="bottom"/>
            <w:hideMark/>
          </w:tcPr>
          <w:p w14:paraId="7DD08EDA"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ICT Subtotal</w:t>
            </w:r>
          </w:p>
        </w:tc>
        <w:tc>
          <w:tcPr>
            <w:tcW w:w="1440" w:type="dxa"/>
            <w:tcBorders>
              <w:top w:val="single" w:sz="4" w:space="0" w:color="auto"/>
              <w:left w:val="single" w:sz="4" w:space="0" w:color="auto"/>
              <w:bottom w:val="nil"/>
              <w:right w:val="single" w:sz="4" w:space="0" w:color="auto"/>
            </w:tcBorders>
            <w:shd w:val="clear" w:color="auto" w:fill="auto"/>
            <w:noWrap/>
            <w:vAlign w:val="bottom"/>
            <w:hideMark/>
          </w:tcPr>
          <w:p w14:paraId="45053CAD" w14:textId="77777777" w:rsidR="00CE6999" w:rsidRPr="00AC5A83" w:rsidRDefault="00775CCD" w:rsidP="00CE6999">
            <w:pPr>
              <w:jc w:val="right"/>
              <w:rPr>
                <w:b/>
                <w:bCs/>
                <w:sz w:val="20"/>
                <w:szCs w:val="20"/>
                <w:lang w:eastAsia="en-GB"/>
              </w:rPr>
            </w:pPr>
            <w:r w:rsidRPr="00AC5A83">
              <w:rPr>
                <w:b/>
                <w:bCs/>
                <w:sz w:val="20"/>
                <w:szCs w:val="20"/>
                <w:lang w:eastAsia="en-GB"/>
              </w:rPr>
              <w:t>1,147,898</w:t>
            </w:r>
          </w:p>
        </w:tc>
        <w:tc>
          <w:tcPr>
            <w:tcW w:w="1260" w:type="dxa"/>
            <w:tcBorders>
              <w:top w:val="single" w:sz="4" w:space="0" w:color="auto"/>
              <w:left w:val="nil"/>
              <w:bottom w:val="nil"/>
              <w:right w:val="single" w:sz="4" w:space="0" w:color="auto"/>
            </w:tcBorders>
            <w:shd w:val="clear" w:color="auto" w:fill="auto"/>
            <w:noWrap/>
            <w:vAlign w:val="bottom"/>
            <w:hideMark/>
          </w:tcPr>
          <w:p w14:paraId="74F59FDF" w14:textId="77777777" w:rsidR="00CE6999" w:rsidRPr="00AC5A83" w:rsidRDefault="00775CCD" w:rsidP="00CE6999">
            <w:pPr>
              <w:jc w:val="right"/>
              <w:rPr>
                <w:b/>
                <w:bCs/>
                <w:sz w:val="20"/>
                <w:szCs w:val="20"/>
                <w:lang w:eastAsia="en-GB"/>
              </w:rPr>
            </w:pPr>
            <w:r w:rsidRPr="00AC5A83">
              <w:rPr>
                <w:b/>
                <w:bCs/>
                <w:sz w:val="20"/>
                <w:szCs w:val="20"/>
                <w:lang w:eastAsia="en-GB"/>
              </w:rPr>
              <w:t>-74,347</w:t>
            </w:r>
          </w:p>
        </w:tc>
        <w:tc>
          <w:tcPr>
            <w:tcW w:w="1339" w:type="dxa"/>
            <w:tcBorders>
              <w:top w:val="single" w:sz="4" w:space="0" w:color="auto"/>
              <w:left w:val="nil"/>
              <w:bottom w:val="nil"/>
              <w:right w:val="single" w:sz="4" w:space="0" w:color="auto"/>
            </w:tcBorders>
            <w:shd w:val="clear" w:color="auto" w:fill="auto"/>
            <w:noWrap/>
            <w:vAlign w:val="bottom"/>
            <w:hideMark/>
          </w:tcPr>
          <w:p w14:paraId="0E0324DA" w14:textId="77777777" w:rsidR="00CE6999" w:rsidRPr="00AC5A83" w:rsidRDefault="00775CCD" w:rsidP="00CE6999">
            <w:pPr>
              <w:jc w:val="right"/>
              <w:rPr>
                <w:b/>
                <w:bCs/>
                <w:sz w:val="20"/>
                <w:szCs w:val="20"/>
                <w:lang w:eastAsia="en-GB"/>
              </w:rPr>
            </w:pPr>
            <w:r w:rsidRPr="00AC5A83">
              <w:rPr>
                <w:b/>
                <w:bCs/>
                <w:sz w:val="20"/>
                <w:szCs w:val="20"/>
                <w:lang w:eastAsia="en-GB"/>
              </w:rPr>
              <w:t>0</w:t>
            </w:r>
          </w:p>
        </w:tc>
        <w:tc>
          <w:tcPr>
            <w:tcW w:w="1320" w:type="dxa"/>
            <w:tcBorders>
              <w:top w:val="single" w:sz="4" w:space="0" w:color="auto"/>
              <w:left w:val="nil"/>
              <w:bottom w:val="nil"/>
              <w:right w:val="single" w:sz="4" w:space="0" w:color="auto"/>
            </w:tcBorders>
            <w:shd w:val="clear" w:color="000000" w:fill="DCE6F1"/>
            <w:noWrap/>
            <w:vAlign w:val="bottom"/>
            <w:hideMark/>
          </w:tcPr>
          <w:p w14:paraId="29A975F8" w14:textId="77777777" w:rsidR="00CE6999" w:rsidRPr="00AC5A83" w:rsidRDefault="00775CCD" w:rsidP="00CE6999">
            <w:pPr>
              <w:jc w:val="right"/>
              <w:rPr>
                <w:b/>
                <w:bCs/>
                <w:sz w:val="20"/>
                <w:szCs w:val="20"/>
                <w:lang w:eastAsia="en-GB"/>
              </w:rPr>
            </w:pPr>
            <w:r w:rsidRPr="00AC5A83">
              <w:rPr>
                <w:b/>
                <w:bCs/>
                <w:sz w:val="20"/>
                <w:szCs w:val="20"/>
                <w:lang w:eastAsia="en-GB"/>
              </w:rPr>
              <w:t>1,073,551</w:t>
            </w:r>
          </w:p>
        </w:tc>
        <w:tc>
          <w:tcPr>
            <w:tcW w:w="1180" w:type="dxa"/>
            <w:tcBorders>
              <w:top w:val="single" w:sz="4" w:space="0" w:color="auto"/>
              <w:left w:val="nil"/>
              <w:bottom w:val="nil"/>
              <w:right w:val="single" w:sz="4" w:space="0" w:color="auto"/>
            </w:tcBorders>
            <w:shd w:val="clear" w:color="auto" w:fill="auto"/>
            <w:noWrap/>
            <w:vAlign w:val="bottom"/>
            <w:hideMark/>
          </w:tcPr>
          <w:p w14:paraId="651F7C77" w14:textId="77777777" w:rsidR="00CE6999" w:rsidRPr="00AC5A83" w:rsidRDefault="00775CCD" w:rsidP="00CE6999">
            <w:pPr>
              <w:jc w:val="right"/>
              <w:rPr>
                <w:b/>
                <w:bCs/>
                <w:sz w:val="20"/>
                <w:szCs w:val="20"/>
                <w:lang w:eastAsia="en-GB"/>
              </w:rPr>
            </w:pPr>
            <w:r w:rsidRPr="00AC5A83">
              <w:rPr>
                <w:b/>
                <w:bCs/>
                <w:sz w:val="20"/>
                <w:szCs w:val="20"/>
                <w:lang w:eastAsia="en-GB"/>
              </w:rPr>
              <w:t>-75,096</w:t>
            </w:r>
          </w:p>
        </w:tc>
        <w:tc>
          <w:tcPr>
            <w:tcW w:w="1140" w:type="dxa"/>
            <w:tcBorders>
              <w:top w:val="single" w:sz="4" w:space="0" w:color="auto"/>
              <w:left w:val="nil"/>
              <w:bottom w:val="nil"/>
              <w:right w:val="single" w:sz="4" w:space="0" w:color="auto"/>
            </w:tcBorders>
            <w:shd w:val="clear" w:color="auto" w:fill="auto"/>
            <w:noWrap/>
            <w:vAlign w:val="bottom"/>
            <w:hideMark/>
          </w:tcPr>
          <w:p w14:paraId="03F6C51D" w14:textId="77777777" w:rsidR="00CE6999" w:rsidRPr="00AC5A83" w:rsidRDefault="00CE6999" w:rsidP="00CE6999">
            <w:pPr>
              <w:jc w:val="right"/>
              <w:rPr>
                <w:b/>
                <w:bCs/>
                <w:sz w:val="20"/>
                <w:szCs w:val="20"/>
                <w:lang w:eastAsia="en-GB"/>
              </w:rPr>
            </w:pPr>
            <w:r w:rsidRPr="00AC5A83">
              <w:rPr>
                <w:b/>
                <w:bCs/>
                <w:sz w:val="20"/>
                <w:szCs w:val="20"/>
                <w:lang w:eastAsia="en-GB"/>
              </w:rPr>
              <w:t>0</w:t>
            </w:r>
          </w:p>
        </w:tc>
        <w:tc>
          <w:tcPr>
            <w:tcW w:w="1200" w:type="dxa"/>
            <w:tcBorders>
              <w:top w:val="single" w:sz="4" w:space="0" w:color="auto"/>
              <w:left w:val="nil"/>
              <w:bottom w:val="nil"/>
              <w:right w:val="single" w:sz="4" w:space="0" w:color="auto"/>
            </w:tcBorders>
            <w:shd w:val="clear" w:color="auto" w:fill="auto"/>
            <w:noWrap/>
            <w:vAlign w:val="bottom"/>
            <w:hideMark/>
          </w:tcPr>
          <w:p w14:paraId="2CF4A1E2" w14:textId="77777777" w:rsidR="00CE6999" w:rsidRPr="00AC5A83" w:rsidRDefault="00CE6999" w:rsidP="00CE6999">
            <w:pPr>
              <w:jc w:val="right"/>
              <w:rPr>
                <w:b/>
                <w:bCs/>
                <w:sz w:val="20"/>
                <w:szCs w:val="20"/>
                <w:lang w:eastAsia="en-GB"/>
              </w:rPr>
            </w:pPr>
            <w:r w:rsidRPr="00AC5A83">
              <w:rPr>
                <w:b/>
                <w:bCs/>
                <w:sz w:val="20"/>
                <w:szCs w:val="20"/>
                <w:lang w:eastAsia="en-GB"/>
              </w:rPr>
              <w:t>0</w:t>
            </w:r>
          </w:p>
        </w:tc>
        <w:tc>
          <w:tcPr>
            <w:tcW w:w="1360" w:type="dxa"/>
            <w:tcBorders>
              <w:top w:val="single" w:sz="4" w:space="0" w:color="auto"/>
              <w:left w:val="single" w:sz="4" w:space="0" w:color="auto"/>
              <w:bottom w:val="nil"/>
              <w:right w:val="single" w:sz="8" w:space="0" w:color="auto"/>
            </w:tcBorders>
            <w:shd w:val="clear" w:color="auto" w:fill="auto"/>
            <w:noWrap/>
            <w:vAlign w:val="bottom"/>
            <w:hideMark/>
          </w:tcPr>
          <w:p w14:paraId="3FF3255B" w14:textId="77777777" w:rsidR="00CE6999" w:rsidRPr="00AC5A83" w:rsidRDefault="00775CCD" w:rsidP="00CE6999">
            <w:pPr>
              <w:jc w:val="right"/>
              <w:rPr>
                <w:b/>
                <w:bCs/>
                <w:sz w:val="20"/>
                <w:szCs w:val="20"/>
                <w:lang w:eastAsia="en-GB"/>
              </w:rPr>
            </w:pPr>
            <w:r w:rsidRPr="00AC5A83">
              <w:rPr>
                <w:b/>
                <w:bCs/>
                <w:sz w:val="20"/>
                <w:szCs w:val="20"/>
                <w:lang w:eastAsia="en-GB"/>
              </w:rPr>
              <w:t>0</w:t>
            </w:r>
          </w:p>
        </w:tc>
      </w:tr>
      <w:tr w:rsidR="00D1663B" w:rsidRPr="004F47DA" w14:paraId="60303B43" w14:textId="77777777" w:rsidTr="00E42950">
        <w:trPr>
          <w:trHeight w:val="263"/>
        </w:trPr>
        <w:tc>
          <w:tcPr>
            <w:tcW w:w="4500" w:type="dxa"/>
            <w:tcBorders>
              <w:top w:val="nil"/>
              <w:left w:val="single" w:sz="8" w:space="0" w:color="auto"/>
              <w:bottom w:val="nil"/>
              <w:right w:val="nil"/>
            </w:tcBorders>
            <w:shd w:val="clear" w:color="auto" w:fill="auto"/>
            <w:noWrap/>
            <w:vAlign w:val="bottom"/>
            <w:hideMark/>
          </w:tcPr>
          <w:p w14:paraId="357801D7"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440" w:type="dxa"/>
            <w:tcBorders>
              <w:top w:val="nil"/>
              <w:left w:val="single" w:sz="4" w:space="0" w:color="auto"/>
              <w:bottom w:val="nil"/>
              <w:right w:val="single" w:sz="4" w:space="0" w:color="auto"/>
            </w:tcBorders>
            <w:shd w:val="clear" w:color="auto" w:fill="auto"/>
            <w:noWrap/>
            <w:vAlign w:val="bottom"/>
            <w:hideMark/>
          </w:tcPr>
          <w:p w14:paraId="57EB6235" w14:textId="77777777" w:rsidR="00CE6999" w:rsidRPr="00AC5A83" w:rsidRDefault="00CE6999" w:rsidP="00CE6999">
            <w:pPr>
              <w:rPr>
                <w:sz w:val="20"/>
                <w:szCs w:val="20"/>
                <w:lang w:eastAsia="en-GB"/>
              </w:rPr>
            </w:pPr>
            <w:r w:rsidRPr="00AC5A83">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7C236191" w14:textId="77777777" w:rsidR="00CE6999" w:rsidRPr="00AC5A83" w:rsidRDefault="00CE6999" w:rsidP="00CE6999">
            <w:pPr>
              <w:rPr>
                <w:sz w:val="20"/>
                <w:szCs w:val="20"/>
                <w:lang w:eastAsia="en-GB"/>
              </w:rPr>
            </w:pPr>
            <w:r w:rsidRPr="00AC5A83">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74630177" w14:textId="77777777" w:rsidR="00CE6999" w:rsidRPr="00AC5A83" w:rsidRDefault="00CE6999" w:rsidP="00CE6999">
            <w:pPr>
              <w:rPr>
                <w:sz w:val="20"/>
                <w:szCs w:val="20"/>
                <w:lang w:eastAsia="en-GB"/>
              </w:rPr>
            </w:pPr>
            <w:r w:rsidRPr="00AC5A83">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153C33EF" w14:textId="77777777" w:rsidR="00CE6999" w:rsidRPr="00AC5A83" w:rsidRDefault="00CE6999" w:rsidP="00CE6999">
            <w:pPr>
              <w:rPr>
                <w:b/>
                <w:bCs/>
                <w:color w:val="000000"/>
                <w:sz w:val="20"/>
                <w:szCs w:val="20"/>
                <w:lang w:eastAsia="en-GB"/>
              </w:rPr>
            </w:pPr>
            <w:r w:rsidRPr="00AC5A83">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41A11B7C"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140" w:type="dxa"/>
            <w:tcBorders>
              <w:top w:val="nil"/>
              <w:left w:val="nil"/>
              <w:bottom w:val="nil"/>
              <w:right w:val="nil"/>
            </w:tcBorders>
            <w:shd w:val="clear" w:color="auto" w:fill="auto"/>
            <w:noWrap/>
            <w:vAlign w:val="bottom"/>
            <w:hideMark/>
          </w:tcPr>
          <w:p w14:paraId="5CA83EB5" w14:textId="77777777" w:rsidR="00CE6999" w:rsidRPr="00AC5A83" w:rsidRDefault="00CE6999" w:rsidP="00CE6999">
            <w:pPr>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bottom"/>
            <w:hideMark/>
          </w:tcPr>
          <w:p w14:paraId="3D7A9DB7"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240147E7" w14:textId="77777777" w:rsidR="00CE6999" w:rsidRPr="00AC5A83" w:rsidRDefault="00CE6999" w:rsidP="00CE6999">
            <w:pPr>
              <w:rPr>
                <w:color w:val="000000"/>
                <w:sz w:val="20"/>
                <w:szCs w:val="20"/>
                <w:lang w:eastAsia="en-GB"/>
              </w:rPr>
            </w:pPr>
            <w:r w:rsidRPr="00AC5A83">
              <w:rPr>
                <w:color w:val="000000"/>
                <w:sz w:val="20"/>
                <w:szCs w:val="20"/>
                <w:lang w:eastAsia="en-GB"/>
              </w:rPr>
              <w:t> </w:t>
            </w:r>
          </w:p>
        </w:tc>
      </w:tr>
      <w:tr w:rsidR="00D1663B" w:rsidRPr="004F47DA" w14:paraId="61D6CAF6" w14:textId="77777777" w:rsidTr="000408B1">
        <w:trPr>
          <w:trHeight w:val="263"/>
        </w:trPr>
        <w:tc>
          <w:tcPr>
            <w:tcW w:w="4500" w:type="dxa"/>
            <w:tcBorders>
              <w:top w:val="nil"/>
              <w:left w:val="single" w:sz="8" w:space="0" w:color="auto"/>
              <w:bottom w:val="nil"/>
              <w:right w:val="nil"/>
            </w:tcBorders>
            <w:shd w:val="clear" w:color="auto" w:fill="auto"/>
            <w:noWrap/>
            <w:vAlign w:val="center"/>
            <w:hideMark/>
          </w:tcPr>
          <w:p w14:paraId="355E6B15" w14:textId="77777777" w:rsidR="00A36626" w:rsidRPr="00AC5A83" w:rsidRDefault="00A36626" w:rsidP="00A36626">
            <w:pPr>
              <w:rPr>
                <w:b/>
                <w:bCs/>
                <w:color w:val="000000"/>
                <w:sz w:val="20"/>
                <w:szCs w:val="20"/>
                <w:lang w:eastAsia="en-GB"/>
              </w:rPr>
            </w:pPr>
            <w:r w:rsidRPr="00AC5A83">
              <w:rPr>
                <w:b/>
                <w:bCs/>
                <w:color w:val="000000"/>
                <w:sz w:val="20"/>
                <w:szCs w:val="20"/>
              </w:rPr>
              <w:t>Operational</w:t>
            </w:r>
          </w:p>
        </w:tc>
        <w:tc>
          <w:tcPr>
            <w:tcW w:w="1440" w:type="dxa"/>
            <w:tcBorders>
              <w:top w:val="nil"/>
              <w:left w:val="single" w:sz="4" w:space="0" w:color="auto"/>
              <w:bottom w:val="nil"/>
              <w:right w:val="single" w:sz="4" w:space="0" w:color="auto"/>
            </w:tcBorders>
            <w:shd w:val="clear" w:color="auto" w:fill="auto"/>
            <w:noWrap/>
            <w:vAlign w:val="center"/>
            <w:hideMark/>
          </w:tcPr>
          <w:p w14:paraId="023ED422" w14:textId="77777777" w:rsidR="00A36626" w:rsidRPr="00AC5A83" w:rsidRDefault="00A36626" w:rsidP="00A36626">
            <w:pPr>
              <w:jc w:val="right"/>
              <w:rPr>
                <w:sz w:val="20"/>
                <w:szCs w:val="20"/>
                <w:lang w:eastAsia="en-GB"/>
              </w:rPr>
            </w:pPr>
            <w:r w:rsidRPr="00AC5A83">
              <w:rPr>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3F5CC51D" w14:textId="77777777" w:rsidR="00A36626" w:rsidRPr="00AC5A83" w:rsidRDefault="00A36626" w:rsidP="00A36626">
            <w:pPr>
              <w:jc w:val="right"/>
              <w:rPr>
                <w:sz w:val="20"/>
                <w:szCs w:val="20"/>
                <w:lang w:eastAsia="en-GB"/>
              </w:rPr>
            </w:pPr>
            <w:r w:rsidRPr="00AC5A83">
              <w:rPr>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6502BC2E" w14:textId="77777777" w:rsidR="00A36626" w:rsidRPr="00AC5A83" w:rsidRDefault="00A36626" w:rsidP="00A36626">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4FA2EF7" w14:textId="77777777" w:rsidR="00A36626" w:rsidRPr="00AC5A83" w:rsidRDefault="00A36626" w:rsidP="00A36626">
            <w:pPr>
              <w:jc w:val="right"/>
              <w:rPr>
                <w:b/>
                <w:bCs/>
                <w:color w:val="000000"/>
                <w:sz w:val="20"/>
                <w:szCs w:val="20"/>
                <w:lang w:eastAsia="en-GB"/>
              </w:rPr>
            </w:pPr>
            <w:r w:rsidRPr="00AC5A83">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7CE8960A" w14:textId="77777777" w:rsidR="00A36626" w:rsidRPr="00AC5A83" w:rsidRDefault="00A36626" w:rsidP="00A36626">
            <w:pPr>
              <w:jc w:val="right"/>
              <w:rPr>
                <w:color w:val="000000"/>
                <w:sz w:val="20"/>
                <w:szCs w:val="20"/>
                <w:lang w:eastAsia="en-GB"/>
              </w:rPr>
            </w:pPr>
            <w:r w:rsidRPr="00AC5A83">
              <w:rPr>
                <w:color w:val="000000"/>
                <w:sz w:val="20"/>
                <w:szCs w:val="20"/>
              </w:rPr>
              <w:t> </w:t>
            </w:r>
          </w:p>
        </w:tc>
        <w:tc>
          <w:tcPr>
            <w:tcW w:w="1140" w:type="dxa"/>
            <w:tcBorders>
              <w:top w:val="nil"/>
              <w:left w:val="nil"/>
              <w:bottom w:val="nil"/>
              <w:right w:val="nil"/>
            </w:tcBorders>
            <w:shd w:val="clear" w:color="auto" w:fill="auto"/>
            <w:noWrap/>
            <w:vAlign w:val="bottom"/>
            <w:hideMark/>
          </w:tcPr>
          <w:p w14:paraId="01D0F573" w14:textId="77777777" w:rsidR="00A36626" w:rsidRPr="00AC5A83"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4864DAF9" w14:textId="77777777" w:rsidR="00A36626" w:rsidRPr="00AC5A83" w:rsidRDefault="00A36626" w:rsidP="00A36626">
            <w:pPr>
              <w:jc w:val="right"/>
              <w:rPr>
                <w:color w:val="000000"/>
                <w:sz w:val="20"/>
                <w:szCs w:val="20"/>
                <w:lang w:eastAsia="en-GB"/>
              </w:rPr>
            </w:pPr>
            <w:r w:rsidRPr="00AC5A83">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0316404" w14:textId="77777777" w:rsidR="00A36626" w:rsidRPr="00AC5A83" w:rsidRDefault="00A36626" w:rsidP="00A36626">
            <w:pPr>
              <w:jc w:val="right"/>
              <w:rPr>
                <w:color w:val="000000"/>
                <w:sz w:val="20"/>
                <w:szCs w:val="20"/>
                <w:lang w:eastAsia="en-GB"/>
              </w:rPr>
            </w:pPr>
            <w:r w:rsidRPr="00AC5A83">
              <w:rPr>
                <w:color w:val="000000"/>
                <w:sz w:val="20"/>
                <w:szCs w:val="20"/>
              </w:rPr>
              <w:t> </w:t>
            </w:r>
          </w:p>
        </w:tc>
      </w:tr>
      <w:tr w:rsidR="00D1663B" w:rsidRPr="004F47DA" w14:paraId="12BE45F7"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08353396" w14:textId="77777777" w:rsidR="00A36626" w:rsidRPr="00AC5A83" w:rsidRDefault="00A36626" w:rsidP="00A36626">
            <w:pPr>
              <w:rPr>
                <w:color w:val="000000"/>
                <w:sz w:val="20"/>
                <w:szCs w:val="20"/>
                <w:lang w:eastAsia="en-GB"/>
              </w:rPr>
            </w:pPr>
            <w:r w:rsidRPr="00AC5A83">
              <w:rPr>
                <w:color w:val="000000"/>
                <w:sz w:val="20"/>
                <w:szCs w:val="20"/>
              </w:rPr>
              <w:t xml:space="preserve">Operational Equipment </w:t>
            </w:r>
          </w:p>
        </w:tc>
        <w:tc>
          <w:tcPr>
            <w:tcW w:w="1440" w:type="dxa"/>
            <w:tcBorders>
              <w:top w:val="nil"/>
              <w:left w:val="single" w:sz="4" w:space="0" w:color="auto"/>
              <w:bottom w:val="nil"/>
              <w:right w:val="single" w:sz="4" w:space="0" w:color="auto"/>
            </w:tcBorders>
            <w:shd w:val="clear" w:color="auto" w:fill="auto"/>
            <w:noWrap/>
            <w:vAlign w:val="center"/>
            <w:hideMark/>
          </w:tcPr>
          <w:p w14:paraId="7C08AA66" w14:textId="77777777" w:rsidR="00A36626" w:rsidRPr="00AC5A83" w:rsidRDefault="00A36626" w:rsidP="00A36626">
            <w:pPr>
              <w:jc w:val="right"/>
              <w:rPr>
                <w:sz w:val="20"/>
                <w:szCs w:val="20"/>
                <w:lang w:eastAsia="en-GB"/>
              </w:rPr>
            </w:pPr>
            <w:r w:rsidRPr="00AC5A83">
              <w:rPr>
                <w:color w:val="000000"/>
                <w:sz w:val="20"/>
                <w:szCs w:val="20"/>
              </w:rPr>
              <w:t>19,992</w:t>
            </w:r>
          </w:p>
        </w:tc>
        <w:tc>
          <w:tcPr>
            <w:tcW w:w="1260" w:type="dxa"/>
            <w:tcBorders>
              <w:top w:val="nil"/>
              <w:left w:val="nil"/>
              <w:bottom w:val="nil"/>
              <w:right w:val="single" w:sz="4" w:space="0" w:color="auto"/>
            </w:tcBorders>
            <w:shd w:val="clear" w:color="auto" w:fill="auto"/>
            <w:noWrap/>
            <w:vAlign w:val="center"/>
            <w:hideMark/>
          </w:tcPr>
          <w:p w14:paraId="737E11FF" w14:textId="77777777" w:rsidR="00A36626" w:rsidRPr="00AC5A83" w:rsidRDefault="00A36626" w:rsidP="00A36626">
            <w:pPr>
              <w:jc w:val="right"/>
              <w:rPr>
                <w:sz w:val="20"/>
                <w:szCs w:val="20"/>
                <w:lang w:eastAsia="en-GB"/>
              </w:rPr>
            </w:pPr>
            <w:r w:rsidRPr="00AC5A83">
              <w:rPr>
                <w:color w:val="000000"/>
                <w:sz w:val="20"/>
                <w:szCs w:val="20"/>
              </w:rPr>
              <w:t>-5,000</w:t>
            </w:r>
          </w:p>
        </w:tc>
        <w:tc>
          <w:tcPr>
            <w:tcW w:w="1339" w:type="dxa"/>
            <w:tcBorders>
              <w:top w:val="nil"/>
              <w:left w:val="nil"/>
              <w:bottom w:val="nil"/>
              <w:right w:val="single" w:sz="4" w:space="0" w:color="auto"/>
            </w:tcBorders>
            <w:shd w:val="clear" w:color="auto" w:fill="auto"/>
            <w:noWrap/>
            <w:vAlign w:val="center"/>
            <w:hideMark/>
          </w:tcPr>
          <w:p w14:paraId="46856915" w14:textId="77777777" w:rsidR="00A36626" w:rsidRPr="00AC5A83" w:rsidRDefault="00A36626" w:rsidP="00A36626">
            <w:pPr>
              <w:jc w:val="right"/>
              <w:rPr>
                <w:sz w:val="20"/>
                <w:szCs w:val="20"/>
                <w:lang w:eastAsia="en-GB"/>
              </w:rPr>
            </w:pPr>
            <w:r w:rsidRPr="00AC5A83">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071D37CE" w14:textId="77777777" w:rsidR="00A36626" w:rsidRPr="00AC5A83" w:rsidRDefault="00A36626" w:rsidP="00A36626">
            <w:pPr>
              <w:jc w:val="right"/>
              <w:rPr>
                <w:b/>
                <w:bCs/>
                <w:color w:val="000000"/>
                <w:sz w:val="20"/>
                <w:szCs w:val="20"/>
                <w:lang w:eastAsia="en-GB"/>
              </w:rPr>
            </w:pPr>
            <w:r w:rsidRPr="00AC5A83">
              <w:rPr>
                <w:b/>
                <w:bCs/>
                <w:color w:val="000000"/>
                <w:sz w:val="20"/>
                <w:szCs w:val="20"/>
              </w:rPr>
              <w:t>14,992</w:t>
            </w:r>
          </w:p>
        </w:tc>
        <w:tc>
          <w:tcPr>
            <w:tcW w:w="1180" w:type="dxa"/>
            <w:tcBorders>
              <w:top w:val="nil"/>
              <w:left w:val="nil"/>
              <w:bottom w:val="nil"/>
              <w:right w:val="single" w:sz="4" w:space="0" w:color="auto"/>
            </w:tcBorders>
            <w:shd w:val="clear" w:color="auto" w:fill="auto"/>
            <w:noWrap/>
            <w:vAlign w:val="center"/>
            <w:hideMark/>
          </w:tcPr>
          <w:p w14:paraId="06F27FE7" w14:textId="77777777" w:rsidR="00A36626" w:rsidRPr="00AC5A83" w:rsidRDefault="00A36626" w:rsidP="00A36626">
            <w:pPr>
              <w:jc w:val="right"/>
              <w:rPr>
                <w:color w:val="000000"/>
                <w:sz w:val="20"/>
                <w:szCs w:val="20"/>
                <w:lang w:eastAsia="en-GB"/>
              </w:rPr>
            </w:pPr>
            <w:r w:rsidRPr="00AC5A83">
              <w:rPr>
                <w:color w:val="000000"/>
                <w:sz w:val="20"/>
                <w:szCs w:val="20"/>
              </w:rPr>
              <w:t>-5</w:t>
            </w:r>
            <w:r w:rsidR="00160010">
              <w:rPr>
                <w:color w:val="000000"/>
                <w:sz w:val="20"/>
                <w:szCs w:val="20"/>
              </w:rPr>
              <w:t>,</w:t>
            </w:r>
            <w:r w:rsidRPr="00AC5A83">
              <w:rPr>
                <w:color w:val="000000"/>
                <w:sz w:val="20"/>
                <w:szCs w:val="20"/>
              </w:rPr>
              <w:t>000</w:t>
            </w:r>
          </w:p>
        </w:tc>
        <w:tc>
          <w:tcPr>
            <w:tcW w:w="1140" w:type="dxa"/>
            <w:tcBorders>
              <w:top w:val="nil"/>
              <w:left w:val="nil"/>
              <w:bottom w:val="nil"/>
              <w:right w:val="nil"/>
            </w:tcBorders>
            <w:shd w:val="clear" w:color="auto" w:fill="auto"/>
            <w:noWrap/>
            <w:vAlign w:val="bottom"/>
            <w:hideMark/>
          </w:tcPr>
          <w:p w14:paraId="20217EE3" w14:textId="77777777" w:rsidR="00A36626" w:rsidRPr="00AC5A83" w:rsidRDefault="00A36626" w:rsidP="00A36626">
            <w:pPr>
              <w:jc w:val="right"/>
              <w:rPr>
                <w:color w:val="000000"/>
                <w:sz w:val="20"/>
                <w:szCs w:val="20"/>
                <w:lang w:eastAsia="en-GB"/>
              </w:rPr>
            </w:pPr>
            <w:r w:rsidRPr="00AC5A83">
              <w:rPr>
                <w:color w:val="000000"/>
                <w:sz w:val="20"/>
                <w:szCs w:val="20"/>
              </w:rPr>
              <w:t>-5</w:t>
            </w:r>
            <w:r w:rsidR="00160010">
              <w:rPr>
                <w:color w:val="000000"/>
                <w:sz w:val="20"/>
                <w:szCs w:val="20"/>
              </w:rPr>
              <w:t>,</w:t>
            </w:r>
            <w:r w:rsidRPr="00AC5A83">
              <w:rPr>
                <w:color w:val="000000"/>
                <w:sz w:val="20"/>
                <w:szCs w:val="20"/>
              </w:rPr>
              <w:t>000</w:t>
            </w:r>
          </w:p>
        </w:tc>
        <w:tc>
          <w:tcPr>
            <w:tcW w:w="1200" w:type="dxa"/>
            <w:tcBorders>
              <w:top w:val="nil"/>
              <w:left w:val="single" w:sz="4" w:space="0" w:color="auto"/>
              <w:bottom w:val="nil"/>
              <w:right w:val="single" w:sz="4" w:space="0" w:color="auto"/>
            </w:tcBorders>
            <w:shd w:val="clear" w:color="auto" w:fill="auto"/>
            <w:noWrap/>
            <w:vAlign w:val="center"/>
            <w:hideMark/>
          </w:tcPr>
          <w:p w14:paraId="400D8642" w14:textId="77777777" w:rsidR="00A36626" w:rsidRPr="00AC5A83" w:rsidRDefault="00A36626" w:rsidP="00A36626">
            <w:pPr>
              <w:jc w:val="right"/>
              <w:rPr>
                <w:color w:val="000000"/>
                <w:sz w:val="20"/>
                <w:szCs w:val="20"/>
                <w:lang w:eastAsia="en-GB"/>
              </w:rPr>
            </w:pPr>
            <w:r w:rsidRPr="00AC5A83">
              <w:rPr>
                <w:color w:val="000000"/>
                <w:sz w:val="20"/>
                <w:szCs w:val="20"/>
              </w:rPr>
              <w:t>-4</w:t>
            </w:r>
            <w:r w:rsidR="00160010">
              <w:rPr>
                <w:color w:val="000000"/>
                <w:sz w:val="20"/>
                <w:szCs w:val="20"/>
              </w:rPr>
              <w:t>,</w:t>
            </w:r>
            <w:r w:rsidRPr="00AC5A83">
              <w:rPr>
                <w:color w:val="000000"/>
                <w:sz w:val="20"/>
                <w:szCs w:val="20"/>
              </w:rPr>
              <w:t>992</w:t>
            </w:r>
          </w:p>
        </w:tc>
        <w:tc>
          <w:tcPr>
            <w:tcW w:w="1360" w:type="dxa"/>
            <w:tcBorders>
              <w:top w:val="nil"/>
              <w:left w:val="nil"/>
              <w:bottom w:val="nil"/>
              <w:right w:val="single" w:sz="8" w:space="0" w:color="auto"/>
            </w:tcBorders>
            <w:shd w:val="clear" w:color="auto" w:fill="auto"/>
            <w:noWrap/>
            <w:vAlign w:val="center"/>
            <w:hideMark/>
          </w:tcPr>
          <w:p w14:paraId="61E469DE" w14:textId="77777777" w:rsidR="00A36626" w:rsidRPr="00AC5A83" w:rsidRDefault="00A36626" w:rsidP="00A36626">
            <w:pPr>
              <w:jc w:val="right"/>
              <w:rPr>
                <w:color w:val="000000"/>
                <w:sz w:val="20"/>
                <w:szCs w:val="20"/>
                <w:lang w:eastAsia="en-GB"/>
              </w:rPr>
            </w:pPr>
            <w:r w:rsidRPr="00AC5A83">
              <w:rPr>
                <w:color w:val="000000"/>
                <w:sz w:val="20"/>
                <w:szCs w:val="20"/>
              </w:rPr>
              <w:t>0</w:t>
            </w:r>
          </w:p>
        </w:tc>
      </w:tr>
      <w:tr w:rsidR="00D1663B" w:rsidRPr="004F47DA" w14:paraId="21931963"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288EBFD1" w14:textId="77777777" w:rsidR="00A36626" w:rsidRPr="00785601" w:rsidRDefault="00A36626" w:rsidP="00A36626">
            <w:pPr>
              <w:rPr>
                <w:sz w:val="20"/>
                <w:szCs w:val="20"/>
                <w:lang w:eastAsia="en-GB"/>
              </w:rPr>
            </w:pPr>
            <w:r w:rsidRPr="00785601">
              <w:rPr>
                <w:color w:val="000000"/>
                <w:sz w:val="20"/>
                <w:szCs w:val="20"/>
              </w:rPr>
              <w:t>Tri Service Control / Mobilising System</w:t>
            </w:r>
          </w:p>
        </w:tc>
        <w:tc>
          <w:tcPr>
            <w:tcW w:w="1440" w:type="dxa"/>
            <w:tcBorders>
              <w:top w:val="nil"/>
              <w:left w:val="single" w:sz="4" w:space="0" w:color="auto"/>
              <w:bottom w:val="nil"/>
              <w:right w:val="single" w:sz="4" w:space="0" w:color="auto"/>
            </w:tcBorders>
            <w:shd w:val="clear" w:color="auto" w:fill="auto"/>
            <w:noWrap/>
            <w:vAlign w:val="center"/>
            <w:hideMark/>
          </w:tcPr>
          <w:p w14:paraId="0761796A" w14:textId="77777777" w:rsidR="00A36626" w:rsidRPr="00785601" w:rsidRDefault="00A36626" w:rsidP="00A36626">
            <w:pPr>
              <w:jc w:val="right"/>
              <w:rPr>
                <w:sz w:val="20"/>
                <w:szCs w:val="20"/>
                <w:lang w:eastAsia="en-GB"/>
              </w:rPr>
            </w:pPr>
            <w:r w:rsidRPr="00785601">
              <w:rPr>
                <w:color w:val="000000"/>
                <w:sz w:val="20"/>
                <w:szCs w:val="20"/>
              </w:rPr>
              <w:t>349,836</w:t>
            </w:r>
          </w:p>
        </w:tc>
        <w:tc>
          <w:tcPr>
            <w:tcW w:w="1260" w:type="dxa"/>
            <w:tcBorders>
              <w:top w:val="nil"/>
              <w:left w:val="nil"/>
              <w:bottom w:val="nil"/>
              <w:right w:val="single" w:sz="4" w:space="0" w:color="auto"/>
            </w:tcBorders>
            <w:shd w:val="clear" w:color="auto" w:fill="auto"/>
            <w:noWrap/>
            <w:vAlign w:val="center"/>
          </w:tcPr>
          <w:p w14:paraId="417B8BBC" w14:textId="77777777" w:rsidR="00A36626" w:rsidRPr="00785601" w:rsidRDefault="00A36626" w:rsidP="00A36626">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3BAC75ED" w14:textId="77777777" w:rsidR="00A36626" w:rsidRPr="00785601" w:rsidRDefault="00A36626" w:rsidP="00A36626">
            <w:pPr>
              <w:jc w:val="right"/>
              <w:rPr>
                <w:sz w:val="20"/>
                <w:szCs w:val="20"/>
                <w:lang w:eastAsia="en-GB"/>
              </w:rPr>
            </w:pPr>
            <w:r w:rsidRPr="00785601">
              <w:rPr>
                <w:color w:val="000000"/>
                <w:sz w:val="20"/>
                <w:szCs w:val="20"/>
              </w:rPr>
              <w:t>-349,836</w:t>
            </w:r>
          </w:p>
        </w:tc>
        <w:tc>
          <w:tcPr>
            <w:tcW w:w="1320" w:type="dxa"/>
            <w:tcBorders>
              <w:top w:val="nil"/>
              <w:left w:val="nil"/>
              <w:bottom w:val="nil"/>
              <w:right w:val="single" w:sz="4" w:space="0" w:color="auto"/>
            </w:tcBorders>
            <w:shd w:val="clear" w:color="000000" w:fill="DCE6F1"/>
            <w:noWrap/>
            <w:vAlign w:val="center"/>
            <w:hideMark/>
          </w:tcPr>
          <w:p w14:paraId="6234DBA3" w14:textId="77777777" w:rsidR="00A36626" w:rsidRPr="00785601" w:rsidRDefault="00A36626" w:rsidP="00A36626">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nil"/>
              <w:right w:val="single" w:sz="4" w:space="0" w:color="auto"/>
            </w:tcBorders>
            <w:shd w:val="clear" w:color="auto" w:fill="auto"/>
            <w:noWrap/>
            <w:vAlign w:val="center"/>
            <w:hideMark/>
          </w:tcPr>
          <w:p w14:paraId="20DAF48D"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nil"/>
            </w:tcBorders>
            <w:shd w:val="clear" w:color="auto" w:fill="auto"/>
            <w:noWrap/>
            <w:vAlign w:val="center"/>
            <w:hideMark/>
          </w:tcPr>
          <w:p w14:paraId="0AE49420" w14:textId="77777777" w:rsidR="00A36626" w:rsidRPr="00785601"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7E134D5D"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458BDC66" w14:textId="77777777" w:rsidR="00A36626" w:rsidRPr="00785601" w:rsidRDefault="00A36626" w:rsidP="00A36626">
            <w:pPr>
              <w:jc w:val="right"/>
              <w:rPr>
                <w:color w:val="000000"/>
                <w:sz w:val="20"/>
                <w:szCs w:val="20"/>
                <w:lang w:eastAsia="en-GB"/>
              </w:rPr>
            </w:pPr>
            <w:r w:rsidRPr="00785601">
              <w:rPr>
                <w:color w:val="000000"/>
                <w:sz w:val="20"/>
                <w:szCs w:val="20"/>
              </w:rPr>
              <w:t>0</w:t>
            </w:r>
          </w:p>
        </w:tc>
      </w:tr>
      <w:tr w:rsidR="00D1663B" w:rsidRPr="004F47DA" w14:paraId="342472A0"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2341A6C2" w14:textId="77777777" w:rsidR="00A36626" w:rsidRPr="00785601" w:rsidRDefault="00A36626" w:rsidP="00A36626">
            <w:pPr>
              <w:rPr>
                <w:sz w:val="20"/>
                <w:szCs w:val="20"/>
                <w:lang w:eastAsia="en-GB"/>
              </w:rPr>
            </w:pPr>
            <w:r w:rsidRPr="00785601">
              <w:rPr>
                <w:color w:val="000000"/>
                <w:sz w:val="20"/>
                <w:szCs w:val="20"/>
              </w:rPr>
              <w:t xml:space="preserve">Tri Service Control - Mobile Data Terminals </w:t>
            </w:r>
          </w:p>
        </w:tc>
        <w:tc>
          <w:tcPr>
            <w:tcW w:w="1440" w:type="dxa"/>
            <w:tcBorders>
              <w:top w:val="nil"/>
              <w:left w:val="single" w:sz="4" w:space="0" w:color="auto"/>
              <w:bottom w:val="nil"/>
              <w:right w:val="single" w:sz="4" w:space="0" w:color="auto"/>
            </w:tcBorders>
            <w:shd w:val="clear" w:color="auto" w:fill="auto"/>
            <w:noWrap/>
            <w:vAlign w:val="center"/>
            <w:hideMark/>
          </w:tcPr>
          <w:p w14:paraId="28A7385F" w14:textId="77777777" w:rsidR="00A36626" w:rsidRPr="00785601" w:rsidRDefault="00A36626" w:rsidP="00A36626">
            <w:pPr>
              <w:jc w:val="right"/>
              <w:rPr>
                <w:sz w:val="20"/>
                <w:szCs w:val="20"/>
                <w:lang w:eastAsia="en-GB"/>
              </w:rPr>
            </w:pPr>
            <w:r w:rsidRPr="00785601">
              <w:rPr>
                <w:color w:val="000000"/>
                <w:sz w:val="20"/>
                <w:szCs w:val="20"/>
              </w:rPr>
              <w:t>100,000</w:t>
            </w:r>
          </w:p>
        </w:tc>
        <w:tc>
          <w:tcPr>
            <w:tcW w:w="1260" w:type="dxa"/>
            <w:tcBorders>
              <w:top w:val="nil"/>
              <w:left w:val="nil"/>
              <w:bottom w:val="nil"/>
              <w:right w:val="single" w:sz="4" w:space="0" w:color="auto"/>
            </w:tcBorders>
            <w:shd w:val="clear" w:color="auto" w:fill="auto"/>
            <w:noWrap/>
            <w:vAlign w:val="center"/>
          </w:tcPr>
          <w:p w14:paraId="322A4A76" w14:textId="77777777" w:rsidR="00A36626" w:rsidRPr="00785601" w:rsidRDefault="00A36626" w:rsidP="00A36626">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1B776251" w14:textId="77777777" w:rsidR="00A36626" w:rsidRPr="00785601" w:rsidRDefault="00A36626" w:rsidP="00A36626">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4E0381E9" w14:textId="77777777" w:rsidR="00A36626" w:rsidRPr="00785601" w:rsidRDefault="00A36626" w:rsidP="00A36626">
            <w:pPr>
              <w:jc w:val="right"/>
              <w:rPr>
                <w:b/>
                <w:bCs/>
                <w:color w:val="000000"/>
                <w:sz w:val="20"/>
                <w:szCs w:val="20"/>
                <w:lang w:eastAsia="en-GB"/>
              </w:rPr>
            </w:pPr>
            <w:r w:rsidRPr="00785601">
              <w:rPr>
                <w:b/>
                <w:bCs/>
                <w:color w:val="000000"/>
                <w:sz w:val="20"/>
                <w:szCs w:val="20"/>
              </w:rPr>
              <w:t>100,000</w:t>
            </w:r>
          </w:p>
        </w:tc>
        <w:tc>
          <w:tcPr>
            <w:tcW w:w="1180" w:type="dxa"/>
            <w:tcBorders>
              <w:top w:val="nil"/>
              <w:left w:val="nil"/>
              <w:bottom w:val="nil"/>
              <w:right w:val="single" w:sz="4" w:space="0" w:color="auto"/>
            </w:tcBorders>
            <w:shd w:val="clear" w:color="auto" w:fill="auto"/>
            <w:noWrap/>
            <w:vAlign w:val="center"/>
            <w:hideMark/>
          </w:tcPr>
          <w:p w14:paraId="779BA23B" w14:textId="77777777" w:rsidR="00A36626" w:rsidRPr="00785601" w:rsidRDefault="00A36626" w:rsidP="00A36626">
            <w:pPr>
              <w:jc w:val="right"/>
              <w:rPr>
                <w:color w:val="000000"/>
                <w:sz w:val="20"/>
                <w:szCs w:val="20"/>
                <w:lang w:eastAsia="en-GB"/>
              </w:rPr>
            </w:pPr>
            <w:r w:rsidRPr="00785601">
              <w:rPr>
                <w:color w:val="000000"/>
                <w:sz w:val="20"/>
                <w:szCs w:val="20"/>
              </w:rPr>
              <w:t>-100</w:t>
            </w:r>
            <w:r w:rsidR="00160010">
              <w:rPr>
                <w:color w:val="000000"/>
                <w:sz w:val="20"/>
                <w:szCs w:val="20"/>
              </w:rPr>
              <w:t>,</w:t>
            </w:r>
            <w:r w:rsidRPr="00785601">
              <w:rPr>
                <w:color w:val="000000"/>
                <w:sz w:val="20"/>
                <w:szCs w:val="20"/>
              </w:rPr>
              <w:t>000</w:t>
            </w:r>
          </w:p>
        </w:tc>
        <w:tc>
          <w:tcPr>
            <w:tcW w:w="1140" w:type="dxa"/>
            <w:tcBorders>
              <w:top w:val="nil"/>
              <w:left w:val="nil"/>
              <w:bottom w:val="nil"/>
              <w:right w:val="nil"/>
            </w:tcBorders>
            <w:shd w:val="clear" w:color="auto" w:fill="auto"/>
            <w:noWrap/>
            <w:vAlign w:val="center"/>
            <w:hideMark/>
          </w:tcPr>
          <w:p w14:paraId="28ABA26D" w14:textId="77777777" w:rsidR="00A36626" w:rsidRPr="00785601"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5B830623"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4C8F650D" w14:textId="77777777" w:rsidR="00A36626" w:rsidRPr="00785601" w:rsidRDefault="00A36626" w:rsidP="00A36626">
            <w:pPr>
              <w:jc w:val="right"/>
              <w:rPr>
                <w:color w:val="000000"/>
                <w:sz w:val="20"/>
                <w:szCs w:val="20"/>
                <w:lang w:eastAsia="en-GB"/>
              </w:rPr>
            </w:pPr>
            <w:r w:rsidRPr="00785601">
              <w:rPr>
                <w:color w:val="000000"/>
                <w:sz w:val="20"/>
                <w:szCs w:val="20"/>
              </w:rPr>
              <w:t>0</w:t>
            </w:r>
          </w:p>
        </w:tc>
      </w:tr>
      <w:tr w:rsidR="00D1663B" w:rsidRPr="004F47DA" w14:paraId="501724BE"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754E21DD" w14:textId="77777777" w:rsidR="00A36626" w:rsidRPr="00BC4756" w:rsidRDefault="00A36626" w:rsidP="00A36626">
            <w:pPr>
              <w:rPr>
                <w:color w:val="000000"/>
                <w:sz w:val="20"/>
                <w:szCs w:val="20"/>
                <w:highlight w:val="yellow"/>
                <w:lang w:eastAsia="en-GB"/>
              </w:rPr>
            </w:pPr>
            <w:r w:rsidRPr="00941188">
              <w:rPr>
                <w:color w:val="000000"/>
                <w:sz w:val="20"/>
                <w:szCs w:val="20"/>
              </w:rPr>
              <w:t>Replacement Mobilising System</w:t>
            </w:r>
          </w:p>
        </w:tc>
        <w:tc>
          <w:tcPr>
            <w:tcW w:w="1440" w:type="dxa"/>
            <w:tcBorders>
              <w:top w:val="nil"/>
              <w:left w:val="single" w:sz="4" w:space="0" w:color="auto"/>
              <w:bottom w:val="nil"/>
              <w:right w:val="single" w:sz="4" w:space="0" w:color="auto"/>
            </w:tcBorders>
            <w:shd w:val="clear" w:color="auto" w:fill="auto"/>
            <w:noWrap/>
            <w:vAlign w:val="center"/>
            <w:hideMark/>
          </w:tcPr>
          <w:p w14:paraId="51760EE6" w14:textId="77777777" w:rsidR="00A36626" w:rsidRPr="00941188" w:rsidRDefault="00A36626" w:rsidP="00A36626">
            <w:pPr>
              <w:jc w:val="right"/>
              <w:rPr>
                <w:sz w:val="20"/>
                <w:szCs w:val="20"/>
                <w:lang w:eastAsia="en-GB"/>
              </w:rPr>
            </w:pPr>
            <w:r w:rsidRPr="00941188">
              <w:rPr>
                <w:color w:val="000000"/>
                <w:sz w:val="20"/>
                <w:szCs w:val="20"/>
              </w:rPr>
              <w:t>619,155</w:t>
            </w:r>
          </w:p>
        </w:tc>
        <w:tc>
          <w:tcPr>
            <w:tcW w:w="1260" w:type="dxa"/>
            <w:tcBorders>
              <w:top w:val="nil"/>
              <w:left w:val="nil"/>
              <w:bottom w:val="nil"/>
              <w:right w:val="single" w:sz="4" w:space="0" w:color="auto"/>
            </w:tcBorders>
            <w:shd w:val="clear" w:color="auto" w:fill="auto"/>
            <w:noWrap/>
            <w:vAlign w:val="center"/>
            <w:hideMark/>
          </w:tcPr>
          <w:p w14:paraId="392671E2" w14:textId="77777777" w:rsidR="00A36626" w:rsidRPr="00941188" w:rsidRDefault="00A36626" w:rsidP="00A36626">
            <w:pPr>
              <w:jc w:val="right"/>
              <w:rPr>
                <w:sz w:val="20"/>
                <w:szCs w:val="20"/>
                <w:lang w:eastAsia="en-GB"/>
              </w:rPr>
            </w:pPr>
            <w:r w:rsidRPr="00941188">
              <w:rPr>
                <w:color w:val="000000"/>
                <w:sz w:val="20"/>
                <w:szCs w:val="20"/>
              </w:rPr>
              <w:t>-602</w:t>
            </w:r>
            <w:r w:rsidR="00160010" w:rsidRPr="00941188">
              <w:rPr>
                <w:color w:val="000000"/>
                <w:sz w:val="20"/>
                <w:szCs w:val="20"/>
              </w:rPr>
              <w:t>,</w:t>
            </w:r>
            <w:r w:rsidRPr="00941188">
              <w:rPr>
                <w:color w:val="000000"/>
                <w:sz w:val="20"/>
                <w:szCs w:val="20"/>
              </w:rPr>
              <w:t>028</w:t>
            </w:r>
          </w:p>
        </w:tc>
        <w:tc>
          <w:tcPr>
            <w:tcW w:w="1339" w:type="dxa"/>
            <w:tcBorders>
              <w:top w:val="nil"/>
              <w:left w:val="nil"/>
              <w:bottom w:val="nil"/>
              <w:right w:val="single" w:sz="4" w:space="0" w:color="auto"/>
            </w:tcBorders>
            <w:shd w:val="clear" w:color="auto" w:fill="auto"/>
            <w:noWrap/>
            <w:vAlign w:val="center"/>
            <w:hideMark/>
          </w:tcPr>
          <w:p w14:paraId="12EBCD43" w14:textId="77777777" w:rsidR="00A36626" w:rsidRPr="00941188" w:rsidRDefault="00A36626" w:rsidP="00A36626">
            <w:pPr>
              <w:jc w:val="right"/>
              <w:rPr>
                <w:sz w:val="20"/>
                <w:szCs w:val="20"/>
                <w:lang w:eastAsia="en-GB"/>
              </w:rPr>
            </w:pPr>
            <w:r w:rsidRPr="00941188">
              <w:rPr>
                <w:color w:val="000000"/>
                <w:sz w:val="20"/>
                <w:szCs w:val="20"/>
              </w:rPr>
              <w:t>474</w:t>
            </w:r>
            <w:r w:rsidR="00160010" w:rsidRPr="00941188">
              <w:rPr>
                <w:color w:val="000000"/>
                <w:sz w:val="20"/>
                <w:szCs w:val="20"/>
              </w:rPr>
              <w:t>,</w:t>
            </w:r>
            <w:r w:rsidRPr="00941188">
              <w:rPr>
                <w:color w:val="000000"/>
                <w:sz w:val="20"/>
                <w:szCs w:val="20"/>
              </w:rPr>
              <w:t>796</w:t>
            </w:r>
          </w:p>
        </w:tc>
        <w:tc>
          <w:tcPr>
            <w:tcW w:w="1320" w:type="dxa"/>
            <w:tcBorders>
              <w:top w:val="nil"/>
              <w:left w:val="nil"/>
              <w:bottom w:val="nil"/>
              <w:right w:val="single" w:sz="4" w:space="0" w:color="auto"/>
            </w:tcBorders>
            <w:shd w:val="clear" w:color="000000" w:fill="DCE6F1"/>
            <w:noWrap/>
            <w:vAlign w:val="center"/>
            <w:hideMark/>
          </w:tcPr>
          <w:p w14:paraId="7B2E34DD" w14:textId="77777777" w:rsidR="00A36626" w:rsidRPr="00941188" w:rsidRDefault="00A36626" w:rsidP="00A36626">
            <w:pPr>
              <w:jc w:val="right"/>
              <w:rPr>
                <w:b/>
                <w:bCs/>
                <w:color w:val="000000"/>
                <w:sz w:val="20"/>
                <w:szCs w:val="20"/>
                <w:lang w:eastAsia="en-GB"/>
              </w:rPr>
            </w:pPr>
            <w:r w:rsidRPr="00941188">
              <w:rPr>
                <w:b/>
                <w:bCs/>
                <w:color w:val="000000"/>
                <w:sz w:val="20"/>
                <w:szCs w:val="20"/>
              </w:rPr>
              <w:t>491</w:t>
            </w:r>
            <w:r w:rsidR="00160010" w:rsidRPr="00941188">
              <w:rPr>
                <w:b/>
                <w:bCs/>
                <w:color w:val="000000"/>
                <w:sz w:val="20"/>
                <w:szCs w:val="20"/>
              </w:rPr>
              <w:t>,</w:t>
            </w:r>
            <w:r w:rsidRPr="00941188">
              <w:rPr>
                <w:b/>
                <w:bCs/>
                <w:color w:val="000000"/>
                <w:sz w:val="20"/>
                <w:szCs w:val="20"/>
              </w:rPr>
              <w:t>923</w:t>
            </w:r>
          </w:p>
        </w:tc>
        <w:tc>
          <w:tcPr>
            <w:tcW w:w="1180" w:type="dxa"/>
            <w:tcBorders>
              <w:top w:val="nil"/>
              <w:left w:val="nil"/>
              <w:bottom w:val="nil"/>
              <w:right w:val="single" w:sz="4" w:space="0" w:color="auto"/>
            </w:tcBorders>
            <w:shd w:val="clear" w:color="auto" w:fill="auto"/>
            <w:noWrap/>
            <w:vAlign w:val="center"/>
            <w:hideMark/>
          </w:tcPr>
          <w:p w14:paraId="36AF04F6" w14:textId="77777777" w:rsidR="00A36626" w:rsidRPr="00941188" w:rsidRDefault="00A36626" w:rsidP="00A36626">
            <w:pPr>
              <w:jc w:val="right"/>
              <w:rPr>
                <w:color w:val="000000"/>
                <w:sz w:val="20"/>
                <w:szCs w:val="20"/>
                <w:lang w:eastAsia="en-GB"/>
              </w:rPr>
            </w:pPr>
            <w:r w:rsidRPr="00941188">
              <w:rPr>
                <w:color w:val="000000"/>
                <w:sz w:val="20"/>
                <w:szCs w:val="20"/>
              </w:rPr>
              <w:t>-491</w:t>
            </w:r>
            <w:r w:rsidR="00160010" w:rsidRPr="00941188">
              <w:rPr>
                <w:color w:val="000000"/>
                <w:sz w:val="20"/>
                <w:szCs w:val="20"/>
              </w:rPr>
              <w:t>,</w:t>
            </w:r>
            <w:r w:rsidRPr="00941188">
              <w:rPr>
                <w:color w:val="000000"/>
                <w:sz w:val="20"/>
                <w:szCs w:val="20"/>
              </w:rPr>
              <w:t>923</w:t>
            </w:r>
          </w:p>
        </w:tc>
        <w:tc>
          <w:tcPr>
            <w:tcW w:w="1140" w:type="dxa"/>
            <w:tcBorders>
              <w:top w:val="nil"/>
              <w:left w:val="nil"/>
              <w:bottom w:val="nil"/>
              <w:right w:val="nil"/>
            </w:tcBorders>
            <w:shd w:val="clear" w:color="auto" w:fill="auto"/>
            <w:noWrap/>
            <w:vAlign w:val="center"/>
            <w:hideMark/>
          </w:tcPr>
          <w:p w14:paraId="735E22D0" w14:textId="77777777" w:rsidR="00A36626" w:rsidRPr="00941188"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7D6A7068" w14:textId="77777777" w:rsidR="00A36626" w:rsidRPr="00941188" w:rsidRDefault="00A36626" w:rsidP="00A36626">
            <w:pPr>
              <w:jc w:val="right"/>
              <w:rPr>
                <w:color w:val="000000"/>
                <w:sz w:val="20"/>
                <w:szCs w:val="20"/>
                <w:lang w:eastAsia="en-GB"/>
              </w:rPr>
            </w:pPr>
            <w:r w:rsidRPr="00941188">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776746E1" w14:textId="77777777" w:rsidR="00A36626" w:rsidRPr="00941188" w:rsidRDefault="00A36626" w:rsidP="00A36626">
            <w:pPr>
              <w:jc w:val="right"/>
              <w:rPr>
                <w:color w:val="000000"/>
                <w:sz w:val="20"/>
                <w:szCs w:val="20"/>
                <w:lang w:eastAsia="en-GB"/>
              </w:rPr>
            </w:pPr>
            <w:r w:rsidRPr="00941188">
              <w:rPr>
                <w:color w:val="000000"/>
                <w:sz w:val="20"/>
                <w:szCs w:val="20"/>
              </w:rPr>
              <w:t>0</w:t>
            </w:r>
          </w:p>
        </w:tc>
      </w:tr>
      <w:tr w:rsidR="00D1663B" w:rsidRPr="004F47DA" w14:paraId="2C4AAA2A" w14:textId="77777777" w:rsidTr="00A36626">
        <w:trPr>
          <w:trHeight w:val="263"/>
        </w:trPr>
        <w:tc>
          <w:tcPr>
            <w:tcW w:w="4500" w:type="dxa"/>
            <w:tcBorders>
              <w:top w:val="nil"/>
              <w:left w:val="single" w:sz="8" w:space="0" w:color="auto"/>
              <w:bottom w:val="nil"/>
              <w:right w:val="nil"/>
            </w:tcBorders>
            <w:shd w:val="clear" w:color="auto" w:fill="auto"/>
            <w:vAlign w:val="center"/>
            <w:hideMark/>
          </w:tcPr>
          <w:p w14:paraId="22E9625E" w14:textId="77777777" w:rsidR="00A36626" w:rsidRPr="00785601" w:rsidRDefault="00A36626" w:rsidP="00A36626">
            <w:pPr>
              <w:rPr>
                <w:sz w:val="20"/>
                <w:szCs w:val="20"/>
                <w:lang w:eastAsia="en-GB"/>
              </w:rPr>
            </w:pPr>
            <w:r w:rsidRPr="00785601">
              <w:rPr>
                <w:color w:val="000000"/>
                <w:sz w:val="20"/>
                <w:szCs w:val="20"/>
              </w:rPr>
              <w:t xml:space="preserve">Fire Cover Review </w:t>
            </w:r>
          </w:p>
        </w:tc>
        <w:tc>
          <w:tcPr>
            <w:tcW w:w="1440" w:type="dxa"/>
            <w:tcBorders>
              <w:top w:val="nil"/>
              <w:left w:val="single" w:sz="4" w:space="0" w:color="auto"/>
              <w:bottom w:val="nil"/>
              <w:right w:val="single" w:sz="4" w:space="0" w:color="auto"/>
            </w:tcBorders>
            <w:shd w:val="clear" w:color="auto" w:fill="auto"/>
            <w:noWrap/>
            <w:vAlign w:val="center"/>
            <w:hideMark/>
          </w:tcPr>
          <w:p w14:paraId="6E6F85B7" w14:textId="77777777" w:rsidR="00A36626" w:rsidRPr="00785601" w:rsidRDefault="00A36626" w:rsidP="00A36626">
            <w:pPr>
              <w:jc w:val="right"/>
              <w:rPr>
                <w:sz w:val="20"/>
                <w:szCs w:val="20"/>
                <w:lang w:eastAsia="en-GB"/>
              </w:rPr>
            </w:pPr>
            <w:r w:rsidRPr="00785601">
              <w:rPr>
                <w:color w:val="000000"/>
                <w:sz w:val="20"/>
                <w:szCs w:val="20"/>
              </w:rPr>
              <w:t>10,000</w:t>
            </w:r>
          </w:p>
        </w:tc>
        <w:tc>
          <w:tcPr>
            <w:tcW w:w="1260" w:type="dxa"/>
            <w:tcBorders>
              <w:top w:val="nil"/>
              <w:left w:val="nil"/>
              <w:bottom w:val="nil"/>
              <w:right w:val="single" w:sz="4" w:space="0" w:color="auto"/>
            </w:tcBorders>
            <w:shd w:val="clear" w:color="auto" w:fill="auto"/>
            <w:noWrap/>
            <w:vAlign w:val="center"/>
          </w:tcPr>
          <w:p w14:paraId="4769A7F4" w14:textId="77777777" w:rsidR="00A36626" w:rsidRPr="00785601" w:rsidRDefault="00A36626" w:rsidP="00A36626">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3B5D19D3" w14:textId="77777777" w:rsidR="00A36626" w:rsidRPr="00785601" w:rsidRDefault="00A36626" w:rsidP="00A36626">
            <w:pPr>
              <w:jc w:val="right"/>
              <w:rPr>
                <w:sz w:val="20"/>
                <w:szCs w:val="20"/>
                <w:lang w:eastAsia="en-GB"/>
              </w:rPr>
            </w:pPr>
            <w:r w:rsidRPr="00785601">
              <w:rPr>
                <w:color w:val="000000"/>
                <w:sz w:val="20"/>
                <w:szCs w:val="20"/>
              </w:rPr>
              <w:t>-10</w:t>
            </w:r>
            <w:r w:rsidR="00160010">
              <w:rPr>
                <w:color w:val="000000"/>
                <w:sz w:val="20"/>
                <w:szCs w:val="20"/>
              </w:rPr>
              <w:t>,</w:t>
            </w:r>
            <w:r w:rsidRPr="00785601">
              <w:rPr>
                <w:color w:val="000000"/>
                <w:sz w:val="20"/>
                <w:szCs w:val="20"/>
              </w:rPr>
              <w:t>000</w:t>
            </w:r>
          </w:p>
        </w:tc>
        <w:tc>
          <w:tcPr>
            <w:tcW w:w="1320" w:type="dxa"/>
            <w:tcBorders>
              <w:top w:val="nil"/>
              <w:left w:val="nil"/>
              <w:bottom w:val="nil"/>
              <w:right w:val="single" w:sz="4" w:space="0" w:color="auto"/>
            </w:tcBorders>
            <w:shd w:val="clear" w:color="000000" w:fill="DCE6F1"/>
            <w:noWrap/>
            <w:vAlign w:val="center"/>
            <w:hideMark/>
          </w:tcPr>
          <w:p w14:paraId="7DB499DA" w14:textId="77777777" w:rsidR="00A36626" w:rsidRPr="00785601" w:rsidRDefault="00A36626" w:rsidP="00A36626">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nil"/>
              <w:right w:val="single" w:sz="4" w:space="0" w:color="auto"/>
            </w:tcBorders>
            <w:shd w:val="clear" w:color="auto" w:fill="auto"/>
            <w:noWrap/>
            <w:vAlign w:val="center"/>
            <w:hideMark/>
          </w:tcPr>
          <w:p w14:paraId="147F371C"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nil"/>
            </w:tcBorders>
            <w:shd w:val="clear" w:color="auto" w:fill="auto"/>
            <w:noWrap/>
            <w:vAlign w:val="bottom"/>
            <w:hideMark/>
          </w:tcPr>
          <w:p w14:paraId="6F71EAD6" w14:textId="77777777" w:rsidR="00A36626" w:rsidRPr="00785601"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004B0064"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585ABE7D" w14:textId="77777777" w:rsidR="00A36626" w:rsidRPr="00785601" w:rsidRDefault="00A36626" w:rsidP="00A36626">
            <w:pPr>
              <w:jc w:val="right"/>
              <w:rPr>
                <w:color w:val="000000"/>
                <w:sz w:val="20"/>
                <w:szCs w:val="20"/>
                <w:lang w:eastAsia="en-GB"/>
              </w:rPr>
            </w:pPr>
            <w:r w:rsidRPr="00785601">
              <w:rPr>
                <w:color w:val="000000"/>
                <w:sz w:val="20"/>
                <w:szCs w:val="20"/>
              </w:rPr>
              <w:t>0</w:t>
            </w:r>
          </w:p>
        </w:tc>
      </w:tr>
      <w:tr w:rsidR="00D1663B" w:rsidRPr="004F47DA" w14:paraId="76C0CEE1" w14:textId="77777777" w:rsidTr="000408B1">
        <w:trPr>
          <w:trHeight w:val="263"/>
        </w:trPr>
        <w:tc>
          <w:tcPr>
            <w:tcW w:w="4500" w:type="dxa"/>
            <w:tcBorders>
              <w:top w:val="nil"/>
              <w:left w:val="single" w:sz="8" w:space="0" w:color="auto"/>
              <w:bottom w:val="nil"/>
              <w:right w:val="nil"/>
            </w:tcBorders>
            <w:shd w:val="clear" w:color="auto" w:fill="auto"/>
          </w:tcPr>
          <w:p w14:paraId="476ECC92" w14:textId="77777777" w:rsidR="00A36626" w:rsidRPr="00785601" w:rsidRDefault="00A36626" w:rsidP="00A36626">
            <w:pPr>
              <w:rPr>
                <w:color w:val="000000"/>
                <w:sz w:val="20"/>
                <w:szCs w:val="20"/>
              </w:rPr>
            </w:pPr>
            <w:r w:rsidRPr="00785601">
              <w:rPr>
                <w:sz w:val="20"/>
                <w:szCs w:val="20"/>
              </w:rPr>
              <w:t>On Call Pay and Contracts</w:t>
            </w:r>
          </w:p>
        </w:tc>
        <w:tc>
          <w:tcPr>
            <w:tcW w:w="1440" w:type="dxa"/>
            <w:tcBorders>
              <w:top w:val="nil"/>
              <w:left w:val="single" w:sz="4" w:space="0" w:color="auto"/>
              <w:bottom w:val="nil"/>
              <w:right w:val="single" w:sz="4" w:space="0" w:color="auto"/>
            </w:tcBorders>
            <w:shd w:val="clear" w:color="auto" w:fill="auto"/>
            <w:noWrap/>
            <w:vAlign w:val="center"/>
          </w:tcPr>
          <w:p w14:paraId="00AAE98A" w14:textId="77777777" w:rsidR="00A36626" w:rsidRPr="00785601" w:rsidRDefault="00A36626" w:rsidP="00A36626">
            <w:pPr>
              <w:jc w:val="right"/>
              <w:rPr>
                <w:color w:val="000000"/>
                <w:sz w:val="20"/>
                <w:szCs w:val="20"/>
              </w:rPr>
            </w:pPr>
            <w:r w:rsidRPr="00785601">
              <w:rPr>
                <w:color w:val="000000"/>
                <w:sz w:val="20"/>
                <w:szCs w:val="20"/>
              </w:rPr>
              <w:t>48,320</w:t>
            </w:r>
          </w:p>
        </w:tc>
        <w:tc>
          <w:tcPr>
            <w:tcW w:w="1260" w:type="dxa"/>
            <w:tcBorders>
              <w:top w:val="nil"/>
              <w:left w:val="nil"/>
              <w:bottom w:val="nil"/>
              <w:right w:val="single" w:sz="4" w:space="0" w:color="auto"/>
            </w:tcBorders>
            <w:shd w:val="clear" w:color="auto" w:fill="auto"/>
            <w:noWrap/>
            <w:vAlign w:val="center"/>
          </w:tcPr>
          <w:p w14:paraId="37CE0735" w14:textId="77777777" w:rsidR="00A36626" w:rsidRPr="00785601" w:rsidRDefault="00A36626" w:rsidP="00A36626">
            <w:pPr>
              <w:jc w:val="right"/>
              <w:rPr>
                <w:color w:val="000000"/>
                <w:sz w:val="20"/>
                <w:szCs w:val="20"/>
              </w:rPr>
            </w:pPr>
          </w:p>
        </w:tc>
        <w:tc>
          <w:tcPr>
            <w:tcW w:w="1339" w:type="dxa"/>
            <w:tcBorders>
              <w:top w:val="nil"/>
              <w:left w:val="nil"/>
              <w:bottom w:val="nil"/>
              <w:right w:val="single" w:sz="4" w:space="0" w:color="auto"/>
            </w:tcBorders>
            <w:shd w:val="clear" w:color="auto" w:fill="auto"/>
            <w:noWrap/>
            <w:vAlign w:val="center"/>
          </w:tcPr>
          <w:p w14:paraId="75F75F4F" w14:textId="77777777" w:rsidR="00A36626" w:rsidRPr="00785601" w:rsidRDefault="00A36626" w:rsidP="00A36626">
            <w:pPr>
              <w:jc w:val="right"/>
              <w:rPr>
                <w:color w:val="000000"/>
                <w:sz w:val="20"/>
                <w:szCs w:val="20"/>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tcPr>
          <w:p w14:paraId="2E1043F3" w14:textId="77777777" w:rsidR="00A36626" w:rsidRPr="00785601" w:rsidRDefault="00A36626" w:rsidP="00A36626">
            <w:pPr>
              <w:jc w:val="right"/>
              <w:rPr>
                <w:b/>
                <w:bCs/>
                <w:color w:val="000000"/>
                <w:sz w:val="20"/>
                <w:szCs w:val="20"/>
              </w:rPr>
            </w:pPr>
            <w:r w:rsidRPr="00785601">
              <w:rPr>
                <w:b/>
                <w:bCs/>
                <w:color w:val="000000"/>
                <w:sz w:val="20"/>
                <w:szCs w:val="20"/>
              </w:rPr>
              <w:t>48,320</w:t>
            </w:r>
          </w:p>
        </w:tc>
        <w:tc>
          <w:tcPr>
            <w:tcW w:w="1180" w:type="dxa"/>
            <w:tcBorders>
              <w:top w:val="nil"/>
              <w:left w:val="nil"/>
              <w:bottom w:val="nil"/>
              <w:right w:val="single" w:sz="4" w:space="0" w:color="auto"/>
            </w:tcBorders>
            <w:shd w:val="clear" w:color="auto" w:fill="auto"/>
            <w:noWrap/>
            <w:vAlign w:val="center"/>
          </w:tcPr>
          <w:p w14:paraId="410B8AA2" w14:textId="77777777" w:rsidR="00A36626" w:rsidRPr="00785601" w:rsidRDefault="00A36626" w:rsidP="00A36626">
            <w:pPr>
              <w:jc w:val="right"/>
              <w:rPr>
                <w:color w:val="000000"/>
                <w:sz w:val="20"/>
                <w:szCs w:val="20"/>
              </w:rPr>
            </w:pPr>
            <w:r w:rsidRPr="00785601">
              <w:rPr>
                <w:color w:val="000000"/>
                <w:sz w:val="20"/>
                <w:szCs w:val="20"/>
              </w:rPr>
              <w:t>-48</w:t>
            </w:r>
            <w:r w:rsidR="00160010">
              <w:rPr>
                <w:color w:val="000000"/>
                <w:sz w:val="20"/>
                <w:szCs w:val="20"/>
              </w:rPr>
              <w:t>,</w:t>
            </w:r>
            <w:r w:rsidRPr="00785601">
              <w:rPr>
                <w:color w:val="000000"/>
                <w:sz w:val="20"/>
                <w:szCs w:val="20"/>
              </w:rPr>
              <w:t>320</w:t>
            </w:r>
          </w:p>
        </w:tc>
        <w:tc>
          <w:tcPr>
            <w:tcW w:w="1140" w:type="dxa"/>
            <w:tcBorders>
              <w:top w:val="nil"/>
              <w:left w:val="nil"/>
              <w:bottom w:val="nil"/>
              <w:right w:val="nil"/>
            </w:tcBorders>
            <w:shd w:val="clear" w:color="auto" w:fill="auto"/>
            <w:noWrap/>
            <w:vAlign w:val="center"/>
          </w:tcPr>
          <w:p w14:paraId="72D23C05"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200" w:type="dxa"/>
            <w:tcBorders>
              <w:top w:val="nil"/>
              <w:left w:val="single" w:sz="4" w:space="0" w:color="auto"/>
              <w:bottom w:val="nil"/>
              <w:right w:val="single" w:sz="4" w:space="0" w:color="auto"/>
            </w:tcBorders>
            <w:shd w:val="clear" w:color="auto" w:fill="auto"/>
            <w:noWrap/>
            <w:vAlign w:val="center"/>
          </w:tcPr>
          <w:p w14:paraId="06557D7D" w14:textId="77777777" w:rsidR="00A36626" w:rsidRPr="00785601" w:rsidRDefault="00A36626" w:rsidP="00A36626">
            <w:pPr>
              <w:jc w:val="right"/>
              <w:rPr>
                <w:color w:val="000000"/>
                <w:sz w:val="20"/>
                <w:szCs w:val="20"/>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tcPr>
          <w:p w14:paraId="18BBC6A8" w14:textId="77777777" w:rsidR="00A36626" w:rsidRPr="00785601" w:rsidRDefault="00A36626" w:rsidP="00A36626">
            <w:pPr>
              <w:jc w:val="right"/>
              <w:rPr>
                <w:color w:val="000000"/>
                <w:sz w:val="20"/>
                <w:szCs w:val="20"/>
              </w:rPr>
            </w:pPr>
            <w:r w:rsidRPr="00785601">
              <w:rPr>
                <w:color w:val="000000"/>
                <w:sz w:val="20"/>
                <w:szCs w:val="20"/>
              </w:rPr>
              <w:t>0</w:t>
            </w:r>
          </w:p>
        </w:tc>
      </w:tr>
      <w:tr w:rsidR="00D1663B" w:rsidRPr="004F47DA" w14:paraId="7D4B06FB" w14:textId="77777777" w:rsidTr="000408B1">
        <w:trPr>
          <w:trHeight w:val="263"/>
        </w:trPr>
        <w:tc>
          <w:tcPr>
            <w:tcW w:w="4500" w:type="dxa"/>
            <w:tcBorders>
              <w:top w:val="nil"/>
              <w:left w:val="single" w:sz="8" w:space="0" w:color="auto"/>
              <w:bottom w:val="nil"/>
              <w:right w:val="nil"/>
            </w:tcBorders>
            <w:shd w:val="clear" w:color="auto" w:fill="auto"/>
            <w:hideMark/>
          </w:tcPr>
          <w:p w14:paraId="5DCD8240" w14:textId="77777777" w:rsidR="00A36626" w:rsidRPr="00785601" w:rsidRDefault="00A36626" w:rsidP="00A36626">
            <w:pPr>
              <w:rPr>
                <w:sz w:val="20"/>
                <w:szCs w:val="20"/>
                <w:lang w:eastAsia="en-GB"/>
              </w:rPr>
            </w:pPr>
            <w:r w:rsidRPr="00785601">
              <w:rPr>
                <w:color w:val="000000"/>
                <w:sz w:val="20"/>
                <w:szCs w:val="20"/>
              </w:rPr>
              <w:t>Rostering project</w:t>
            </w:r>
          </w:p>
        </w:tc>
        <w:tc>
          <w:tcPr>
            <w:tcW w:w="1440" w:type="dxa"/>
            <w:tcBorders>
              <w:top w:val="nil"/>
              <w:left w:val="single" w:sz="4" w:space="0" w:color="auto"/>
              <w:bottom w:val="nil"/>
              <w:right w:val="single" w:sz="4" w:space="0" w:color="auto"/>
            </w:tcBorders>
            <w:shd w:val="clear" w:color="auto" w:fill="auto"/>
            <w:noWrap/>
            <w:vAlign w:val="center"/>
            <w:hideMark/>
          </w:tcPr>
          <w:p w14:paraId="300ABC79" w14:textId="77777777" w:rsidR="00A36626" w:rsidRPr="00785601" w:rsidRDefault="00A36626" w:rsidP="00A36626">
            <w:pPr>
              <w:jc w:val="right"/>
              <w:rPr>
                <w:sz w:val="20"/>
                <w:szCs w:val="20"/>
                <w:lang w:eastAsia="en-GB"/>
              </w:rPr>
            </w:pPr>
            <w:r w:rsidRPr="00785601">
              <w:rPr>
                <w:color w:val="000000"/>
                <w:sz w:val="20"/>
                <w:szCs w:val="20"/>
              </w:rPr>
              <w:t>27,291</w:t>
            </w:r>
          </w:p>
        </w:tc>
        <w:tc>
          <w:tcPr>
            <w:tcW w:w="1260" w:type="dxa"/>
            <w:tcBorders>
              <w:top w:val="nil"/>
              <w:left w:val="nil"/>
              <w:bottom w:val="nil"/>
              <w:right w:val="single" w:sz="4" w:space="0" w:color="auto"/>
            </w:tcBorders>
            <w:shd w:val="clear" w:color="auto" w:fill="auto"/>
            <w:noWrap/>
            <w:vAlign w:val="center"/>
            <w:hideMark/>
          </w:tcPr>
          <w:p w14:paraId="26ED4507" w14:textId="77777777" w:rsidR="00A36626" w:rsidRPr="00785601" w:rsidRDefault="00A36626" w:rsidP="00A36626">
            <w:pPr>
              <w:jc w:val="right"/>
              <w:rPr>
                <w:sz w:val="20"/>
                <w:szCs w:val="20"/>
                <w:lang w:eastAsia="en-GB"/>
              </w:rPr>
            </w:pPr>
            <w:r w:rsidRPr="00785601">
              <w:rPr>
                <w:color w:val="000000"/>
                <w:sz w:val="20"/>
                <w:szCs w:val="20"/>
              </w:rPr>
              <w:t>-5,000</w:t>
            </w:r>
          </w:p>
        </w:tc>
        <w:tc>
          <w:tcPr>
            <w:tcW w:w="1339" w:type="dxa"/>
            <w:tcBorders>
              <w:top w:val="nil"/>
              <w:left w:val="nil"/>
              <w:bottom w:val="nil"/>
              <w:right w:val="single" w:sz="4" w:space="0" w:color="auto"/>
            </w:tcBorders>
            <w:shd w:val="clear" w:color="auto" w:fill="auto"/>
            <w:noWrap/>
            <w:vAlign w:val="center"/>
            <w:hideMark/>
          </w:tcPr>
          <w:p w14:paraId="777DD390" w14:textId="77777777" w:rsidR="00A36626" w:rsidRPr="00785601" w:rsidRDefault="00A36626" w:rsidP="00A36626">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12A3A18" w14:textId="77777777" w:rsidR="00A36626" w:rsidRPr="00785601" w:rsidRDefault="00A36626" w:rsidP="00A36626">
            <w:pPr>
              <w:jc w:val="right"/>
              <w:rPr>
                <w:b/>
                <w:bCs/>
                <w:color w:val="000000"/>
                <w:sz w:val="20"/>
                <w:szCs w:val="20"/>
                <w:lang w:eastAsia="en-GB"/>
              </w:rPr>
            </w:pPr>
            <w:r w:rsidRPr="00785601">
              <w:rPr>
                <w:b/>
                <w:bCs/>
                <w:color w:val="000000"/>
                <w:sz w:val="20"/>
                <w:szCs w:val="20"/>
              </w:rPr>
              <w:t>22,291</w:t>
            </w:r>
          </w:p>
        </w:tc>
        <w:tc>
          <w:tcPr>
            <w:tcW w:w="1180" w:type="dxa"/>
            <w:tcBorders>
              <w:top w:val="nil"/>
              <w:left w:val="nil"/>
              <w:bottom w:val="nil"/>
              <w:right w:val="single" w:sz="4" w:space="0" w:color="auto"/>
            </w:tcBorders>
            <w:shd w:val="clear" w:color="auto" w:fill="auto"/>
            <w:noWrap/>
            <w:vAlign w:val="center"/>
            <w:hideMark/>
          </w:tcPr>
          <w:p w14:paraId="3C036B15" w14:textId="77777777" w:rsidR="00A36626" w:rsidRPr="00785601" w:rsidRDefault="00A36626" w:rsidP="00A36626">
            <w:pPr>
              <w:jc w:val="right"/>
              <w:rPr>
                <w:color w:val="000000"/>
                <w:sz w:val="20"/>
                <w:szCs w:val="20"/>
                <w:lang w:eastAsia="en-GB"/>
              </w:rPr>
            </w:pPr>
            <w:r w:rsidRPr="00785601">
              <w:rPr>
                <w:color w:val="000000"/>
                <w:sz w:val="20"/>
                <w:szCs w:val="20"/>
              </w:rPr>
              <w:t>-22</w:t>
            </w:r>
            <w:r w:rsidR="00160010">
              <w:rPr>
                <w:color w:val="000000"/>
                <w:sz w:val="20"/>
                <w:szCs w:val="20"/>
              </w:rPr>
              <w:t>,</w:t>
            </w:r>
            <w:r w:rsidRPr="00785601">
              <w:rPr>
                <w:color w:val="000000"/>
                <w:sz w:val="20"/>
                <w:szCs w:val="20"/>
              </w:rPr>
              <w:t>291</w:t>
            </w:r>
          </w:p>
        </w:tc>
        <w:tc>
          <w:tcPr>
            <w:tcW w:w="1140" w:type="dxa"/>
            <w:tcBorders>
              <w:top w:val="nil"/>
              <w:left w:val="nil"/>
              <w:bottom w:val="nil"/>
              <w:right w:val="nil"/>
            </w:tcBorders>
            <w:shd w:val="clear" w:color="auto" w:fill="auto"/>
            <w:noWrap/>
            <w:vAlign w:val="bottom"/>
            <w:hideMark/>
          </w:tcPr>
          <w:p w14:paraId="6A2FDF97" w14:textId="77777777" w:rsidR="00A36626" w:rsidRPr="00785601" w:rsidRDefault="00A36626" w:rsidP="00A36626">
            <w:pPr>
              <w:jc w:val="right"/>
              <w:rPr>
                <w:color w:val="000000"/>
                <w:sz w:val="20"/>
                <w:szCs w:val="20"/>
                <w:lang w:eastAsia="en-GB"/>
              </w:rPr>
            </w:pPr>
          </w:p>
        </w:tc>
        <w:tc>
          <w:tcPr>
            <w:tcW w:w="1200" w:type="dxa"/>
            <w:tcBorders>
              <w:top w:val="nil"/>
              <w:left w:val="single" w:sz="4" w:space="0" w:color="auto"/>
              <w:bottom w:val="nil"/>
              <w:right w:val="single" w:sz="4" w:space="0" w:color="auto"/>
            </w:tcBorders>
            <w:shd w:val="clear" w:color="auto" w:fill="auto"/>
            <w:noWrap/>
            <w:vAlign w:val="center"/>
            <w:hideMark/>
          </w:tcPr>
          <w:p w14:paraId="49A19153" w14:textId="77777777" w:rsidR="00A36626" w:rsidRPr="00785601" w:rsidRDefault="00A36626" w:rsidP="00A36626">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56510574" w14:textId="77777777" w:rsidR="00A36626" w:rsidRPr="00785601" w:rsidRDefault="00A36626" w:rsidP="00A36626">
            <w:pPr>
              <w:jc w:val="right"/>
              <w:rPr>
                <w:color w:val="000000"/>
                <w:sz w:val="20"/>
                <w:szCs w:val="20"/>
                <w:lang w:eastAsia="en-GB"/>
              </w:rPr>
            </w:pPr>
            <w:r w:rsidRPr="00785601">
              <w:rPr>
                <w:color w:val="000000"/>
                <w:sz w:val="20"/>
                <w:szCs w:val="20"/>
              </w:rPr>
              <w:t>0</w:t>
            </w:r>
          </w:p>
        </w:tc>
      </w:tr>
      <w:tr w:rsidR="00D1663B" w:rsidRPr="004F47DA" w14:paraId="13C02A19" w14:textId="77777777" w:rsidTr="000408B1">
        <w:trPr>
          <w:trHeight w:val="263"/>
        </w:trPr>
        <w:tc>
          <w:tcPr>
            <w:tcW w:w="4500" w:type="dxa"/>
            <w:tcBorders>
              <w:top w:val="single" w:sz="4" w:space="0" w:color="auto"/>
              <w:left w:val="single" w:sz="8" w:space="0" w:color="auto"/>
              <w:bottom w:val="nil"/>
              <w:right w:val="single" w:sz="4" w:space="0" w:color="auto"/>
            </w:tcBorders>
            <w:shd w:val="clear" w:color="auto" w:fill="auto"/>
            <w:noWrap/>
            <w:vAlign w:val="center"/>
            <w:hideMark/>
          </w:tcPr>
          <w:p w14:paraId="4257D534" w14:textId="77777777" w:rsidR="00A36626" w:rsidRPr="00785601" w:rsidRDefault="00A36626" w:rsidP="00A36626">
            <w:pPr>
              <w:rPr>
                <w:b/>
                <w:bCs/>
                <w:color w:val="000000"/>
                <w:sz w:val="20"/>
                <w:szCs w:val="20"/>
                <w:lang w:eastAsia="en-GB"/>
              </w:rPr>
            </w:pPr>
            <w:r w:rsidRPr="00785601">
              <w:rPr>
                <w:b/>
                <w:bCs/>
                <w:color w:val="000000"/>
                <w:sz w:val="20"/>
                <w:szCs w:val="20"/>
              </w:rPr>
              <w:t>Sub Total</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3E9AF5D8" w14:textId="77777777" w:rsidR="00A36626" w:rsidRPr="00785601" w:rsidRDefault="00A36626" w:rsidP="00A36626">
            <w:pPr>
              <w:jc w:val="right"/>
              <w:rPr>
                <w:b/>
                <w:bCs/>
                <w:sz w:val="20"/>
                <w:szCs w:val="20"/>
                <w:lang w:eastAsia="en-GB"/>
              </w:rPr>
            </w:pPr>
            <w:r w:rsidRPr="00785601">
              <w:rPr>
                <w:b/>
                <w:bCs/>
                <w:color w:val="000000"/>
                <w:sz w:val="20"/>
                <w:szCs w:val="20"/>
              </w:rPr>
              <w:t>1,174,594</w:t>
            </w:r>
          </w:p>
        </w:tc>
        <w:tc>
          <w:tcPr>
            <w:tcW w:w="1260" w:type="dxa"/>
            <w:tcBorders>
              <w:top w:val="single" w:sz="4" w:space="0" w:color="auto"/>
              <w:left w:val="nil"/>
              <w:bottom w:val="nil"/>
              <w:right w:val="single" w:sz="4" w:space="0" w:color="auto"/>
            </w:tcBorders>
            <w:shd w:val="clear" w:color="auto" w:fill="auto"/>
            <w:noWrap/>
            <w:vAlign w:val="center"/>
            <w:hideMark/>
          </w:tcPr>
          <w:p w14:paraId="59D64405" w14:textId="77777777" w:rsidR="00A36626" w:rsidRPr="00785601" w:rsidRDefault="00A36626" w:rsidP="00A36626">
            <w:pPr>
              <w:jc w:val="right"/>
              <w:rPr>
                <w:b/>
                <w:bCs/>
                <w:sz w:val="20"/>
                <w:szCs w:val="20"/>
                <w:lang w:eastAsia="en-GB"/>
              </w:rPr>
            </w:pPr>
            <w:r w:rsidRPr="00785601">
              <w:rPr>
                <w:b/>
                <w:bCs/>
                <w:color w:val="000000"/>
                <w:sz w:val="20"/>
                <w:szCs w:val="20"/>
              </w:rPr>
              <w:t>-612,028</w:t>
            </w:r>
          </w:p>
        </w:tc>
        <w:tc>
          <w:tcPr>
            <w:tcW w:w="1339" w:type="dxa"/>
            <w:tcBorders>
              <w:top w:val="single" w:sz="4" w:space="0" w:color="auto"/>
              <w:left w:val="nil"/>
              <w:bottom w:val="nil"/>
              <w:right w:val="single" w:sz="4" w:space="0" w:color="auto"/>
            </w:tcBorders>
            <w:shd w:val="clear" w:color="auto" w:fill="auto"/>
            <w:noWrap/>
            <w:vAlign w:val="center"/>
            <w:hideMark/>
          </w:tcPr>
          <w:p w14:paraId="0BFC6AE2" w14:textId="77777777" w:rsidR="00A36626" w:rsidRPr="00785601" w:rsidRDefault="00A36626" w:rsidP="00A36626">
            <w:pPr>
              <w:jc w:val="right"/>
              <w:rPr>
                <w:b/>
                <w:bCs/>
                <w:sz w:val="20"/>
                <w:szCs w:val="20"/>
                <w:lang w:eastAsia="en-GB"/>
              </w:rPr>
            </w:pPr>
            <w:r w:rsidRPr="00785601">
              <w:rPr>
                <w:b/>
                <w:bCs/>
                <w:color w:val="000000"/>
                <w:sz w:val="20"/>
                <w:szCs w:val="20"/>
              </w:rPr>
              <w:t>114,960</w:t>
            </w:r>
          </w:p>
        </w:tc>
        <w:tc>
          <w:tcPr>
            <w:tcW w:w="1320" w:type="dxa"/>
            <w:tcBorders>
              <w:top w:val="single" w:sz="4" w:space="0" w:color="auto"/>
              <w:left w:val="nil"/>
              <w:bottom w:val="nil"/>
              <w:right w:val="single" w:sz="4" w:space="0" w:color="auto"/>
            </w:tcBorders>
            <w:shd w:val="clear" w:color="000000" w:fill="DCE6F1"/>
            <w:noWrap/>
            <w:vAlign w:val="center"/>
            <w:hideMark/>
          </w:tcPr>
          <w:p w14:paraId="6D9D0543" w14:textId="77777777" w:rsidR="00A36626" w:rsidRPr="00785601" w:rsidRDefault="00A36626" w:rsidP="00A36626">
            <w:pPr>
              <w:jc w:val="right"/>
              <w:rPr>
                <w:b/>
                <w:bCs/>
                <w:sz w:val="20"/>
                <w:szCs w:val="20"/>
                <w:lang w:eastAsia="en-GB"/>
              </w:rPr>
            </w:pPr>
            <w:r w:rsidRPr="00785601">
              <w:rPr>
                <w:b/>
                <w:bCs/>
                <w:color w:val="000000"/>
                <w:sz w:val="20"/>
                <w:szCs w:val="20"/>
              </w:rPr>
              <w:t>677,525</w:t>
            </w:r>
          </w:p>
        </w:tc>
        <w:tc>
          <w:tcPr>
            <w:tcW w:w="1180" w:type="dxa"/>
            <w:tcBorders>
              <w:top w:val="single" w:sz="4" w:space="0" w:color="auto"/>
              <w:left w:val="nil"/>
              <w:bottom w:val="nil"/>
              <w:right w:val="single" w:sz="4" w:space="0" w:color="auto"/>
            </w:tcBorders>
            <w:shd w:val="clear" w:color="auto" w:fill="auto"/>
            <w:noWrap/>
            <w:vAlign w:val="center"/>
            <w:hideMark/>
          </w:tcPr>
          <w:p w14:paraId="3BDFDF24" w14:textId="77777777" w:rsidR="00A36626" w:rsidRPr="00785601" w:rsidRDefault="00A36626" w:rsidP="00A36626">
            <w:pPr>
              <w:jc w:val="right"/>
              <w:rPr>
                <w:b/>
                <w:bCs/>
                <w:sz w:val="20"/>
                <w:szCs w:val="20"/>
                <w:lang w:eastAsia="en-GB"/>
              </w:rPr>
            </w:pPr>
            <w:r w:rsidRPr="00785601">
              <w:rPr>
                <w:b/>
                <w:bCs/>
                <w:color w:val="000000"/>
                <w:sz w:val="20"/>
                <w:szCs w:val="20"/>
              </w:rPr>
              <w:t>-667,534</w:t>
            </w:r>
          </w:p>
        </w:tc>
        <w:tc>
          <w:tcPr>
            <w:tcW w:w="1140" w:type="dxa"/>
            <w:tcBorders>
              <w:top w:val="single" w:sz="4" w:space="0" w:color="auto"/>
              <w:left w:val="nil"/>
              <w:bottom w:val="nil"/>
              <w:right w:val="single" w:sz="4" w:space="0" w:color="auto"/>
            </w:tcBorders>
            <w:shd w:val="clear" w:color="auto" w:fill="auto"/>
            <w:noWrap/>
            <w:vAlign w:val="center"/>
            <w:hideMark/>
          </w:tcPr>
          <w:p w14:paraId="16802F0A" w14:textId="77777777" w:rsidR="00A36626" w:rsidRPr="00785601" w:rsidRDefault="00A36626" w:rsidP="00A36626">
            <w:pPr>
              <w:jc w:val="right"/>
              <w:rPr>
                <w:b/>
                <w:bCs/>
                <w:sz w:val="20"/>
                <w:szCs w:val="20"/>
                <w:lang w:eastAsia="en-GB"/>
              </w:rPr>
            </w:pPr>
            <w:r w:rsidRPr="00785601">
              <w:rPr>
                <w:b/>
                <w:bCs/>
                <w:color w:val="000000"/>
                <w:sz w:val="20"/>
                <w:szCs w:val="20"/>
              </w:rPr>
              <w:t>-5,000</w:t>
            </w:r>
          </w:p>
        </w:tc>
        <w:tc>
          <w:tcPr>
            <w:tcW w:w="1200" w:type="dxa"/>
            <w:tcBorders>
              <w:top w:val="single" w:sz="4" w:space="0" w:color="auto"/>
              <w:left w:val="nil"/>
              <w:bottom w:val="nil"/>
              <w:right w:val="single" w:sz="4" w:space="0" w:color="auto"/>
            </w:tcBorders>
            <w:shd w:val="clear" w:color="auto" w:fill="auto"/>
            <w:noWrap/>
            <w:vAlign w:val="center"/>
            <w:hideMark/>
          </w:tcPr>
          <w:p w14:paraId="4E9946A2" w14:textId="77777777" w:rsidR="00A36626" w:rsidRPr="00785601" w:rsidRDefault="00A36626" w:rsidP="00A36626">
            <w:pPr>
              <w:jc w:val="right"/>
              <w:rPr>
                <w:b/>
                <w:bCs/>
                <w:sz w:val="20"/>
                <w:szCs w:val="20"/>
                <w:lang w:eastAsia="en-GB"/>
              </w:rPr>
            </w:pPr>
            <w:r w:rsidRPr="00785601">
              <w:rPr>
                <w:b/>
                <w:bCs/>
                <w:color w:val="000000"/>
                <w:sz w:val="20"/>
                <w:szCs w:val="20"/>
              </w:rPr>
              <w:t>-4,992</w:t>
            </w:r>
          </w:p>
        </w:tc>
        <w:tc>
          <w:tcPr>
            <w:tcW w:w="1360" w:type="dxa"/>
            <w:tcBorders>
              <w:top w:val="single" w:sz="4" w:space="0" w:color="auto"/>
              <w:left w:val="single" w:sz="4" w:space="0" w:color="auto"/>
              <w:bottom w:val="nil"/>
              <w:right w:val="single" w:sz="8" w:space="0" w:color="auto"/>
            </w:tcBorders>
            <w:shd w:val="clear" w:color="auto" w:fill="auto"/>
            <w:noWrap/>
            <w:vAlign w:val="center"/>
            <w:hideMark/>
          </w:tcPr>
          <w:p w14:paraId="693790F0" w14:textId="77777777" w:rsidR="00A36626" w:rsidRPr="00785601" w:rsidRDefault="00A36626" w:rsidP="00A36626">
            <w:pPr>
              <w:jc w:val="right"/>
              <w:rPr>
                <w:b/>
                <w:bCs/>
                <w:sz w:val="20"/>
                <w:szCs w:val="20"/>
                <w:lang w:eastAsia="en-GB"/>
              </w:rPr>
            </w:pPr>
            <w:r w:rsidRPr="00785601">
              <w:rPr>
                <w:b/>
                <w:bCs/>
                <w:color w:val="000000"/>
                <w:sz w:val="20"/>
                <w:szCs w:val="20"/>
              </w:rPr>
              <w:t>0</w:t>
            </w:r>
          </w:p>
        </w:tc>
      </w:tr>
      <w:tr w:rsidR="00D1663B" w:rsidRPr="004F47DA" w14:paraId="00D864D3" w14:textId="77777777" w:rsidTr="00E42950">
        <w:trPr>
          <w:trHeight w:val="263"/>
        </w:trPr>
        <w:tc>
          <w:tcPr>
            <w:tcW w:w="4500" w:type="dxa"/>
            <w:tcBorders>
              <w:top w:val="nil"/>
              <w:left w:val="single" w:sz="8" w:space="0" w:color="auto"/>
              <w:bottom w:val="nil"/>
              <w:right w:val="single" w:sz="4" w:space="0" w:color="auto"/>
            </w:tcBorders>
            <w:shd w:val="clear" w:color="auto" w:fill="auto"/>
            <w:noWrap/>
            <w:vAlign w:val="bottom"/>
            <w:hideMark/>
          </w:tcPr>
          <w:p w14:paraId="4E1BAB91"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1691B325" w14:textId="77777777" w:rsidR="00CE6999" w:rsidRPr="00785601" w:rsidRDefault="00CE6999" w:rsidP="00CE6999">
            <w:pPr>
              <w:rPr>
                <w:sz w:val="20"/>
                <w:szCs w:val="20"/>
                <w:lang w:eastAsia="en-GB"/>
              </w:rPr>
            </w:pPr>
            <w:r w:rsidRPr="00785601">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6E924145" w14:textId="77777777" w:rsidR="00CE6999" w:rsidRPr="00785601" w:rsidRDefault="00CE6999" w:rsidP="00CE6999">
            <w:pPr>
              <w:rPr>
                <w:sz w:val="20"/>
                <w:szCs w:val="20"/>
                <w:lang w:eastAsia="en-GB"/>
              </w:rPr>
            </w:pPr>
            <w:r w:rsidRPr="00785601">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7BDEE20F" w14:textId="77777777" w:rsidR="00CE6999" w:rsidRPr="00785601" w:rsidRDefault="00CE6999" w:rsidP="00CE6999">
            <w:pPr>
              <w:rPr>
                <w:sz w:val="20"/>
                <w:szCs w:val="20"/>
                <w:lang w:eastAsia="en-GB"/>
              </w:rPr>
            </w:pPr>
            <w:r w:rsidRPr="00785601">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30934C2A" w14:textId="77777777" w:rsidR="00CE6999" w:rsidRPr="00785601" w:rsidRDefault="00CE6999" w:rsidP="00CE6999">
            <w:pPr>
              <w:rPr>
                <w:b/>
                <w:bCs/>
                <w:color w:val="000000"/>
                <w:sz w:val="20"/>
                <w:szCs w:val="20"/>
                <w:lang w:eastAsia="en-GB"/>
              </w:rPr>
            </w:pPr>
            <w:r w:rsidRPr="00785601">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1DDDC4B2"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5FCFA78B"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3C5B7941"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1C4792D3"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r>
      <w:tr w:rsidR="00D1663B" w:rsidRPr="004F47DA" w14:paraId="0C165D71" w14:textId="77777777" w:rsidTr="000408B1">
        <w:trPr>
          <w:trHeight w:val="263"/>
        </w:trPr>
        <w:tc>
          <w:tcPr>
            <w:tcW w:w="4500" w:type="dxa"/>
            <w:tcBorders>
              <w:top w:val="nil"/>
              <w:left w:val="single" w:sz="8" w:space="0" w:color="auto"/>
              <w:bottom w:val="nil"/>
              <w:right w:val="single" w:sz="4" w:space="0" w:color="auto"/>
            </w:tcBorders>
            <w:shd w:val="clear" w:color="auto" w:fill="auto"/>
            <w:noWrap/>
            <w:vAlign w:val="center"/>
            <w:hideMark/>
          </w:tcPr>
          <w:p w14:paraId="08A0A0A9" w14:textId="77777777" w:rsidR="00A36626" w:rsidRPr="00785601" w:rsidRDefault="00A36626" w:rsidP="00A36626">
            <w:pPr>
              <w:rPr>
                <w:b/>
                <w:bCs/>
                <w:color w:val="000000"/>
                <w:sz w:val="20"/>
                <w:szCs w:val="20"/>
                <w:lang w:eastAsia="en-GB"/>
              </w:rPr>
            </w:pPr>
            <w:r w:rsidRPr="00785601">
              <w:rPr>
                <w:b/>
                <w:bCs/>
                <w:color w:val="000000"/>
                <w:sz w:val="20"/>
                <w:szCs w:val="20"/>
              </w:rPr>
              <w:t>Estates</w:t>
            </w:r>
          </w:p>
        </w:tc>
        <w:tc>
          <w:tcPr>
            <w:tcW w:w="1440" w:type="dxa"/>
            <w:tcBorders>
              <w:top w:val="nil"/>
              <w:left w:val="nil"/>
              <w:bottom w:val="nil"/>
              <w:right w:val="single" w:sz="4" w:space="0" w:color="auto"/>
            </w:tcBorders>
            <w:shd w:val="clear" w:color="auto" w:fill="auto"/>
            <w:noWrap/>
            <w:vAlign w:val="center"/>
            <w:hideMark/>
          </w:tcPr>
          <w:p w14:paraId="15403B1B" w14:textId="77777777" w:rsidR="00A36626" w:rsidRPr="00785601" w:rsidRDefault="00A36626" w:rsidP="008A0605">
            <w:pPr>
              <w:jc w:val="right"/>
              <w:rPr>
                <w:sz w:val="20"/>
                <w:szCs w:val="20"/>
                <w:lang w:eastAsia="en-GB"/>
              </w:rPr>
            </w:pPr>
            <w:r w:rsidRPr="00785601">
              <w:rPr>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5C283344" w14:textId="77777777" w:rsidR="00A36626" w:rsidRPr="00785601" w:rsidRDefault="00A36626" w:rsidP="008A0605">
            <w:pPr>
              <w:jc w:val="right"/>
              <w:rPr>
                <w:sz w:val="20"/>
                <w:szCs w:val="20"/>
                <w:lang w:eastAsia="en-GB"/>
              </w:rPr>
            </w:pPr>
            <w:r w:rsidRPr="00785601">
              <w:rPr>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0D439F98" w14:textId="77777777" w:rsidR="00A36626" w:rsidRPr="00785601" w:rsidRDefault="00A36626" w:rsidP="008A0605">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764E4AF4" w14:textId="77777777" w:rsidR="00A36626" w:rsidRPr="00785601" w:rsidRDefault="00A36626" w:rsidP="008A0605">
            <w:pPr>
              <w:jc w:val="right"/>
              <w:rPr>
                <w:b/>
                <w:bCs/>
                <w:color w:val="000000"/>
                <w:sz w:val="20"/>
                <w:szCs w:val="20"/>
                <w:lang w:eastAsia="en-GB"/>
              </w:rPr>
            </w:pPr>
            <w:r w:rsidRPr="00785601">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349E7072"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3D4C9E5B"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3F63D3D6"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73C29D38" w14:textId="77777777" w:rsidR="00A36626" w:rsidRPr="00785601" w:rsidRDefault="00A36626" w:rsidP="008A0605">
            <w:pPr>
              <w:jc w:val="right"/>
              <w:rPr>
                <w:color w:val="000000"/>
                <w:sz w:val="20"/>
                <w:szCs w:val="20"/>
                <w:lang w:eastAsia="en-GB"/>
              </w:rPr>
            </w:pPr>
            <w:r w:rsidRPr="00785601">
              <w:rPr>
                <w:color w:val="000000"/>
                <w:sz w:val="20"/>
                <w:szCs w:val="20"/>
              </w:rPr>
              <w:t> </w:t>
            </w:r>
          </w:p>
        </w:tc>
      </w:tr>
      <w:tr w:rsidR="00D1663B" w:rsidRPr="004F47DA" w14:paraId="4ED25CF0"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510B6156" w14:textId="77777777" w:rsidR="00A36626" w:rsidRPr="00785601" w:rsidRDefault="00A36626" w:rsidP="00A36626">
            <w:pPr>
              <w:rPr>
                <w:sz w:val="20"/>
                <w:szCs w:val="20"/>
                <w:lang w:eastAsia="en-GB"/>
              </w:rPr>
            </w:pPr>
            <w:r w:rsidRPr="00785601">
              <w:rPr>
                <w:color w:val="000000"/>
                <w:sz w:val="20"/>
                <w:szCs w:val="20"/>
              </w:rPr>
              <w:t>Bestwood Lodge Security</w:t>
            </w:r>
          </w:p>
        </w:tc>
        <w:tc>
          <w:tcPr>
            <w:tcW w:w="1440" w:type="dxa"/>
            <w:tcBorders>
              <w:top w:val="nil"/>
              <w:left w:val="single" w:sz="4" w:space="0" w:color="auto"/>
              <w:bottom w:val="nil"/>
              <w:right w:val="single" w:sz="4" w:space="0" w:color="auto"/>
            </w:tcBorders>
            <w:shd w:val="clear" w:color="auto" w:fill="auto"/>
            <w:noWrap/>
            <w:vAlign w:val="center"/>
            <w:hideMark/>
          </w:tcPr>
          <w:p w14:paraId="3CA1FD4E" w14:textId="77777777" w:rsidR="00A36626" w:rsidRPr="00785601" w:rsidRDefault="00A36626" w:rsidP="008A0605">
            <w:pPr>
              <w:jc w:val="right"/>
              <w:rPr>
                <w:sz w:val="20"/>
                <w:szCs w:val="20"/>
                <w:lang w:eastAsia="en-GB"/>
              </w:rPr>
            </w:pPr>
            <w:r w:rsidRPr="00785601">
              <w:rPr>
                <w:color w:val="000000"/>
                <w:sz w:val="20"/>
                <w:szCs w:val="20"/>
              </w:rPr>
              <w:t>62,000</w:t>
            </w:r>
          </w:p>
        </w:tc>
        <w:tc>
          <w:tcPr>
            <w:tcW w:w="1260" w:type="dxa"/>
            <w:tcBorders>
              <w:top w:val="nil"/>
              <w:left w:val="nil"/>
              <w:bottom w:val="nil"/>
              <w:right w:val="single" w:sz="4" w:space="0" w:color="auto"/>
            </w:tcBorders>
            <w:shd w:val="clear" w:color="auto" w:fill="auto"/>
            <w:noWrap/>
            <w:vAlign w:val="center"/>
            <w:hideMark/>
          </w:tcPr>
          <w:p w14:paraId="2D7F63BE" w14:textId="77777777" w:rsidR="00A36626" w:rsidRPr="00785601" w:rsidRDefault="00A36626" w:rsidP="008A0605">
            <w:pPr>
              <w:jc w:val="right"/>
              <w:rPr>
                <w:sz w:val="20"/>
                <w:szCs w:val="20"/>
                <w:lang w:eastAsia="en-GB"/>
              </w:rPr>
            </w:pPr>
            <w:r w:rsidRPr="00785601">
              <w:rPr>
                <w:color w:val="000000"/>
                <w:sz w:val="20"/>
                <w:szCs w:val="20"/>
              </w:rPr>
              <w:t>-20,000</w:t>
            </w:r>
          </w:p>
        </w:tc>
        <w:tc>
          <w:tcPr>
            <w:tcW w:w="1339" w:type="dxa"/>
            <w:tcBorders>
              <w:top w:val="nil"/>
              <w:left w:val="nil"/>
              <w:bottom w:val="nil"/>
              <w:right w:val="single" w:sz="4" w:space="0" w:color="auto"/>
            </w:tcBorders>
            <w:shd w:val="clear" w:color="auto" w:fill="auto"/>
            <w:noWrap/>
            <w:vAlign w:val="center"/>
            <w:hideMark/>
          </w:tcPr>
          <w:p w14:paraId="0B2231AA" w14:textId="77777777" w:rsidR="00A36626" w:rsidRPr="00785601" w:rsidRDefault="00A36626" w:rsidP="008A0605">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9D7FEBB" w14:textId="77777777" w:rsidR="00A36626" w:rsidRPr="00785601" w:rsidRDefault="00A36626" w:rsidP="008A0605">
            <w:pPr>
              <w:jc w:val="right"/>
              <w:rPr>
                <w:b/>
                <w:bCs/>
                <w:color w:val="000000"/>
                <w:sz w:val="20"/>
                <w:szCs w:val="20"/>
                <w:lang w:eastAsia="en-GB"/>
              </w:rPr>
            </w:pPr>
            <w:r w:rsidRPr="00785601">
              <w:rPr>
                <w:b/>
                <w:bCs/>
                <w:color w:val="000000"/>
                <w:sz w:val="20"/>
                <w:szCs w:val="20"/>
              </w:rPr>
              <w:t>42,000</w:t>
            </w:r>
          </w:p>
        </w:tc>
        <w:tc>
          <w:tcPr>
            <w:tcW w:w="1180" w:type="dxa"/>
            <w:tcBorders>
              <w:top w:val="nil"/>
              <w:left w:val="nil"/>
              <w:bottom w:val="nil"/>
              <w:right w:val="single" w:sz="4" w:space="0" w:color="auto"/>
            </w:tcBorders>
            <w:shd w:val="clear" w:color="auto" w:fill="auto"/>
            <w:noWrap/>
            <w:vAlign w:val="center"/>
            <w:hideMark/>
          </w:tcPr>
          <w:p w14:paraId="2E5419B6" w14:textId="77777777" w:rsidR="00A36626" w:rsidRPr="00785601" w:rsidRDefault="00A36626" w:rsidP="008A0605">
            <w:pPr>
              <w:jc w:val="right"/>
              <w:rPr>
                <w:color w:val="000000"/>
                <w:sz w:val="20"/>
                <w:szCs w:val="20"/>
                <w:lang w:eastAsia="en-GB"/>
              </w:rPr>
            </w:pPr>
            <w:r w:rsidRPr="00785601">
              <w:rPr>
                <w:color w:val="000000"/>
                <w:sz w:val="20"/>
                <w:szCs w:val="20"/>
              </w:rPr>
              <w:t>-42</w:t>
            </w:r>
            <w:r w:rsidR="00160010">
              <w:rPr>
                <w:color w:val="000000"/>
                <w:sz w:val="20"/>
                <w:szCs w:val="20"/>
              </w:rPr>
              <w:t>,</w:t>
            </w:r>
            <w:r w:rsidRPr="00785601">
              <w:rPr>
                <w:color w:val="000000"/>
                <w:sz w:val="20"/>
                <w:szCs w:val="20"/>
              </w:rPr>
              <w:t>000</w:t>
            </w:r>
          </w:p>
        </w:tc>
        <w:tc>
          <w:tcPr>
            <w:tcW w:w="1140" w:type="dxa"/>
            <w:tcBorders>
              <w:top w:val="nil"/>
              <w:left w:val="nil"/>
              <w:bottom w:val="nil"/>
              <w:right w:val="single" w:sz="4" w:space="0" w:color="auto"/>
            </w:tcBorders>
            <w:shd w:val="clear" w:color="auto" w:fill="auto"/>
            <w:noWrap/>
            <w:vAlign w:val="center"/>
            <w:hideMark/>
          </w:tcPr>
          <w:p w14:paraId="6B6B236C"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083ACAF1"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528837D2" w14:textId="77777777" w:rsidR="00A36626" w:rsidRPr="00785601" w:rsidRDefault="00A36626" w:rsidP="008A0605">
            <w:pPr>
              <w:jc w:val="right"/>
              <w:rPr>
                <w:color w:val="000000"/>
                <w:sz w:val="20"/>
                <w:szCs w:val="20"/>
                <w:lang w:eastAsia="en-GB"/>
              </w:rPr>
            </w:pPr>
            <w:r w:rsidRPr="00785601">
              <w:rPr>
                <w:color w:val="000000"/>
                <w:sz w:val="20"/>
                <w:szCs w:val="20"/>
              </w:rPr>
              <w:t>0</w:t>
            </w:r>
          </w:p>
        </w:tc>
      </w:tr>
      <w:tr w:rsidR="00D1663B" w:rsidRPr="004F47DA" w14:paraId="74EAC2D1" w14:textId="77777777" w:rsidTr="000408B1">
        <w:trPr>
          <w:trHeight w:val="263"/>
        </w:trPr>
        <w:tc>
          <w:tcPr>
            <w:tcW w:w="4500" w:type="dxa"/>
            <w:tcBorders>
              <w:top w:val="nil"/>
              <w:left w:val="single" w:sz="8" w:space="0" w:color="auto"/>
              <w:bottom w:val="nil"/>
              <w:right w:val="nil"/>
            </w:tcBorders>
            <w:shd w:val="clear" w:color="auto" w:fill="auto"/>
            <w:vAlign w:val="center"/>
          </w:tcPr>
          <w:p w14:paraId="7744415F" w14:textId="77777777" w:rsidR="00A36626" w:rsidRPr="00785601" w:rsidRDefault="00A36626" w:rsidP="00A36626">
            <w:pPr>
              <w:rPr>
                <w:sz w:val="20"/>
                <w:szCs w:val="20"/>
                <w:lang w:eastAsia="en-GB"/>
              </w:rPr>
            </w:pPr>
            <w:r w:rsidRPr="00785601">
              <w:rPr>
                <w:color w:val="000000"/>
                <w:sz w:val="20"/>
                <w:szCs w:val="20"/>
              </w:rPr>
              <w:t xml:space="preserve">Remedial Fire Risk Assessment </w:t>
            </w:r>
          </w:p>
        </w:tc>
        <w:tc>
          <w:tcPr>
            <w:tcW w:w="1440" w:type="dxa"/>
            <w:tcBorders>
              <w:top w:val="nil"/>
              <w:left w:val="single" w:sz="4" w:space="0" w:color="auto"/>
              <w:bottom w:val="nil"/>
              <w:right w:val="single" w:sz="4" w:space="0" w:color="auto"/>
            </w:tcBorders>
            <w:shd w:val="clear" w:color="auto" w:fill="auto"/>
            <w:noWrap/>
            <w:vAlign w:val="center"/>
          </w:tcPr>
          <w:p w14:paraId="108CBFB8" w14:textId="77777777" w:rsidR="00A36626" w:rsidRPr="00785601" w:rsidRDefault="00A36626" w:rsidP="008A0605">
            <w:pPr>
              <w:jc w:val="right"/>
              <w:rPr>
                <w:sz w:val="20"/>
                <w:szCs w:val="20"/>
                <w:lang w:eastAsia="en-GB"/>
              </w:rPr>
            </w:pPr>
            <w:r w:rsidRPr="00785601">
              <w:rPr>
                <w:color w:val="000000"/>
                <w:sz w:val="20"/>
                <w:szCs w:val="20"/>
              </w:rPr>
              <w:t>30,000</w:t>
            </w:r>
          </w:p>
        </w:tc>
        <w:tc>
          <w:tcPr>
            <w:tcW w:w="1260" w:type="dxa"/>
            <w:tcBorders>
              <w:top w:val="nil"/>
              <w:left w:val="nil"/>
              <w:bottom w:val="nil"/>
              <w:right w:val="single" w:sz="4" w:space="0" w:color="auto"/>
            </w:tcBorders>
            <w:shd w:val="clear" w:color="auto" w:fill="auto"/>
            <w:noWrap/>
            <w:vAlign w:val="center"/>
          </w:tcPr>
          <w:p w14:paraId="02A3A008" w14:textId="77777777" w:rsidR="00A36626" w:rsidRPr="00785601" w:rsidRDefault="00A36626" w:rsidP="008A0605">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tcPr>
          <w:p w14:paraId="5A3F107F" w14:textId="77777777" w:rsidR="00A36626" w:rsidRPr="00785601" w:rsidRDefault="00A36626" w:rsidP="008A0605">
            <w:pPr>
              <w:jc w:val="right"/>
              <w:rPr>
                <w:sz w:val="20"/>
                <w:szCs w:val="20"/>
                <w:lang w:eastAsia="en-GB"/>
              </w:rPr>
            </w:pPr>
            <w:r w:rsidRPr="00785601">
              <w:rPr>
                <w:color w:val="000000"/>
                <w:sz w:val="20"/>
                <w:szCs w:val="20"/>
              </w:rPr>
              <w:t>-30</w:t>
            </w:r>
            <w:r w:rsidR="00160010">
              <w:rPr>
                <w:color w:val="000000"/>
                <w:sz w:val="20"/>
                <w:szCs w:val="20"/>
              </w:rPr>
              <w:t>,</w:t>
            </w:r>
            <w:r w:rsidRPr="00785601">
              <w:rPr>
                <w:color w:val="000000"/>
                <w:sz w:val="20"/>
                <w:szCs w:val="20"/>
              </w:rPr>
              <w:t>000</w:t>
            </w:r>
          </w:p>
        </w:tc>
        <w:tc>
          <w:tcPr>
            <w:tcW w:w="1320" w:type="dxa"/>
            <w:tcBorders>
              <w:top w:val="nil"/>
              <w:left w:val="nil"/>
              <w:bottom w:val="nil"/>
              <w:right w:val="single" w:sz="4" w:space="0" w:color="auto"/>
            </w:tcBorders>
            <w:shd w:val="clear" w:color="000000" w:fill="DCE6F1"/>
            <w:noWrap/>
            <w:vAlign w:val="center"/>
          </w:tcPr>
          <w:p w14:paraId="4068BDD1" w14:textId="77777777" w:rsidR="00A36626" w:rsidRPr="00785601" w:rsidRDefault="00A36626" w:rsidP="008A0605">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nil"/>
              <w:right w:val="single" w:sz="4" w:space="0" w:color="auto"/>
            </w:tcBorders>
            <w:shd w:val="clear" w:color="auto" w:fill="auto"/>
            <w:noWrap/>
            <w:vAlign w:val="center"/>
          </w:tcPr>
          <w:p w14:paraId="0D46D811"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tcPr>
          <w:p w14:paraId="71DBAF2F"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tcPr>
          <w:p w14:paraId="13DC81F5"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tcPr>
          <w:p w14:paraId="0D724C6E" w14:textId="77777777" w:rsidR="00A36626" w:rsidRPr="00785601" w:rsidRDefault="00A36626" w:rsidP="008A0605">
            <w:pPr>
              <w:jc w:val="right"/>
              <w:rPr>
                <w:color w:val="000000"/>
                <w:sz w:val="20"/>
                <w:szCs w:val="20"/>
                <w:lang w:eastAsia="en-GB"/>
              </w:rPr>
            </w:pPr>
            <w:r w:rsidRPr="00785601">
              <w:rPr>
                <w:color w:val="000000"/>
                <w:sz w:val="20"/>
                <w:szCs w:val="20"/>
              </w:rPr>
              <w:t>0</w:t>
            </w:r>
          </w:p>
        </w:tc>
      </w:tr>
      <w:tr w:rsidR="00D1663B" w:rsidRPr="004F47DA" w14:paraId="62B4341A" w14:textId="77777777" w:rsidTr="000408B1">
        <w:trPr>
          <w:trHeight w:val="263"/>
        </w:trPr>
        <w:tc>
          <w:tcPr>
            <w:tcW w:w="4500" w:type="dxa"/>
            <w:tcBorders>
              <w:top w:val="nil"/>
              <w:left w:val="single" w:sz="8" w:space="0" w:color="auto"/>
              <w:bottom w:val="nil"/>
              <w:right w:val="nil"/>
            </w:tcBorders>
            <w:shd w:val="clear" w:color="auto" w:fill="auto"/>
            <w:vAlign w:val="center"/>
          </w:tcPr>
          <w:p w14:paraId="6D40C83B" w14:textId="77777777" w:rsidR="00A36626" w:rsidRPr="00785601" w:rsidRDefault="00A36626" w:rsidP="00A36626">
            <w:pPr>
              <w:rPr>
                <w:sz w:val="20"/>
                <w:szCs w:val="20"/>
                <w:lang w:eastAsia="en-GB"/>
              </w:rPr>
            </w:pPr>
            <w:r w:rsidRPr="00785601">
              <w:rPr>
                <w:color w:val="000000"/>
                <w:sz w:val="20"/>
                <w:szCs w:val="20"/>
              </w:rPr>
              <w:t>Headquarters Move</w:t>
            </w:r>
          </w:p>
        </w:tc>
        <w:tc>
          <w:tcPr>
            <w:tcW w:w="1440" w:type="dxa"/>
            <w:tcBorders>
              <w:top w:val="nil"/>
              <w:left w:val="single" w:sz="4" w:space="0" w:color="auto"/>
              <w:bottom w:val="nil"/>
              <w:right w:val="single" w:sz="4" w:space="0" w:color="auto"/>
            </w:tcBorders>
            <w:shd w:val="clear" w:color="auto" w:fill="auto"/>
            <w:noWrap/>
            <w:vAlign w:val="center"/>
          </w:tcPr>
          <w:p w14:paraId="694E6675" w14:textId="77777777" w:rsidR="00A36626" w:rsidRPr="00785601" w:rsidRDefault="00A36626" w:rsidP="008A0605">
            <w:pPr>
              <w:jc w:val="right"/>
              <w:rPr>
                <w:sz w:val="20"/>
                <w:szCs w:val="20"/>
                <w:lang w:eastAsia="en-GB"/>
              </w:rPr>
            </w:pPr>
            <w:r w:rsidRPr="00785601">
              <w:rPr>
                <w:color w:val="000000"/>
                <w:sz w:val="20"/>
                <w:szCs w:val="20"/>
              </w:rPr>
              <w:t>48,780</w:t>
            </w:r>
          </w:p>
        </w:tc>
        <w:tc>
          <w:tcPr>
            <w:tcW w:w="1260" w:type="dxa"/>
            <w:tcBorders>
              <w:top w:val="nil"/>
              <w:left w:val="nil"/>
              <w:bottom w:val="nil"/>
              <w:right w:val="single" w:sz="4" w:space="0" w:color="auto"/>
            </w:tcBorders>
            <w:shd w:val="clear" w:color="auto" w:fill="auto"/>
            <w:noWrap/>
            <w:vAlign w:val="center"/>
          </w:tcPr>
          <w:p w14:paraId="7FBD8D69" w14:textId="77777777" w:rsidR="00A36626" w:rsidRPr="00785601" w:rsidRDefault="00A36626" w:rsidP="008A0605">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tcPr>
          <w:p w14:paraId="25E6FF77" w14:textId="77777777" w:rsidR="00A36626" w:rsidRPr="00785601" w:rsidRDefault="00A36626" w:rsidP="008A0605">
            <w:pPr>
              <w:jc w:val="right"/>
              <w:rPr>
                <w:sz w:val="20"/>
                <w:szCs w:val="20"/>
                <w:lang w:eastAsia="en-GB"/>
              </w:rPr>
            </w:pPr>
            <w:r w:rsidRPr="00785601">
              <w:rPr>
                <w:color w:val="000000"/>
                <w:sz w:val="20"/>
                <w:szCs w:val="20"/>
              </w:rPr>
              <w:t>-48</w:t>
            </w:r>
            <w:r w:rsidR="00160010">
              <w:rPr>
                <w:color w:val="000000"/>
                <w:sz w:val="20"/>
                <w:szCs w:val="20"/>
              </w:rPr>
              <w:t>,</w:t>
            </w:r>
            <w:r w:rsidRPr="00785601">
              <w:rPr>
                <w:color w:val="000000"/>
                <w:sz w:val="20"/>
                <w:szCs w:val="20"/>
              </w:rPr>
              <w:t>780</w:t>
            </w:r>
          </w:p>
        </w:tc>
        <w:tc>
          <w:tcPr>
            <w:tcW w:w="1320" w:type="dxa"/>
            <w:tcBorders>
              <w:top w:val="nil"/>
              <w:left w:val="nil"/>
              <w:bottom w:val="nil"/>
              <w:right w:val="single" w:sz="4" w:space="0" w:color="auto"/>
            </w:tcBorders>
            <w:shd w:val="clear" w:color="000000" w:fill="DCE6F1"/>
            <w:noWrap/>
            <w:vAlign w:val="center"/>
          </w:tcPr>
          <w:p w14:paraId="29E337B2" w14:textId="77777777" w:rsidR="00A36626" w:rsidRPr="00785601" w:rsidRDefault="00A36626" w:rsidP="008A0605">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nil"/>
              <w:right w:val="single" w:sz="4" w:space="0" w:color="auto"/>
            </w:tcBorders>
            <w:shd w:val="clear" w:color="auto" w:fill="auto"/>
            <w:noWrap/>
            <w:vAlign w:val="center"/>
          </w:tcPr>
          <w:p w14:paraId="0CDC7BBD"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tcPr>
          <w:p w14:paraId="0183AD7F"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tcPr>
          <w:p w14:paraId="33A39E94"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tcPr>
          <w:p w14:paraId="27076B82" w14:textId="77777777" w:rsidR="00A36626" w:rsidRPr="00785601" w:rsidRDefault="00A36626" w:rsidP="008A0605">
            <w:pPr>
              <w:jc w:val="right"/>
              <w:rPr>
                <w:color w:val="000000"/>
                <w:sz w:val="20"/>
                <w:szCs w:val="20"/>
                <w:lang w:eastAsia="en-GB"/>
              </w:rPr>
            </w:pPr>
            <w:r w:rsidRPr="00785601">
              <w:rPr>
                <w:color w:val="000000"/>
                <w:sz w:val="20"/>
                <w:szCs w:val="20"/>
              </w:rPr>
              <w:t>0</w:t>
            </w:r>
          </w:p>
        </w:tc>
      </w:tr>
      <w:tr w:rsidR="00D1663B" w:rsidRPr="004F47DA" w14:paraId="16D8E84A" w14:textId="77777777" w:rsidTr="000408B1">
        <w:trPr>
          <w:trHeight w:val="263"/>
        </w:trPr>
        <w:tc>
          <w:tcPr>
            <w:tcW w:w="4500" w:type="dxa"/>
            <w:tcBorders>
              <w:top w:val="single" w:sz="4" w:space="0" w:color="auto"/>
              <w:left w:val="single" w:sz="8" w:space="0" w:color="auto"/>
              <w:bottom w:val="nil"/>
              <w:right w:val="single" w:sz="4" w:space="0" w:color="auto"/>
            </w:tcBorders>
            <w:shd w:val="clear" w:color="auto" w:fill="auto"/>
            <w:noWrap/>
            <w:vAlign w:val="center"/>
            <w:hideMark/>
          </w:tcPr>
          <w:p w14:paraId="363FB1C9" w14:textId="77777777" w:rsidR="00A36626" w:rsidRPr="00785601" w:rsidRDefault="00A36626" w:rsidP="00A36626">
            <w:pPr>
              <w:rPr>
                <w:b/>
                <w:bCs/>
                <w:color w:val="000000"/>
                <w:sz w:val="20"/>
                <w:szCs w:val="20"/>
                <w:lang w:eastAsia="en-GB"/>
              </w:rPr>
            </w:pPr>
            <w:r w:rsidRPr="00785601">
              <w:rPr>
                <w:b/>
                <w:bCs/>
                <w:color w:val="000000"/>
                <w:sz w:val="20"/>
                <w:szCs w:val="20"/>
              </w:rPr>
              <w:t>Sub Total</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44943034" w14:textId="77777777" w:rsidR="00A36626" w:rsidRPr="00785601" w:rsidRDefault="00A36626" w:rsidP="008A0605">
            <w:pPr>
              <w:jc w:val="right"/>
              <w:rPr>
                <w:b/>
                <w:bCs/>
                <w:sz w:val="20"/>
                <w:szCs w:val="20"/>
                <w:lang w:eastAsia="en-GB"/>
              </w:rPr>
            </w:pPr>
            <w:r w:rsidRPr="00785601">
              <w:rPr>
                <w:b/>
                <w:bCs/>
                <w:color w:val="000000"/>
                <w:sz w:val="20"/>
                <w:szCs w:val="20"/>
              </w:rPr>
              <w:t>324,765</w:t>
            </w:r>
          </w:p>
        </w:tc>
        <w:tc>
          <w:tcPr>
            <w:tcW w:w="1260" w:type="dxa"/>
            <w:tcBorders>
              <w:top w:val="single" w:sz="4" w:space="0" w:color="auto"/>
              <w:left w:val="nil"/>
              <w:bottom w:val="nil"/>
              <w:right w:val="single" w:sz="4" w:space="0" w:color="auto"/>
            </w:tcBorders>
            <w:shd w:val="clear" w:color="auto" w:fill="auto"/>
            <w:noWrap/>
            <w:vAlign w:val="center"/>
            <w:hideMark/>
          </w:tcPr>
          <w:p w14:paraId="040A1FF9" w14:textId="77777777" w:rsidR="00A36626" w:rsidRPr="00785601" w:rsidRDefault="00A36626" w:rsidP="008A0605">
            <w:pPr>
              <w:jc w:val="right"/>
              <w:rPr>
                <w:b/>
                <w:bCs/>
                <w:sz w:val="20"/>
                <w:szCs w:val="20"/>
                <w:lang w:eastAsia="en-GB"/>
              </w:rPr>
            </w:pPr>
            <w:r w:rsidRPr="00785601">
              <w:rPr>
                <w:b/>
                <w:bCs/>
                <w:color w:val="000000"/>
                <w:sz w:val="20"/>
                <w:szCs w:val="20"/>
              </w:rPr>
              <w:t>0</w:t>
            </w:r>
          </w:p>
        </w:tc>
        <w:tc>
          <w:tcPr>
            <w:tcW w:w="1339" w:type="dxa"/>
            <w:tcBorders>
              <w:top w:val="single" w:sz="4" w:space="0" w:color="auto"/>
              <w:left w:val="nil"/>
              <w:bottom w:val="nil"/>
              <w:right w:val="single" w:sz="4" w:space="0" w:color="auto"/>
            </w:tcBorders>
            <w:shd w:val="clear" w:color="auto" w:fill="auto"/>
            <w:noWrap/>
            <w:vAlign w:val="center"/>
            <w:hideMark/>
          </w:tcPr>
          <w:p w14:paraId="13794836" w14:textId="77777777" w:rsidR="00A36626" w:rsidRPr="00785601" w:rsidRDefault="00A36626" w:rsidP="008A0605">
            <w:pPr>
              <w:jc w:val="right"/>
              <w:rPr>
                <w:b/>
                <w:bCs/>
                <w:sz w:val="20"/>
                <w:szCs w:val="20"/>
                <w:lang w:eastAsia="en-GB"/>
              </w:rPr>
            </w:pPr>
            <w:r w:rsidRPr="00785601">
              <w:rPr>
                <w:b/>
                <w:bCs/>
                <w:color w:val="000000"/>
                <w:sz w:val="20"/>
                <w:szCs w:val="20"/>
              </w:rPr>
              <w:t>0</w:t>
            </w:r>
          </w:p>
        </w:tc>
        <w:tc>
          <w:tcPr>
            <w:tcW w:w="1320" w:type="dxa"/>
            <w:tcBorders>
              <w:top w:val="single" w:sz="4" w:space="0" w:color="auto"/>
              <w:left w:val="nil"/>
              <w:bottom w:val="nil"/>
              <w:right w:val="single" w:sz="4" w:space="0" w:color="auto"/>
            </w:tcBorders>
            <w:shd w:val="clear" w:color="000000" w:fill="DCE6F1"/>
            <w:noWrap/>
            <w:vAlign w:val="center"/>
            <w:hideMark/>
          </w:tcPr>
          <w:p w14:paraId="2ED3EE4D" w14:textId="77777777" w:rsidR="00A36626" w:rsidRPr="00785601" w:rsidRDefault="00A36626" w:rsidP="008A0605">
            <w:pPr>
              <w:jc w:val="right"/>
              <w:rPr>
                <w:b/>
                <w:bCs/>
                <w:sz w:val="20"/>
                <w:szCs w:val="20"/>
                <w:lang w:eastAsia="en-GB"/>
              </w:rPr>
            </w:pPr>
            <w:r w:rsidRPr="00785601">
              <w:rPr>
                <w:b/>
                <w:bCs/>
                <w:color w:val="000000"/>
                <w:sz w:val="20"/>
                <w:szCs w:val="20"/>
              </w:rPr>
              <w:t>324,765</w:t>
            </w:r>
          </w:p>
        </w:tc>
        <w:tc>
          <w:tcPr>
            <w:tcW w:w="1180" w:type="dxa"/>
            <w:tcBorders>
              <w:top w:val="single" w:sz="4" w:space="0" w:color="auto"/>
              <w:left w:val="nil"/>
              <w:bottom w:val="nil"/>
              <w:right w:val="single" w:sz="4" w:space="0" w:color="auto"/>
            </w:tcBorders>
            <w:shd w:val="clear" w:color="auto" w:fill="auto"/>
            <w:noWrap/>
            <w:vAlign w:val="center"/>
            <w:hideMark/>
          </w:tcPr>
          <w:p w14:paraId="1369B9AC" w14:textId="77777777" w:rsidR="00A36626" w:rsidRPr="00785601" w:rsidRDefault="00A36626" w:rsidP="008A0605">
            <w:pPr>
              <w:jc w:val="right"/>
              <w:rPr>
                <w:b/>
                <w:bCs/>
                <w:color w:val="000000"/>
                <w:sz w:val="20"/>
                <w:szCs w:val="20"/>
                <w:lang w:eastAsia="en-GB"/>
              </w:rPr>
            </w:pPr>
            <w:r w:rsidRPr="00785601">
              <w:rPr>
                <w:b/>
                <w:bCs/>
                <w:color w:val="000000"/>
                <w:sz w:val="20"/>
                <w:szCs w:val="20"/>
              </w:rPr>
              <w:t>-260,000</w:t>
            </w:r>
          </w:p>
        </w:tc>
        <w:tc>
          <w:tcPr>
            <w:tcW w:w="1140" w:type="dxa"/>
            <w:tcBorders>
              <w:top w:val="single" w:sz="4" w:space="0" w:color="auto"/>
              <w:left w:val="nil"/>
              <w:bottom w:val="nil"/>
              <w:right w:val="single" w:sz="4" w:space="0" w:color="auto"/>
            </w:tcBorders>
            <w:shd w:val="clear" w:color="auto" w:fill="auto"/>
            <w:noWrap/>
            <w:vAlign w:val="center"/>
            <w:hideMark/>
          </w:tcPr>
          <w:p w14:paraId="5A04A9B7" w14:textId="77777777" w:rsidR="00A36626" w:rsidRPr="00785601" w:rsidRDefault="00A36626" w:rsidP="008A0605">
            <w:pPr>
              <w:jc w:val="right"/>
              <w:rPr>
                <w:b/>
                <w:bCs/>
                <w:color w:val="000000"/>
                <w:sz w:val="20"/>
                <w:szCs w:val="20"/>
                <w:lang w:eastAsia="en-GB"/>
              </w:rPr>
            </w:pPr>
            <w:r w:rsidRPr="00785601">
              <w:rPr>
                <w:b/>
                <w:bCs/>
                <w:color w:val="000000"/>
                <w:sz w:val="20"/>
                <w:szCs w:val="20"/>
              </w:rPr>
              <w:t>-64,765</w:t>
            </w:r>
          </w:p>
        </w:tc>
        <w:tc>
          <w:tcPr>
            <w:tcW w:w="1200" w:type="dxa"/>
            <w:tcBorders>
              <w:top w:val="single" w:sz="4" w:space="0" w:color="auto"/>
              <w:left w:val="nil"/>
              <w:bottom w:val="nil"/>
              <w:right w:val="single" w:sz="4" w:space="0" w:color="auto"/>
            </w:tcBorders>
            <w:shd w:val="clear" w:color="auto" w:fill="auto"/>
            <w:noWrap/>
            <w:vAlign w:val="center"/>
            <w:hideMark/>
          </w:tcPr>
          <w:p w14:paraId="7FEFAE17" w14:textId="77777777" w:rsidR="00A36626" w:rsidRPr="00785601" w:rsidRDefault="00A36626" w:rsidP="008A0605">
            <w:pPr>
              <w:jc w:val="right"/>
              <w:rPr>
                <w:b/>
                <w:bCs/>
                <w:color w:val="000000"/>
                <w:sz w:val="20"/>
                <w:szCs w:val="20"/>
                <w:lang w:eastAsia="en-GB"/>
              </w:rPr>
            </w:pPr>
            <w:r w:rsidRPr="00785601">
              <w:rPr>
                <w:b/>
                <w:bCs/>
                <w:color w:val="000000"/>
                <w:sz w:val="20"/>
                <w:szCs w:val="20"/>
              </w:rPr>
              <w:t>0</w:t>
            </w:r>
          </w:p>
        </w:tc>
        <w:tc>
          <w:tcPr>
            <w:tcW w:w="1360" w:type="dxa"/>
            <w:tcBorders>
              <w:top w:val="single" w:sz="4" w:space="0" w:color="auto"/>
              <w:left w:val="single" w:sz="4" w:space="0" w:color="auto"/>
              <w:bottom w:val="nil"/>
              <w:right w:val="single" w:sz="8" w:space="0" w:color="auto"/>
            </w:tcBorders>
            <w:shd w:val="clear" w:color="auto" w:fill="auto"/>
            <w:noWrap/>
            <w:vAlign w:val="center"/>
            <w:hideMark/>
          </w:tcPr>
          <w:p w14:paraId="28F695AD" w14:textId="77777777" w:rsidR="00A36626" w:rsidRPr="00785601" w:rsidRDefault="00A36626" w:rsidP="008A0605">
            <w:pPr>
              <w:jc w:val="right"/>
              <w:rPr>
                <w:b/>
                <w:bCs/>
                <w:color w:val="000000"/>
                <w:sz w:val="20"/>
                <w:szCs w:val="20"/>
                <w:lang w:eastAsia="en-GB"/>
              </w:rPr>
            </w:pPr>
            <w:r w:rsidRPr="00785601">
              <w:rPr>
                <w:b/>
                <w:bCs/>
                <w:color w:val="000000"/>
                <w:sz w:val="20"/>
                <w:szCs w:val="20"/>
              </w:rPr>
              <w:t>0</w:t>
            </w:r>
          </w:p>
        </w:tc>
      </w:tr>
      <w:tr w:rsidR="00D1663B" w:rsidRPr="004F47DA" w14:paraId="39A12A39" w14:textId="77777777" w:rsidTr="00E42950">
        <w:trPr>
          <w:trHeight w:val="263"/>
        </w:trPr>
        <w:tc>
          <w:tcPr>
            <w:tcW w:w="4500" w:type="dxa"/>
            <w:tcBorders>
              <w:top w:val="nil"/>
              <w:left w:val="single" w:sz="8" w:space="0" w:color="auto"/>
              <w:bottom w:val="nil"/>
              <w:right w:val="single" w:sz="4" w:space="0" w:color="auto"/>
            </w:tcBorders>
            <w:shd w:val="clear" w:color="auto" w:fill="auto"/>
            <w:noWrap/>
            <w:vAlign w:val="bottom"/>
            <w:hideMark/>
          </w:tcPr>
          <w:p w14:paraId="1A541B94"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27B2B530" w14:textId="77777777" w:rsidR="00CE6999" w:rsidRPr="00785601" w:rsidRDefault="00CE6999" w:rsidP="00CE6999">
            <w:pPr>
              <w:rPr>
                <w:sz w:val="20"/>
                <w:szCs w:val="20"/>
                <w:lang w:eastAsia="en-GB"/>
              </w:rPr>
            </w:pPr>
            <w:r w:rsidRPr="00785601">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0DDDC3AA" w14:textId="77777777" w:rsidR="00CE6999" w:rsidRPr="00785601" w:rsidRDefault="00CE6999" w:rsidP="00CE6999">
            <w:pPr>
              <w:rPr>
                <w:sz w:val="20"/>
                <w:szCs w:val="20"/>
                <w:lang w:eastAsia="en-GB"/>
              </w:rPr>
            </w:pPr>
            <w:r w:rsidRPr="00785601">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0FA80057" w14:textId="77777777" w:rsidR="00CE6999" w:rsidRPr="00785601" w:rsidRDefault="00CE6999" w:rsidP="00CE6999">
            <w:pPr>
              <w:rPr>
                <w:sz w:val="20"/>
                <w:szCs w:val="20"/>
                <w:lang w:eastAsia="en-GB"/>
              </w:rPr>
            </w:pPr>
            <w:r w:rsidRPr="00785601">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3B21CA32" w14:textId="77777777" w:rsidR="00CE6999" w:rsidRPr="00785601" w:rsidRDefault="00CE6999" w:rsidP="00CE6999">
            <w:pPr>
              <w:rPr>
                <w:b/>
                <w:bCs/>
                <w:color w:val="000000"/>
                <w:sz w:val="20"/>
                <w:szCs w:val="20"/>
                <w:lang w:eastAsia="en-GB"/>
              </w:rPr>
            </w:pPr>
            <w:r w:rsidRPr="00785601">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1A56A9AC"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09B7E63B"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6F08287E"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2706596B"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r>
      <w:tr w:rsidR="00D1663B" w:rsidRPr="004F47DA" w14:paraId="70A9FE4D" w14:textId="77777777" w:rsidTr="000408B1">
        <w:trPr>
          <w:trHeight w:val="263"/>
        </w:trPr>
        <w:tc>
          <w:tcPr>
            <w:tcW w:w="4500" w:type="dxa"/>
            <w:tcBorders>
              <w:top w:val="nil"/>
              <w:left w:val="single" w:sz="8" w:space="0" w:color="auto"/>
              <w:bottom w:val="nil"/>
              <w:right w:val="single" w:sz="4" w:space="0" w:color="auto"/>
            </w:tcBorders>
            <w:shd w:val="clear" w:color="auto" w:fill="auto"/>
            <w:noWrap/>
            <w:vAlign w:val="center"/>
            <w:hideMark/>
          </w:tcPr>
          <w:p w14:paraId="76DDAA11" w14:textId="77777777" w:rsidR="00A36626" w:rsidRPr="00785601" w:rsidRDefault="00A36626" w:rsidP="00A36626">
            <w:pPr>
              <w:rPr>
                <w:b/>
                <w:bCs/>
                <w:color w:val="000000"/>
                <w:sz w:val="20"/>
                <w:szCs w:val="20"/>
                <w:lang w:eastAsia="en-GB"/>
              </w:rPr>
            </w:pPr>
            <w:r w:rsidRPr="00785601">
              <w:rPr>
                <w:b/>
                <w:bCs/>
                <w:color w:val="000000"/>
                <w:sz w:val="20"/>
                <w:szCs w:val="20"/>
              </w:rPr>
              <w:t>Pensions</w:t>
            </w:r>
          </w:p>
        </w:tc>
        <w:tc>
          <w:tcPr>
            <w:tcW w:w="1440" w:type="dxa"/>
            <w:tcBorders>
              <w:top w:val="nil"/>
              <w:left w:val="nil"/>
              <w:bottom w:val="nil"/>
              <w:right w:val="single" w:sz="4" w:space="0" w:color="auto"/>
            </w:tcBorders>
            <w:shd w:val="clear" w:color="auto" w:fill="auto"/>
            <w:noWrap/>
            <w:vAlign w:val="center"/>
            <w:hideMark/>
          </w:tcPr>
          <w:p w14:paraId="30D23474" w14:textId="77777777" w:rsidR="00A36626" w:rsidRPr="00785601" w:rsidRDefault="00A36626" w:rsidP="00A36626">
            <w:pPr>
              <w:rPr>
                <w:sz w:val="20"/>
                <w:szCs w:val="20"/>
                <w:lang w:eastAsia="en-GB"/>
              </w:rPr>
            </w:pPr>
            <w:r w:rsidRPr="00785601">
              <w:rPr>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0B331DBC" w14:textId="77777777" w:rsidR="00A36626" w:rsidRPr="00785601" w:rsidRDefault="00A36626" w:rsidP="00A36626">
            <w:pPr>
              <w:rPr>
                <w:sz w:val="20"/>
                <w:szCs w:val="20"/>
                <w:lang w:eastAsia="en-GB"/>
              </w:rPr>
            </w:pPr>
            <w:r w:rsidRPr="00785601">
              <w:rPr>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430875BC" w14:textId="77777777" w:rsidR="00A36626" w:rsidRPr="00785601" w:rsidRDefault="00A36626" w:rsidP="00A36626">
            <w:pPr>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6998F3B" w14:textId="77777777" w:rsidR="00A36626" w:rsidRPr="00785601" w:rsidRDefault="00A36626" w:rsidP="00A36626">
            <w:pPr>
              <w:rPr>
                <w:b/>
                <w:bCs/>
                <w:color w:val="000000"/>
                <w:sz w:val="20"/>
                <w:szCs w:val="20"/>
                <w:lang w:eastAsia="en-GB"/>
              </w:rPr>
            </w:pPr>
            <w:r w:rsidRPr="00785601">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3C188D6C" w14:textId="77777777" w:rsidR="00A36626" w:rsidRPr="00785601" w:rsidRDefault="00A36626" w:rsidP="00A36626">
            <w:pPr>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14F62A8D" w14:textId="77777777" w:rsidR="00A36626" w:rsidRPr="00785601" w:rsidRDefault="00A36626" w:rsidP="00A36626">
            <w:pPr>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42CB0D2F" w14:textId="77777777" w:rsidR="00A36626" w:rsidRPr="00785601" w:rsidRDefault="00A36626" w:rsidP="00A36626">
            <w:pPr>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02C59321" w14:textId="77777777" w:rsidR="00A36626" w:rsidRPr="00785601" w:rsidRDefault="00A36626" w:rsidP="00A36626">
            <w:pPr>
              <w:rPr>
                <w:color w:val="000000"/>
                <w:sz w:val="20"/>
                <w:szCs w:val="20"/>
                <w:lang w:eastAsia="en-GB"/>
              </w:rPr>
            </w:pPr>
            <w:r w:rsidRPr="00785601">
              <w:rPr>
                <w:color w:val="000000"/>
                <w:sz w:val="20"/>
                <w:szCs w:val="20"/>
              </w:rPr>
              <w:t> </w:t>
            </w:r>
          </w:p>
        </w:tc>
      </w:tr>
      <w:tr w:rsidR="00D1663B" w:rsidRPr="004F47DA" w14:paraId="3A5E3A6B" w14:textId="77777777" w:rsidTr="008A0605">
        <w:trPr>
          <w:trHeight w:val="263"/>
        </w:trPr>
        <w:tc>
          <w:tcPr>
            <w:tcW w:w="4500" w:type="dxa"/>
            <w:tcBorders>
              <w:top w:val="nil"/>
              <w:left w:val="single" w:sz="8" w:space="0" w:color="auto"/>
              <w:bottom w:val="nil"/>
              <w:right w:val="nil"/>
            </w:tcBorders>
            <w:shd w:val="clear" w:color="auto" w:fill="auto"/>
            <w:vAlign w:val="center"/>
            <w:hideMark/>
          </w:tcPr>
          <w:p w14:paraId="448DBB59" w14:textId="77777777" w:rsidR="00A36626" w:rsidRPr="00785601" w:rsidRDefault="00A36626" w:rsidP="00A36626">
            <w:pPr>
              <w:rPr>
                <w:sz w:val="20"/>
                <w:szCs w:val="20"/>
                <w:lang w:eastAsia="en-GB"/>
              </w:rPr>
            </w:pPr>
            <w:r w:rsidRPr="00785601">
              <w:rPr>
                <w:color w:val="000000"/>
                <w:sz w:val="20"/>
                <w:szCs w:val="20"/>
              </w:rPr>
              <w:t>Fire Pension Admin Grant</w:t>
            </w:r>
          </w:p>
        </w:tc>
        <w:tc>
          <w:tcPr>
            <w:tcW w:w="1440" w:type="dxa"/>
            <w:tcBorders>
              <w:top w:val="nil"/>
              <w:left w:val="single" w:sz="4" w:space="0" w:color="auto"/>
              <w:bottom w:val="nil"/>
              <w:right w:val="single" w:sz="4" w:space="0" w:color="auto"/>
            </w:tcBorders>
            <w:shd w:val="clear" w:color="auto" w:fill="auto"/>
            <w:noWrap/>
            <w:vAlign w:val="center"/>
            <w:hideMark/>
          </w:tcPr>
          <w:p w14:paraId="0C591AFB" w14:textId="77777777" w:rsidR="00A36626" w:rsidRPr="00785601" w:rsidRDefault="00A36626" w:rsidP="008A0605">
            <w:pPr>
              <w:jc w:val="right"/>
              <w:rPr>
                <w:sz w:val="20"/>
                <w:szCs w:val="20"/>
                <w:lang w:eastAsia="en-GB"/>
              </w:rPr>
            </w:pPr>
            <w:r w:rsidRPr="00785601">
              <w:rPr>
                <w:color w:val="000000"/>
                <w:sz w:val="20"/>
                <w:szCs w:val="20"/>
              </w:rPr>
              <w:t>124,765</w:t>
            </w:r>
          </w:p>
        </w:tc>
        <w:tc>
          <w:tcPr>
            <w:tcW w:w="1260" w:type="dxa"/>
            <w:tcBorders>
              <w:top w:val="nil"/>
              <w:left w:val="nil"/>
              <w:bottom w:val="nil"/>
              <w:right w:val="single" w:sz="4" w:space="0" w:color="auto"/>
            </w:tcBorders>
            <w:shd w:val="clear" w:color="auto" w:fill="auto"/>
            <w:noWrap/>
            <w:vAlign w:val="center"/>
          </w:tcPr>
          <w:p w14:paraId="516CB3E6" w14:textId="77777777" w:rsidR="00A36626" w:rsidRPr="00785601" w:rsidRDefault="00A36626" w:rsidP="008A0605">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523E588B" w14:textId="77777777" w:rsidR="00A36626" w:rsidRPr="00785601" w:rsidRDefault="00A36626" w:rsidP="008A0605">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3CD7AC1B" w14:textId="77777777" w:rsidR="00A36626" w:rsidRPr="00785601" w:rsidRDefault="00A36626" w:rsidP="008A0605">
            <w:pPr>
              <w:jc w:val="right"/>
              <w:rPr>
                <w:b/>
                <w:bCs/>
                <w:color w:val="000000"/>
                <w:sz w:val="20"/>
                <w:szCs w:val="20"/>
                <w:lang w:eastAsia="en-GB"/>
              </w:rPr>
            </w:pPr>
            <w:r w:rsidRPr="00785601">
              <w:rPr>
                <w:b/>
                <w:bCs/>
                <w:color w:val="000000"/>
                <w:sz w:val="20"/>
                <w:szCs w:val="20"/>
              </w:rPr>
              <w:t>124,765</w:t>
            </w:r>
          </w:p>
        </w:tc>
        <w:tc>
          <w:tcPr>
            <w:tcW w:w="1180" w:type="dxa"/>
            <w:tcBorders>
              <w:top w:val="nil"/>
              <w:left w:val="nil"/>
              <w:bottom w:val="nil"/>
              <w:right w:val="single" w:sz="4" w:space="0" w:color="auto"/>
            </w:tcBorders>
            <w:shd w:val="clear" w:color="auto" w:fill="auto"/>
            <w:noWrap/>
            <w:vAlign w:val="center"/>
            <w:hideMark/>
          </w:tcPr>
          <w:p w14:paraId="38F258F5" w14:textId="77777777" w:rsidR="00A36626" w:rsidRPr="00785601" w:rsidRDefault="00A36626" w:rsidP="008A0605">
            <w:pPr>
              <w:jc w:val="right"/>
              <w:rPr>
                <w:color w:val="000000"/>
                <w:sz w:val="20"/>
                <w:szCs w:val="20"/>
                <w:lang w:eastAsia="en-GB"/>
              </w:rPr>
            </w:pPr>
            <w:r w:rsidRPr="00785601">
              <w:rPr>
                <w:color w:val="000000"/>
                <w:sz w:val="20"/>
                <w:szCs w:val="20"/>
              </w:rPr>
              <w:t>-60,000</w:t>
            </w:r>
          </w:p>
        </w:tc>
        <w:tc>
          <w:tcPr>
            <w:tcW w:w="1140" w:type="dxa"/>
            <w:tcBorders>
              <w:top w:val="nil"/>
              <w:left w:val="nil"/>
              <w:bottom w:val="nil"/>
              <w:right w:val="single" w:sz="4" w:space="0" w:color="auto"/>
            </w:tcBorders>
            <w:shd w:val="clear" w:color="auto" w:fill="auto"/>
            <w:noWrap/>
            <w:vAlign w:val="center"/>
            <w:hideMark/>
          </w:tcPr>
          <w:p w14:paraId="444B7DFA" w14:textId="77777777" w:rsidR="00A36626" w:rsidRPr="00785601" w:rsidRDefault="00A36626" w:rsidP="008A0605">
            <w:pPr>
              <w:jc w:val="right"/>
              <w:rPr>
                <w:color w:val="000000"/>
                <w:sz w:val="20"/>
                <w:szCs w:val="20"/>
                <w:lang w:eastAsia="en-GB"/>
              </w:rPr>
            </w:pPr>
            <w:r w:rsidRPr="00785601">
              <w:rPr>
                <w:color w:val="000000"/>
                <w:sz w:val="20"/>
                <w:szCs w:val="20"/>
              </w:rPr>
              <w:t>-64,765</w:t>
            </w:r>
          </w:p>
        </w:tc>
        <w:tc>
          <w:tcPr>
            <w:tcW w:w="1200" w:type="dxa"/>
            <w:tcBorders>
              <w:top w:val="nil"/>
              <w:left w:val="nil"/>
              <w:bottom w:val="nil"/>
              <w:right w:val="single" w:sz="4" w:space="0" w:color="auto"/>
            </w:tcBorders>
            <w:shd w:val="clear" w:color="auto" w:fill="auto"/>
            <w:noWrap/>
            <w:vAlign w:val="center"/>
            <w:hideMark/>
          </w:tcPr>
          <w:p w14:paraId="1F2CCAE5"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14707C53" w14:textId="77777777" w:rsidR="00A36626" w:rsidRPr="00785601" w:rsidRDefault="00A36626" w:rsidP="008A0605">
            <w:pPr>
              <w:jc w:val="right"/>
              <w:rPr>
                <w:color w:val="000000"/>
                <w:sz w:val="20"/>
                <w:szCs w:val="20"/>
                <w:lang w:eastAsia="en-GB"/>
              </w:rPr>
            </w:pPr>
            <w:r w:rsidRPr="00785601">
              <w:rPr>
                <w:color w:val="000000"/>
                <w:sz w:val="20"/>
                <w:szCs w:val="20"/>
              </w:rPr>
              <w:t>0</w:t>
            </w:r>
          </w:p>
        </w:tc>
      </w:tr>
      <w:tr w:rsidR="00D1663B" w:rsidRPr="004F47DA" w14:paraId="1FF4B7C2" w14:textId="77777777" w:rsidTr="008A0605">
        <w:trPr>
          <w:trHeight w:val="263"/>
        </w:trPr>
        <w:tc>
          <w:tcPr>
            <w:tcW w:w="4500" w:type="dxa"/>
            <w:tcBorders>
              <w:top w:val="nil"/>
              <w:left w:val="single" w:sz="8" w:space="0" w:color="auto"/>
              <w:bottom w:val="nil"/>
              <w:right w:val="nil"/>
            </w:tcBorders>
            <w:shd w:val="clear" w:color="auto" w:fill="auto"/>
            <w:vAlign w:val="center"/>
            <w:hideMark/>
          </w:tcPr>
          <w:p w14:paraId="4BF3F289" w14:textId="77777777" w:rsidR="00A36626" w:rsidRPr="00785601" w:rsidRDefault="00A36626" w:rsidP="00A36626">
            <w:pPr>
              <w:rPr>
                <w:sz w:val="20"/>
                <w:szCs w:val="20"/>
                <w:lang w:eastAsia="en-GB"/>
              </w:rPr>
            </w:pPr>
            <w:r w:rsidRPr="00785601">
              <w:rPr>
                <w:color w:val="000000"/>
                <w:sz w:val="20"/>
                <w:szCs w:val="20"/>
              </w:rPr>
              <w:t>McCloud Pension Remedy</w:t>
            </w:r>
          </w:p>
        </w:tc>
        <w:tc>
          <w:tcPr>
            <w:tcW w:w="1440" w:type="dxa"/>
            <w:tcBorders>
              <w:top w:val="nil"/>
              <w:left w:val="single" w:sz="4" w:space="0" w:color="auto"/>
              <w:bottom w:val="nil"/>
              <w:right w:val="single" w:sz="4" w:space="0" w:color="auto"/>
            </w:tcBorders>
            <w:shd w:val="clear" w:color="auto" w:fill="auto"/>
            <w:noWrap/>
            <w:vAlign w:val="center"/>
            <w:hideMark/>
          </w:tcPr>
          <w:p w14:paraId="68AC5F8A" w14:textId="77777777" w:rsidR="00A36626" w:rsidRPr="00785601" w:rsidRDefault="00A36626" w:rsidP="008A0605">
            <w:pPr>
              <w:jc w:val="right"/>
              <w:rPr>
                <w:sz w:val="20"/>
                <w:szCs w:val="20"/>
                <w:lang w:eastAsia="en-GB"/>
              </w:rPr>
            </w:pPr>
            <w:r w:rsidRPr="00785601">
              <w:rPr>
                <w:color w:val="000000"/>
                <w:sz w:val="20"/>
                <w:szCs w:val="20"/>
              </w:rPr>
              <w:t>200,000</w:t>
            </w:r>
          </w:p>
        </w:tc>
        <w:tc>
          <w:tcPr>
            <w:tcW w:w="1260" w:type="dxa"/>
            <w:tcBorders>
              <w:top w:val="nil"/>
              <w:left w:val="nil"/>
              <w:bottom w:val="nil"/>
              <w:right w:val="single" w:sz="4" w:space="0" w:color="auto"/>
            </w:tcBorders>
            <w:shd w:val="clear" w:color="auto" w:fill="auto"/>
            <w:noWrap/>
            <w:vAlign w:val="center"/>
          </w:tcPr>
          <w:p w14:paraId="37DA0EF2" w14:textId="77777777" w:rsidR="00A36626" w:rsidRPr="00785601" w:rsidRDefault="00A36626" w:rsidP="008A0605">
            <w:pPr>
              <w:jc w:val="right"/>
              <w:rPr>
                <w:sz w:val="20"/>
                <w:szCs w:val="20"/>
                <w:lang w:eastAsia="en-GB"/>
              </w:rPr>
            </w:pPr>
          </w:p>
        </w:tc>
        <w:tc>
          <w:tcPr>
            <w:tcW w:w="1339" w:type="dxa"/>
            <w:tcBorders>
              <w:top w:val="nil"/>
              <w:left w:val="nil"/>
              <w:bottom w:val="nil"/>
              <w:right w:val="single" w:sz="4" w:space="0" w:color="auto"/>
            </w:tcBorders>
            <w:shd w:val="clear" w:color="auto" w:fill="auto"/>
            <w:noWrap/>
            <w:vAlign w:val="center"/>
            <w:hideMark/>
          </w:tcPr>
          <w:p w14:paraId="437C1D46" w14:textId="77777777" w:rsidR="00A36626" w:rsidRPr="00785601" w:rsidRDefault="00A36626" w:rsidP="008A0605">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0B7BEB96" w14:textId="77777777" w:rsidR="00A36626" w:rsidRPr="00785601" w:rsidRDefault="00A36626" w:rsidP="008A0605">
            <w:pPr>
              <w:jc w:val="right"/>
              <w:rPr>
                <w:b/>
                <w:bCs/>
                <w:color w:val="000000"/>
                <w:sz w:val="20"/>
                <w:szCs w:val="20"/>
                <w:lang w:eastAsia="en-GB"/>
              </w:rPr>
            </w:pPr>
            <w:r w:rsidRPr="00785601">
              <w:rPr>
                <w:b/>
                <w:bCs/>
                <w:color w:val="000000"/>
                <w:sz w:val="20"/>
                <w:szCs w:val="20"/>
              </w:rPr>
              <w:t>200,000</w:t>
            </w:r>
          </w:p>
        </w:tc>
        <w:tc>
          <w:tcPr>
            <w:tcW w:w="1180" w:type="dxa"/>
            <w:tcBorders>
              <w:top w:val="nil"/>
              <w:left w:val="nil"/>
              <w:bottom w:val="nil"/>
              <w:right w:val="single" w:sz="4" w:space="0" w:color="auto"/>
            </w:tcBorders>
            <w:shd w:val="clear" w:color="auto" w:fill="auto"/>
            <w:noWrap/>
            <w:vAlign w:val="center"/>
            <w:hideMark/>
          </w:tcPr>
          <w:p w14:paraId="2C099536" w14:textId="77777777" w:rsidR="00A36626" w:rsidRPr="00785601" w:rsidRDefault="00A36626" w:rsidP="008A0605">
            <w:pPr>
              <w:jc w:val="right"/>
              <w:rPr>
                <w:color w:val="000000"/>
                <w:sz w:val="20"/>
                <w:szCs w:val="20"/>
                <w:lang w:eastAsia="en-GB"/>
              </w:rPr>
            </w:pPr>
            <w:r w:rsidRPr="00785601">
              <w:rPr>
                <w:color w:val="000000"/>
                <w:sz w:val="20"/>
                <w:szCs w:val="20"/>
              </w:rPr>
              <w:t>-200</w:t>
            </w:r>
            <w:r w:rsidR="00160010">
              <w:rPr>
                <w:color w:val="000000"/>
                <w:sz w:val="20"/>
                <w:szCs w:val="20"/>
              </w:rPr>
              <w:t>,</w:t>
            </w:r>
            <w:r w:rsidRPr="00785601">
              <w:rPr>
                <w:color w:val="000000"/>
                <w:sz w:val="20"/>
                <w:szCs w:val="20"/>
              </w:rPr>
              <w:t>000</w:t>
            </w:r>
          </w:p>
        </w:tc>
        <w:tc>
          <w:tcPr>
            <w:tcW w:w="1140" w:type="dxa"/>
            <w:tcBorders>
              <w:top w:val="nil"/>
              <w:left w:val="nil"/>
              <w:bottom w:val="nil"/>
              <w:right w:val="single" w:sz="4" w:space="0" w:color="auto"/>
            </w:tcBorders>
            <w:shd w:val="clear" w:color="auto" w:fill="auto"/>
            <w:noWrap/>
            <w:vAlign w:val="center"/>
            <w:hideMark/>
          </w:tcPr>
          <w:p w14:paraId="06AE098B"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5DB0D390" w14:textId="77777777" w:rsidR="00A36626" w:rsidRPr="00785601" w:rsidRDefault="00A36626"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63B132BF" w14:textId="77777777" w:rsidR="00A36626" w:rsidRPr="00785601" w:rsidRDefault="00A36626" w:rsidP="008A0605">
            <w:pPr>
              <w:jc w:val="right"/>
              <w:rPr>
                <w:color w:val="000000"/>
                <w:sz w:val="20"/>
                <w:szCs w:val="20"/>
                <w:lang w:eastAsia="en-GB"/>
              </w:rPr>
            </w:pPr>
            <w:r w:rsidRPr="00785601">
              <w:rPr>
                <w:color w:val="000000"/>
                <w:sz w:val="20"/>
                <w:szCs w:val="20"/>
              </w:rPr>
              <w:t>0</w:t>
            </w:r>
          </w:p>
        </w:tc>
      </w:tr>
      <w:tr w:rsidR="00D1663B" w:rsidRPr="004F47DA" w14:paraId="7A790F9D" w14:textId="77777777" w:rsidTr="000408B1">
        <w:trPr>
          <w:trHeight w:val="263"/>
        </w:trPr>
        <w:tc>
          <w:tcPr>
            <w:tcW w:w="4500" w:type="dxa"/>
            <w:tcBorders>
              <w:top w:val="single" w:sz="4" w:space="0" w:color="auto"/>
              <w:left w:val="single" w:sz="8" w:space="0" w:color="auto"/>
              <w:bottom w:val="nil"/>
              <w:right w:val="single" w:sz="4" w:space="0" w:color="auto"/>
            </w:tcBorders>
            <w:shd w:val="clear" w:color="auto" w:fill="auto"/>
            <w:noWrap/>
            <w:vAlign w:val="center"/>
            <w:hideMark/>
          </w:tcPr>
          <w:p w14:paraId="0A3A564F" w14:textId="77777777" w:rsidR="008A0605" w:rsidRPr="00785601" w:rsidRDefault="008A0605" w:rsidP="008A0605">
            <w:pPr>
              <w:rPr>
                <w:b/>
                <w:bCs/>
                <w:color w:val="000000"/>
                <w:sz w:val="20"/>
                <w:szCs w:val="20"/>
                <w:lang w:eastAsia="en-GB"/>
              </w:rPr>
            </w:pPr>
            <w:r w:rsidRPr="00785601">
              <w:rPr>
                <w:b/>
                <w:bCs/>
                <w:color w:val="000000"/>
                <w:sz w:val="20"/>
                <w:szCs w:val="20"/>
              </w:rPr>
              <w:t>Sub Total</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7B0DDD74" w14:textId="77777777" w:rsidR="008A0605" w:rsidRPr="00785601" w:rsidRDefault="008A0605" w:rsidP="008A0605">
            <w:pPr>
              <w:jc w:val="right"/>
              <w:rPr>
                <w:b/>
                <w:bCs/>
                <w:sz w:val="20"/>
                <w:szCs w:val="20"/>
                <w:lang w:eastAsia="en-GB"/>
              </w:rPr>
            </w:pPr>
            <w:r w:rsidRPr="00785601">
              <w:rPr>
                <w:b/>
                <w:bCs/>
                <w:color w:val="000000"/>
                <w:sz w:val="20"/>
                <w:szCs w:val="20"/>
              </w:rPr>
              <w:t>324,765</w:t>
            </w:r>
          </w:p>
        </w:tc>
        <w:tc>
          <w:tcPr>
            <w:tcW w:w="1260" w:type="dxa"/>
            <w:tcBorders>
              <w:top w:val="single" w:sz="4" w:space="0" w:color="auto"/>
              <w:left w:val="nil"/>
              <w:bottom w:val="nil"/>
              <w:right w:val="single" w:sz="4" w:space="0" w:color="auto"/>
            </w:tcBorders>
            <w:shd w:val="clear" w:color="auto" w:fill="auto"/>
            <w:noWrap/>
            <w:vAlign w:val="center"/>
            <w:hideMark/>
          </w:tcPr>
          <w:p w14:paraId="5DF5934A" w14:textId="77777777" w:rsidR="008A0605" w:rsidRPr="00785601" w:rsidRDefault="008A0605" w:rsidP="008A0605">
            <w:pPr>
              <w:jc w:val="right"/>
              <w:rPr>
                <w:b/>
                <w:bCs/>
                <w:sz w:val="20"/>
                <w:szCs w:val="20"/>
                <w:lang w:eastAsia="en-GB"/>
              </w:rPr>
            </w:pPr>
            <w:r w:rsidRPr="00785601">
              <w:rPr>
                <w:b/>
                <w:bCs/>
                <w:color w:val="000000"/>
                <w:sz w:val="20"/>
                <w:szCs w:val="20"/>
              </w:rPr>
              <w:t>0</w:t>
            </w:r>
          </w:p>
        </w:tc>
        <w:tc>
          <w:tcPr>
            <w:tcW w:w="1339" w:type="dxa"/>
            <w:tcBorders>
              <w:top w:val="single" w:sz="4" w:space="0" w:color="auto"/>
              <w:left w:val="nil"/>
              <w:bottom w:val="nil"/>
              <w:right w:val="single" w:sz="4" w:space="0" w:color="auto"/>
            </w:tcBorders>
            <w:shd w:val="clear" w:color="auto" w:fill="auto"/>
            <w:noWrap/>
            <w:vAlign w:val="center"/>
            <w:hideMark/>
          </w:tcPr>
          <w:p w14:paraId="31206A4E" w14:textId="77777777" w:rsidR="008A0605" w:rsidRPr="00785601" w:rsidRDefault="008A0605" w:rsidP="008A0605">
            <w:pPr>
              <w:jc w:val="right"/>
              <w:rPr>
                <w:b/>
                <w:bCs/>
                <w:sz w:val="20"/>
                <w:szCs w:val="20"/>
                <w:lang w:eastAsia="en-GB"/>
              </w:rPr>
            </w:pPr>
            <w:r w:rsidRPr="00785601">
              <w:rPr>
                <w:b/>
                <w:bCs/>
                <w:color w:val="000000"/>
                <w:sz w:val="20"/>
                <w:szCs w:val="20"/>
              </w:rPr>
              <w:t>0</w:t>
            </w:r>
          </w:p>
        </w:tc>
        <w:tc>
          <w:tcPr>
            <w:tcW w:w="1320" w:type="dxa"/>
            <w:tcBorders>
              <w:top w:val="single" w:sz="4" w:space="0" w:color="auto"/>
              <w:left w:val="nil"/>
              <w:bottom w:val="nil"/>
              <w:right w:val="single" w:sz="4" w:space="0" w:color="auto"/>
            </w:tcBorders>
            <w:shd w:val="clear" w:color="000000" w:fill="DCE6F1"/>
            <w:noWrap/>
            <w:vAlign w:val="center"/>
            <w:hideMark/>
          </w:tcPr>
          <w:p w14:paraId="439B05CE" w14:textId="77777777" w:rsidR="008A0605" w:rsidRPr="00785601" w:rsidRDefault="008A0605" w:rsidP="008A0605">
            <w:pPr>
              <w:jc w:val="right"/>
              <w:rPr>
                <w:b/>
                <w:bCs/>
                <w:sz w:val="20"/>
                <w:szCs w:val="20"/>
                <w:lang w:eastAsia="en-GB"/>
              </w:rPr>
            </w:pPr>
            <w:r w:rsidRPr="00785601">
              <w:rPr>
                <w:b/>
                <w:bCs/>
                <w:color w:val="000000"/>
                <w:sz w:val="20"/>
                <w:szCs w:val="20"/>
              </w:rPr>
              <w:t>324,765</w:t>
            </w:r>
          </w:p>
        </w:tc>
        <w:tc>
          <w:tcPr>
            <w:tcW w:w="1180" w:type="dxa"/>
            <w:tcBorders>
              <w:top w:val="single" w:sz="4" w:space="0" w:color="auto"/>
              <w:left w:val="nil"/>
              <w:bottom w:val="nil"/>
              <w:right w:val="single" w:sz="4" w:space="0" w:color="auto"/>
            </w:tcBorders>
            <w:shd w:val="clear" w:color="auto" w:fill="auto"/>
            <w:noWrap/>
            <w:vAlign w:val="center"/>
            <w:hideMark/>
          </w:tcPr>
          <w:p w14:paraId="2D3A9703" w14:textId="77777777" w:rsidR="008A0605" w:rsidRPr="00785601" w:rsidRDefault="008A0605" w:rsidP="008A0605">
            <w:pPr>
              <w:jc w:val="right"/>
              <w:rPr>
                <w:b/>
                <w:bCs/>
                <w:sz w:val="20"/>
                <w:szCs w:val="20"/>
                <w:lang w:eastAsia="en-GB"/>
              </w:rPr>
            </w:pPr>
            <w:r w:rsidRPr="00785601">
              <w:rPr>
                <w:b/>
                <w:bCs/>
                <w:color w:val="000000"/>
                <w:sz w:val="20"/>
                <w:szCs w:val="20"/>
              </w:rPr>
              <w:t>-260,000</w:t>
            </w:r>
          </w:p>
        </w:tc>
        <w:tc>
          <w:tcPr>
            <w:tcW w:w="1140" w:type="dxa"/>
            <w:tcBorders>
              <w:top w:val="single" w:sz="4" w:space="0" w:color="auto"/>
              <w:left w:val="nil"/>
              <w:bottom w:val="nil"/>
              <w:right w:val="single" w:sz="4" w:space="0" w:color="auto"/>
            </w:tcBorders>
            <w:shd w:val="clear" w:color="auto" w:fill="auto"/>
            <w:noWrap/>
            <w:vAlign w:val="center"/>
            <w:hideMark/>
          </w:tcPr>
          <w:p w14:paraId="3BC02C80" w14:textId="77777777" w:rsidR="008A0605" w:rsidRPr="00785601" w:rsidRDefault="008A0605" w:rsidP="008A0605">
            <w:pPr>
              <w:jc w:val="right"/>
              <w:rPr>
                <w:b/>
                <w:bCs/>
                <w:sz w:val="20"/>
                <w:szCs w:val="20"/>
                <w:lang w:eastAsia="en-GB"/>
              </w:rPr>
            </w:pPr>
            <w:r w:rsidRPr="00785601">
              <w:rPr>
                <w:b/>
                <w:bCs/>
                <w:color w:val="000000"/>
                <w:sz w:val="20"/>
                <w:szCs w:val="20"/>
              </w:rPr>
              <w:t>-64,765</w:t>
            </w:r>
          </w:p>
        </w:tc>
        <w:tc>
          <w:tcPr>
            <w:tcW w:w="1200" w:type="dxa"/>
            <w:tcBorders>
              <w:top w:val="single" w:sz="4" w:space="0" w:color="auto"/>
              <w:left w:val="nil"/>
              <w:bottom w:val="nil"/>
              <w:right w:val="single" w:sz="4" w:space="0" w:color="auto"/>
            </w:tcBorders>
            <w:shd w:val="clear" w:color="auto" w:fill="auto"/>
            <w:noWrap/>
            <w:vAlign w:val="center"/>
            <w:hideMark/>
          </w:tcPr>
          <w:p w14:paraId="5677FF3E" w14:textId="77777777" w:rsidR="008A0605" w:rsidRPr="00785601" w:rsidRDefault="008A0605" w:rsidP="008A0605">
            <w:pPr>
              <w:jc w:val="right"/>
              <w:rPr>
                <w:b/>
                <w:bCs/>
                <w:sz w:val="20"/>
                <w:szCs w:val="20"/>
                <w:lang w:eastAsia="en-GB"/>
              </w:rPr>
            </w:pPr>
            <w:r w:rsidRPr="00785601">
              <w:rPr>
                <w:b/>
                <w:bCs/>
                <w:color w:val="000000"/>
                <w:sz w:val="20"/>
                <w:szCs w:val="20"/>
              </w:rPr>
              <w:t>0</w:t>
            </w:r>
          </w:p>
        </w:tc>
        <w:tc>
          <w:tcPr>
            <w:tcW w:w="1360" w:type="dxa"/>
            <w:tcBorders>
              <w:top w:val="single" w:sz="4" w:space="0" w:color="auto"/>
              <w:left w:val="single" w:sz="4" w:space="0" w:color="auto"/>
              <w:bottom w:val="nil"/>
              <w:right w:val="single" w:sz="8" w:space="0" w:color="auto"/>
            </w:tcBorders>
            <w:shd w:val="clear" w:color="auto" w:fill="auto"/>
            <w:noWrap/>
            <w:vAlign w:val="center"/>
            <w:hideMark/>
          </w:tcPr>
          <w:p w14:paraId="5487D812" w14:textId="77777777" w:rsidR="008A0605" w:rsidRPr="00785601" w:rsidRDefault="008A0605" w:rsidP="008A0605">
            <w:pPr>
              <w:jc w:val="right"/>
              <w:rPr>
                <w:b/>
                <w:bCs/>
                <w:sz w:val="20"/>
                <w:szCs w:val="20"/>
                <w:lang w:eastAsia="en-GB"/>
              </w:rPr>
            </w:pPr>
            <w:r w:rsidRPr="00785601">
              <w:rPr>
                <w:b/>
                <w:bCs/>
                <w:color w:val="000000"/>
                <w:sz w:val="20"/>
                <w:szCs w:val="20"/>
              </w:rPr>
              <w:t>0</w:t>
            </w:r>
          </w:p>
        </w:tc>
      </w:tr>
      <w:tr w:rsidR="00D1663B" w:rsidRPr="004F47DA" w14:paraId="601F3069" w14:textId="77777777" w:rsidTr="00E42950">
        <w:trPr>
          <w:trHeight w:val="263"/>
        </w:trPr>
        <w:tc>
          <w:tcPr>
            <w:tcW w:w="4500" w:type="dxa"/>
            <w:tcBorders>
              <w:top w:val="nil"/>
              <w:left w:val="single" w:sz="8" w:space="0" w:color="auto"/>
              <w:bottom w:val="nil"/>
              <w:right w:val="single" w:sz="4" w:space="0" w:color="auto"/>
            </w:tcBorders>
            <w:shd w:val="clear" w:color="auto" w:fill="auto"/>
            <w:noWrap/>
            <w:vAlign w:val="bottom"/>
            <w:hideMark/>
          </w:tcPr>
          <w:p w14:paraId="1158FB84"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1DB5A5A3" w14:textId="77777777" w:rsidR="00CE6999" w:rsidRPr="00785601" w:rsidRDefault="00CE6999" w:rsidP="00CE6999">
            <w:pPr>
              <w:rPr>
                <w:sz w:val="20"/>
                <w:szCs w:val="20"/>
                <w:lang w:eastAsia="en-GB"/>
              </w:rPr>
            </w:pPr>
            <w:r w:rsidRPr="00785601">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5CA017E9" w14:textId="77777777" w:rsidR="00CE6999" w:rsidRPr="00785601" w:rsidRDefault="00CE6999" w:rsidP="00CE6999">
            <w:pPr>
              <w:rPr>
                <w:sz w:val="20"/>
                <w:szCs w:val="20"/>
                <w:lang w:eastAsia="en-GB"/>
              </w:rPr>
            </w:pPr>
            <w:r w:rsidRPr="00785601">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04C21A3E" w14:textId="77777777" w:rsidR="00CE6999" w:rsidRPr="00785601" w:rsidRDefault="00CE6999" w:rsidP="00CE6999">
            <w:pPr>
              <w:rPr>
                <w:sz w:val="20"/>
                <w:szCs w:val="20"/>
                <w:lang w:eastAsia="en-GB"/>
              </w:rPr>
            </w:pPr>
            <w:r w:rsidRPr="00785601">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257572C6" w14:textId="77777777" w:rsidR="00CE6999" w:rsidRPr="00785601" w:rsidRDefault="00CE6999" w:rsidP="00CE6999">
            <w:pPr>
              <w:rPr>
                <w:b/>
                <w:bCs/>
                <w:color w:val="000000"/>
                <w:sz w:val="20"/>
                <w:szCs w:val="20"/>
                <w:lang w:eastAsia="en-GB"/>
              </w:rPr>
            </w:pPr>
            <w:r w:rsidRPr="00785601">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25C0DCE4"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72E6CAD3"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1B00031B"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6A83DF6C"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r>
      <w:tr w:rsidR="00D1663B" w:rsidRPr="004F47DA" w14:paraId="4D05BEFA" w14:textId="77777777" w:rsidTr="000408B1">
        <w:trPr>
          <w:trHeight w:val="263"/>
        </w:trPr>
        <w:tc>
          <w:tcPr>
            <w:tcW w:w="4500" w:type="dxa"/>
            <w:tcBorders>
              <w:top w:val="nil"/>
              <w:left w:val="single" w:sz="8" w:space="0" w:color="auto"/>
              <w:bottom w:val="nil"/>
              <w:right w:val="single" w:sz="4" w:space="0" w:color="auto"/>
            </w:tcBorders>
            <w:shd w:val="clear" w:color="auto" w:fill="auto"/>
            <w:noWrap/>
            <w:vAlign w:val="center"/>
            <w:hideMark/>
          </w:tcPr>
          <w:p w14:paraId="279127DA" w14:textId="77777777" w:rsidR="008A0605" w:rsidRPr="00785601" w:rsidRDefault="008A0605" w:rsidP="008A0605">
            <w:pPr>
              <w:rPr>
                <w:b/>
                <w:bCs/>
                <w:color w:val="000000"/>
                <w:sz w:val="20"/>
                <w:szCs w:val="20"/>
                <w:lang w:eastAsia="en-GB"/>
              </w:rPr>
            </w:pPr>
            <w:r w:rsidRPr="00785601">
              <w:rPr>
                <w:b/>
                <w:bCs/>
                <w:color w:val="000000"/>
                <w:sz w:val="20"/>
                <w:szCs w:val="20"/>
              </w:rPr>
              <w:t>Other</w:t>
            </w:r>
          </w:p>
        </w:tc>
        <w:tc>
          <w:tcPr>
            <w:tcW w:w="1440" w:type="dxa"/>
            <w:tcBorders>
              <w:top w:val="nil"/>
              <w:left w:val="nil"/>
              <w:bottom w:val="nil"/>
              <w:right w:val="single" w:sz="4" w:space="0" w:color="auto"/>
            </w:tcBorders>
            <w:shd w:val="clear" w:color="auto" w:fill="auto"/>
            <w:noWrap/>
            <w:vAlign w:val="center"/>
            <w:hideMark/>
          </w:tcPr>
          <w:p w14:paraId="06B2ABC4" w14:textId="77777777" w:rsidR="008A0605" w:rsidRPr="00785601" w:rsidRDefault="008A0605" w:rsidP="008A0605">
            <w:pPr>
              <w:rPr>
                <w:sz w:val="20"/>
                <w:szCs w:val="20"/>
                <w:lang w:eastAsia="en-GB"/>
              </w:rPr>
            </w:pPr>
            <w:r w:rsidRPr="00785601">
              <w:rPr>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0F744251" w14:textId="77777777" w:rsidR="008A0605" w:rsidRPr="00785601" w:rsidRDefault="008A0605" w:rsidP="008A0605">
            <w:pPr>
              <w:rPr>
                <w:sz w:val="20"/>
                <w:szCs w:val="20"/>
                <w:lang w:eastAsia="en-GB"/>
              </w:rPr>
            </w:pPr>
            <w:r w:rsidRPr="00785601">
              <w:rPr>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7A20D52B" w14:textId="77777777" w:rsidR="008A0605" w:rsidRPr="00785601" w:rsidRDefault="008A0605" w:rsidP="008A0605">
            <w:pPr>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589ED838" w14:textId="77777777" w:rsidR="008A0605" w:rsidRPr="00785601" w:rsidRDefault="008A0605" w:rsidP="008A0605">
            <w:pPr>
              <w:rPr>
                <w:b/>
                <w:bCs/>
                <w:color w:val="000000"/>
                <w:sz w:val="20"/>
                <w:szCs w:val="20"/>
                <w:lang w:eastAsia="en-GB"/>
              </w:rPr>
            </w:pPr>
            <w:r w:rsidRPr="00785601">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60D9B116" w14:textId="77777777" w:rsidR="008A0605" w:rsidRPr="00785601" w:rsidRDefault="008A0605" w:rsidP="008A0605">
            <w:pPr>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1A6B838B" w14:textId="77777777" w:rsidR="008A0605" w:rsidRPr="00785601" w:rsidRDefault="008A0605" w:rsidP="008A0605">
            <w:pPr>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29A22A36" w14:textId="77777777" w:rsidR="008A0605" w:rsidRPr="00785601" w:rsidRDefault="008A0605" w:rsidP="008A0605">
            <w:pPr>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4D3A34BB" w14:textId="77777777" w:rsidR="008A0605" w:rsidRPr="00785601" w:rsidRDefault="008A0605" w:rsidP="008A0605">
            <w:pPr>
              <w:rPr>
                <w:color w:val="000000"/>
                <w:sz w:val="20"/>
                <w:szCs w:val="20"/>
                <w:lang w:eastAsia="en-GB"/>
              </w:rPr>
            </w:pPr>
            <w:r w:rsidRPr="00785601">
              <w:rPr>
                <w:color w:val="000000"/>
                <w:sz w:val="20"/>
                <w:szCs w:val="20"/>
              </w:rPr>
              <w:t> </w:t>
            </w:r>
          </w:p>
        </w:tc>
      </w:tr>
      <w:tr w:rsidR="00D1663B" w:rsidRPr="004F47DA" w14:paraId="2DB3B5BC" w14:textId="77777777" w:rsidTr="000408B1">
        <w:trPr>
          <w:trHeight w:val="263"/>
        </w:trPr>
        <w:tc>
          <w:tcPr>
            <w:tcW w:w="4500" w:type="dxa"/>
            <w:tcBorders>
              <w:top w:val="nil"/>
              <w:left w:val="single" w:sz="8" w:space="0" w:color="auto"/>
              <w:bottom w:val="nil"/>
              <w:right w:val="single" w:sz="4" w:space="0" w:color="auto"/>
            </w:tcBorders>
            <w:shd w:val="clear" w:color="auto" w:fill="auto"/>
            <w:noWrap/>
            <w:vAlign w:val="center"/>
            <w:hideMark/>
          </w:tcPr>
          <w:p w14:paraId="707C5CE0" w14:textId="77777777" w:rsidR="008A0605" w:rsidRPr="00785601" w:rsidRDefault="008A0605" w:rsidP="008A0605">
            <w:pPr>
              <w:rPr>
                <w:color w:val="000000"/>
                <w:sz w:val="20"/>
                <w:szCs w:val="20"/>
                <w:lang w:eastAsia="en-GB"/>
              </w:rPr>
            </w:pPr>
            <w:r w:rsidRPr="00785601">
              <w:rPr>
                <w:color w:val="000000"/>
                <w:sz w:val="20"/>
                <w:szCs w:val="20"/>
              </w:rPr>
              <w:t>Covid-19 2019/20 unused grant</w:t>
            </w:r>
          </w:p>
        </w:tc>
        <w:tc>
          <w:tcPr>
            <w:tcW w:w="1440" w:type="dxa"/>
            <w:tcBorders>
              <w:top w:val="nil"/>
              <w:left w:val="nil"/>
              <w:bottom w:val="nil"/>
              <w:right w:val="single" w:sz="4" w:space="0" w:color="auto"/>
            </w:tcBorders>
            <w:shd w:val="clear" w:color="auto" w:fill="auto"/>
            <w:noWrap/>
            <w:vAlign w:val="center"/>
            <w:hideMark/>
          </w:tcPr>
          <w:p w14:paraId="6E03F854" w14:textId="77777777" w:rsidR="008A0605" w:rsidRPr="00785601" w:rsidRDefault="008A0605" w:rsidP="008A0605">
            <w:pPr>
              <w:jc w:val="right"/>
              <w:rPr>
                <w:sz w:val="20"/>
                <w:szCs w:val="20"/>
                <w:lang w:eastAsia="en-GB"/>
              </w:rPr>
            </w:pPr>
            <w:r w:rsidRPr="00785601">
              <w:rPr>
                <w:color w:val="000000"/>
                <w:sz w:val="20"/>
                <w:szCs w:val="20"/>
              </w:rPr>
              <w:t>14,906</w:t>
            </w:r>
          </w:p>
        </w:tc>
        <w:tc>
          <w:tcPr>
            <w:tcW w:w="1260" w:type="dxa"/>
            <w:tcBorders>
              <w:top w:val="nil"/>
              <w:left w:val="nil"/>
              <w:bottom w:val="nil"/>
              <w:right w:val="single" w:sz="4" w:space="0" w:color="auto"/>
            </w:tcBorders>
            <w:shd w:val="clear" w:color="auto" w:fill="auto"/>
            <w:noWrap/>
            <w:vAlign w:val="center"/>
            <w:hideMark/>
          </w:tcPr>
          <w:p w14:paraId="295AB191" w14:textId="77777777" w:rsidR="008A0605" w:rsidRPr="00785601" w:rsidRDefault="008A0605" w:rsidP="008A0605">
            <w:pPr>
              <w:jc w:val="right"/>
              <w:rPr>
                <w:sz w:val="20"/>
                <w:szCs w:val="20"/>
                <w:lang w:eastAsia="en-GB"/>
              </w:rPr>
            </w:pPr>
            <w:r w:rsidRPr="00785601">
              <w:rPr>
                <w:color w:val="000000"/>
                <w:sz w:val="20"/>
                <w:szCs w:val="20"/>
              </w:rPr>
              <w:t>0</w:t>
            </w:r>
          </w:p>
        </w:tc>
        <w:tc>
          <w:tcPr>
            <w:tcW w:w="1339" w:type="dxa"/>
            <w:tcBorders>
              <w:top w:val="nil"/>
              <w:left w:val="nil"/>
              <w:bottom w:val="nil"/>
              <w:right w:val="single" w:sz="4" w:space="0" w:color="auto"/>
            </w:tcBorders>
            <w:shd w:val="clear" w:color="auto" w:fill="auto"/>
            <w:noWrap/>
            <w:vAlign w:val="center"/>
            <w:hideMark/>
          </w:tcPr>
          <w:p w14:paraId="175AD5AE" w14:textId="77777777" w:rsidR="008A0605" w:rsidRPr="00785601" w:rsidRDefault="008A0605" w:rsidP="008A0605">
            <w:pPr>
              <w:jc w:val="right"/>
              <w:rPr>
                <w:sz w:val="20"/>
                <w:szCs w:val="20"/>
                <w:lang w:eastAsia="en-GB"/>
              </w:rPr>
            </w:pPr>
            <w:r w:rsidRPr="00785601">
              <w:rPr>
                <w:color w:val="000000"/>
                <w:sz w:val="20"/>
                <w:szCs w:val="20"/>
              </w:rPr>
              <w:t>-14</w:t>
            </w:r>
            <w:r w:rsidR="00160010">
              <w:rPr>
                <w:color w:val="000000"/>
                <w:sz w:val="20"/>
                <w:szCs w:val="20"/>
              </w:rPr>
              <w:t>,</w:t>
            </w:r>
            <w:r w:rsidRPr="00785601">
              <w:rPr>
                <w:color w:val="000000"/>
                <w:sz w:val="20"/>
                <w:szCs w:val="20"/>
              </w:rPr>
              <w:t>906</w:t>
            </w:r>
          </w:p>
        </w:tc>
        <w:tc>
          <w:tcPr>
            <w:tcW w:w="1320" w:type="dxa"/>
            <w:tcBorders>
              <w:top w:val="nil"/>
              <w:left w:val="nil"/>
              <w:bottom w:val="nil"/>
              <w:right w:val="single" w:sz="4" w:space="0" w:color="auto"/>
            </w:tcBorders>
            <w:shd w:val="clear" w:color="000000" w:fill="DCE6F1"/>
            <w:noWrap/>
            <w:vAlign w:val="center"/>
            <w:hideMark/>
          </w:tcPr>
          <w:p w14:paraId="12C42B10" w14:textId="77777777" w:rsidR="008A0605" w:rsidRPr="00785601" w:rsidRDefault="008A0605" w:rsidP="008A0605">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nil"/>
              <w:right w:val="single" w:sz="4" w:space="0" w:color="auto"/>
            </w:tcBorders>
            <w:shd w:val="clear" w:color="auto" w:fill="auto"/>
            <w:noWrap/>
            <w:vAlign w:val="center"/>
            <w:hideMark/>
          </w:tcPr>
          <w:p w14:paraId="0AB4B6CB"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51D54324"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7D7D9B29"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56B660FD" w14:textId="77777777" w:rsidR="008A0605" w:rsidRPr="00785601" w:rsidRDefault="008A0605" w:rsidP="008A0605">
            <w:pPr>
              <w:jc w:val="right"/>
              <w:rPr>
                <w:color w:val="000000"/>
                <w:sz w:val="20"/>
                <w:szCs w:val="20"/>
                <w:lang w:eastAsia="en-GB"/>
              </w:rPr>
            </w:pPr>
            <w:r w:rsidRPr="00785601">
              <w:rPr>
                <w:color w:val="000000"/>
                <w:sz w:val="20"/>
                <w:szCs w:val="20"/>
              </w:rPr>
              <w:t>0</w:t>
            </w:r>
          </w:p>
        </w:tc>
      </w:tr>
      <w:tr w:rsidR="00D1663B" w:rsidRPr="004F47DA" w14:paraId="59E4260F" w14:textId="77777777" w:rsidTr="000408B1">
        <w:trPr>
          <w:trHeight w:val="263"/>
        </w:trPr>
        <w:tc>
          <w:tcPr>
            <w:tcW w:w="4500" w:type="dxa"/>
            <w:tcBorders>
              <w:top w:val="nil"/>
              <w:left w:val="single" w:sz="8" w:space="0" w:color="auto"/>
              <w:bottom w:val="nil"/>
              <w:right w:val="nil"/>
            </w:tcBorders>
            <w:shd w:val="clear" w:color="auto" w:fill="auto"/>
            <w:vAlign w:val="center"/>
            <w:hideMark/>
          </w:tcPr>
          <w:p w14:paraId="624FAF62" w14:textId="77777777" w:rsidR="008A0605" w:rsidRPr="00785601" w:rsidRDefault="008A0605" w:rsidP="008A0605">
            <w:pPr>
              <w:rPr>
                <w:sz w:val="20"/>
                <w:szCs w:val="20"/>
                <w:lang w:eastAsia="en-GB"/>
              </w:rPr>
            </w:pPr>
            <w:r w:rsidRPr="00785601">
              <w:rPr>
                <w:color w:val="000000"/>
                <w:sz w:val="20"/>
                <w:szCs w:val="20"/>
              </w:rPr>
              <w:t>Redmond Review Grant</w:t>
            </w:r>
          </w:p>
        </w:tc>
        <w:tc>
          <w:tcPr>
            <w:tcW w:w="1440" w:type="dxa"/>
            <w:tcBorders>
              <w:top w:val="nil"/>
              <w:left w:val="single" w:sz="4" w:space="0" w:color="auto"/>
              <w:bottom w:val="nil"/>
              <w:right w:val="single" w:sz="4" w:space="0" w:color="auto"/>
            </w:tcBorders>
            <w:shd w:val="clear" w:color="auto" w:fill="auto"/>
            <w:noWrap/>
            <w:vAlign w:val="center"/>
            <w:hideMark/>
          </w:tcPr>
          <w:p w14:paraId="26082463" w14:textId="77777777" w:rsidR="008A0605" w:rsidRPr="00785601" w:rsidRDefault="008A0605" w:rsidP="008A0605">
            <w:pPr>
              <w:jc w:val="right"/>
              <w:rPr>
                <w:sz w:val="20"/>
                <w:szCs w:val="20"/>
                <w:lang w:eastAsia="en-GB"/>
              </w:rPr>
            </w:pPr>
            <w:r w:rsidRPr="00785601">
              <w:rPr>
                <w:color w:val="000000"/>
                <w:sz w:val="20"/>
                <w:szCs w:val="20"/>
              </w:rPr>
              <w:t>25,928</w:t>
            </w:r>
          </w:p>
        </w:tc>
        <w:tc>
          <w:tcPr>
            <w:tcW w:w="1260" w:type="dxa"/>
            <w:tcBorders>
              <w:top w:val="nil"/>
              <w:left w:val="nil"/>
              <w:bottom w:val="nil"/>
              <w:right w:val="single" w:sz="4" w:space="0" w:color="auto"/>
            </w:tcBorders>
            <w:shd w:val="clear" w:color="auto" w:fill="auto"/>
            <w:noWrap/>
            <w:vAlign w:val="center"/>
            <w:hideMark/>
          </w:tcPr>
          <w:p w14:paraId="21689F04" w14:textId="77777777" w:rsidR="008A0605" w:rsidRPr="00785601" w:rsidRDefault="008A0605" w:rsidP="008A0605">
            <w:pPr>
              <w:jc w:val="right"/>
              <w:rPr>
                <w:sz w:val="20"/>
                <w:szCs w:val="20"/>
                <w:lang w:eastAsia="en-GB"/>
              </w:rPr>
            </w:pPr>
            <w:r w:rsidRPr="00785601">
              <w:rPr>
                <w:color w:val="000000"/>
                <w:sz w:val="20"/>
                <w:szCs w:val="20"/>
              </w:rPr>
              <w:t>0</w:t>
            </w:r>
          </w:p>
        </w:tc>
        <w:tc>
          <w:tcPr>
            <w:tcW w:w="1339" w:type="dxa"/>
            <w:tcBorders>
              <w:top w:val="nil"/>
              <w:left w:val="nil"/>
              <w:bottom w:val="nil"/>
              <w:right w:val="single" w:sz="4" w:space="0" w:color="auto"/>
            </w:tcBorders>
            <w:shd w:val="clear" w:color="auto" w:fill="auto"/>
            <w:noWrap/>
            <w:vAlign w:val="center"/>
            <w:hideMark/>
          </w:tcPr>
          <w:p w14:paraId="45A92702" w14:textId="77777777" w:rsidR="008A0605" w:rsidRPr="00785601" w:rsidRDefault="008A0605" w:rsidP="008A0605">
            <w:pPr>
              <w:jc w:val="right"/>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054A474E" w14:textId="77777777" w:rsidR="008A0605" w:rsidRPr="00785601" w:rsidRDefault="008A0605" w:rsidP="008A0605">
            <w:pPr>
              <w:jc w:val="right"/>
              <w:rPr>
                <w:b/>
                <w:bCs/>
                <w:color w:val="000000"/>
                <w:sz w:val="20"/>
                <w:szCs w:val="20"/>
                <w:lang w:eastAsia="en-GB"/>
              </w:rPr>
            </w:pPr>
            <w:r w:rsidRPr="00785601">
              <w:rPr>
                <w:b/>
                <w:bCs/>
                <w:color w:val="000000"/>
                <w:sz w:val="20"/>
                <w:szCs w:val="20"/>
              </w:rPr>
              <w:t>25,928</w:t>
            </w:r>
          </w:p>
        </w:tc>
        <w:tc>
          <w:tcPr>
            <w:tcW w:w="1180" w:type="dxa"/>
            <w:tcBorders>
              <w:top w:val="nil"/>
              <w:left w:val="nil"/>
              <w:bottom w:val="nil"/>
              <w:right w:val="single" w:sz="4" w:space="0" w:color="auto"/>
            </w:tcBorders>
            <w:shd w:val="clear" w:color="auto" w:fill="auto"/>
            <w:noWrap/>
            <w:vAlign w:val="center"/>
            <w:hideMark/>
          </w:tcPr>
          <w:p w14:paraId="0D9E2B12"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07E6F9B4"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43062FA7"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nil"/>
              <w:right w:val="single" w:sz="8" w:space="0" w:color="auto"/>
            </w:tcBorders>
            <w:shd w:val="clear" w:color="auto" w:fill="auto"/>
            <w:noWrap/>
            <w:vAlign w:val="center"/>
            <w:hideMark/>
          </w:tcPr>
          <w:p w14:paraId="5F5EFB86" w14:textId="77777777" w:rsidR="008A0605" w:rsidRPr="00785601" w:rsidRDefault="008A0605" w:rsidP="008A0605">
            <w:pPr>
              <w:jc w:val="right"/>
              <w:rPr>
                <w:color w:val="000000"/>
                <w:sz w:val="20"/>
                <w:szCs w:val="20"/>
                <w:lang w:eastAsia="en-GB"/>
              </w:rPr>
            </w:pPr>
            <w:r w:rsidRPr="00785601">
              <w:rPr>
                <w:color w:val="000000"/>
                <w:sz w:val="20"/>
                <w:szCs w:val="20"/>
              </w:rPr>
              <w:t>25,928</w:t>
            </w:r>
          </w:p>
        </w:tc>
      </w:tr>
      <w:tr w:rsidR="00D1663B" w:rsidRPr="004F47DA" w14:paraId="2E9B1BDF" w14:textId="77777777" w:rsidTr="002F0091">
        <w:trPr>
          <w:trHeight w:val="263"/>
        </w:trPr>
        <w:tc>
          <w:tcPr>
            <w:tcW w:w="4500" w:type="dxa"/>
            <w:tcBorders>
              <w:top w:val="nil"/>
              <w:left w:val="single" w:sz="8" w:space="0" w:color="auto"/>
              <w:bottom w:val="single" w:sz="4" w:space="0" w:color="auto"/>
              <w:right w:val="nil"/>
            </w:tcBorders>
            <w:shd w:val="clear" w:color="auto" w:fill="auto"/>
            <w:vAlign w:val="bottom"/>
            <w:hideMark/>
          </w:tcPr>
          <w:p w14:paraId="2094FA3F" w14:textId="77777777" w:rsidR="008A0605" w:rsidRPr="00785601" w:rsidRDefault="008A0605" w:rsidP="008A0605">
            <w:pPr>
              <w:rPr>
                <w:sz w:val="20"/>
                <w:szCs w:val="20"/>
                <w:lang w:eastAsia="en-GB"/>
              </w:rPr>
            </w:pPr>
            <w:r w:rsidRPr="00785601">
              <w:rPr>
                <w:sz w:val="20"/>
                <w:szCs w:val="20"/>
              </w:rPr>
              <w:t xml:space="preserve">Joint HQ Comms officer </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E5112D7" w14:textId="77777777" w:rsidR="008A0605" w:rsidRPr="00785601" w:rsidRDefault="008A0605" w:rsidP="008A0605">
            <w:pPr>
              <w:jc w:val="right"/>
              <w:rPr>
                <w:sz w:val="20"/>
                <w:szCs w:val="20"/>
                <w:lang w:eastAsia="en-GB"/>
              </w:rPr>
            </w:pPr>
            <w:r w:rsidRPr="00785601">
              <w:rPr>
                <w:color w:val="000000"/>
                <w:sz w:val="20"/>
                <w:szCs w:val="20"/>
              </w:rPr>
              <w:t>1,250</w:t>
            </w:r>
          </w:p>
        </w:tc>
        <w:tc>
          <w:tcPr>
            <w:tcW w:w="1260" w:type="dxa"/>
            <w:tcBorders>
              <w:top w:val="nil"/>
              <w:left w:val="nil"/>
              <w:bottom w:val="single" w:sz="4" w:space="0" w:color="auto"/>
              <w:right w:val="single" w:sz="4" w:space="0" w:color="auto"/>
            </w:tcBorders>
            <w:shd w:val="clear" w:color="auto" w:fill="auto"/>
            <w:noWrap/>
            <w:vAlign w:val="center"/>
            <w:hideMark/>
          </w:tcPr>
          <w:p w14:paraId="574C6E50" w14:textId="77777777" w:rsidR="008A0605" w:rsidRPr="00785601" w:rsidRDefault="008A0605" w:rsidP="008A0605">
            <w:pPr>
              <w:jc w:val="right"/>
              <w:rPr>
                <w:sz w:val="20"/>
                <w:szCs w:val="20"/>
                <w:lang w:eastAsia="en-GB"/>
              </w:rPr>
            </w:pPr>
            <w:r w:rsidRPr="00785601">
              <w:rPr>
                <w:color w:val="000000"/>
                <w:sz w:val="20"/>
                <w:szCs w:val="20"/>
              </w:rPr>
              <w:t>0</w:t>
            </w:r>
          </w:p>
        </w:tc>
        <w:tc>
          <w:tcPr>
            <w:tcW w:w="1339" w:type="dxa"/>
            <w:tcBorders>
              <w:top w:val="nil"/>
              <w:left w:val="nil"/>
              <w:bottom w:val="single" w:sz="4" w:space="0" w:color="auto"/>
              <w:right w:val="single" w:sz="4" w:space="0" w:color="auto"/>
            </w:tcBorders>
            <w:shd w:val="clear" w:color="auto" w:fill="auto"/>
            <w:noWrap/>
            <w:vAlign w:val="center"/>
            <w:hideMark/>
          </w:tcPr>
          <w:p w14:paraId="2A30D359" w14:textId="77777777" w:rsidR="008A0605" w:rsidRPr="00785601" w:rsidRDefault="008A0605" w:rsidP="008A0605">
            <w:pPr>
              <w:jc w:val="right"/>
              <w:rPr>
                <w:sz w:val="20"/>
                <w:szCs w:val="20"/>
                <w:lang w:eastAsia="en-GB"/>
              </w:rPr>
            </w:pPr>
            <w:r w:rsidRPr="00785601">
              <w:rPr>
                <w:color w:val="000000"/>
                <w:sz w:val="20"/>
                <w:szCs w:val="20"/>
              </w:rPr>
              <w:t>-1</w:t>
            </w:r>
            <w:r w:rsidR="00160010">
              <w:rPr>
                <w:color w:val="000000"/>
                <w:sz w:val="20"/>
                <w:szCs w:val="20"/>
              </w:rPr>
              <w:t>,</w:t>
            </w:r>
            <w:r w:rsidRPr="00785601">
              <w:rPr>
                <w:color w:val="000000"/>
                <w:sz w:val="20"/>
                <w:szCs w:val="20"/>
              </w:rPr>
              <w:t>250</w:t>
            </w:r>
          </w:p>
        </w:tc>
        <w:tc>
          <w:tcPr>
            <w:tcW w:w="1320" w:type="dxa"/>
            <w:tcBorders>
              <w:top w:val="nil"/>
              <w:left w:val="nil"/>
              <w:bottom w:val="single" w:sz="4" w:space="0" w:color="auto"/>
              <w:right w:val="single" w:sz="4" w:space="0" w:color="auto"/>
            </w:tcBorders>
            <w:shd w:val="clear" w:color="000000" w:fill="DCE6F1"/>
            <w:noWrap/>
            <w:vAlign w:val="center"/>
            <w:hideMark/>
          </w:tcPr>
          <w:p w14:paraId="2E28C078" w14:textId="77777777" w:rsidR="008A0605" w:rsidRPr="00785601" w:rsidRDefault="008A0605" w:rsidP="008A0605">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6C6C8BD7"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1B3DA58D"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2704E22C" w14:textId="77777777" w:rsidR="008A0605" w:rsidRPr="00785601" w:rsidRDefault="008A0605" w:rsidP="008A0605">
            <w:pPr>
              <w:jc w:val="right"/>
              <w:rPr>
                <w:color w:val="000000"/>
                <w:sz w:val="20"/>
                <w:szCs w:val="20"/>
                <w:lang w:eastAsia="en-GB"/>
              </w:rPr>
            </w:pPr>
            <w:r w:rsidRPr="00785601">
              <w:rPr>
                <w:color w:val="000000"/>
                <w:sz w:val="20"/>
                <w:szCs w:val="20"/>
              </w:rPr>
              <w:t> </w:t>
            </w:r>
          </w:p>
        </w:tc>
        <w:tc>
          <w:tcPr>
            <w:tcW w:w="1360" w:type="dxa"/>
            <w:tcBorders>
              <w:top w:val="nil"/>
              <w:left w:val="nil"/>
              <w:bottom w:val="single" w:sz="4" w:space="0" w:color="auto"/>
              <w:right w:val="single" w:sz="8" w:space="0" w:color="auto"/>
            </w:tcBorders>
            <w:shd w:val="clear" w:color="auto" w:fill="auto"/>
            <w:noWrap/>
            <w:vAlign w:val="center"/>
            <w:hideMark/>
          </w:tcPr>
          <w:p w14:paraId="0165848F" w14:textId="77777777" w:rsidR="008A0605" w:rsidRPr="00785601" w:rsidRDefault="008A0605" w:rsidP="008A0605">
            <w:pPr>
              <w:jc w:val="right"/>
              <w:rPr>
                <w:color w:val="000000"/>
                <w:sz w:val="20"/>
                <w:szCs w:val="20"/>
                <w:lang w:eastAsia="en-GB"/>
              </w:rPr>
            </w:pPr>
            <w:r w:rsidRPr="00785601">
              <w:rPr>
                <w:color w:val="000000"/>
                <w:sz w:val="20"/>
                <w:szCs w:val="20"/>
              </w:rPr>
              <w:t>0</w:t>
            </w:r>
          </w:p>
        </w:tc>
      </w:tr>
      <w:tr w:rsidR="00D1663B" w:rsidRPr="004F47DA" w14:paraId="3E745D7E" w14:textId="77777777" w:rsidTr="000408B1">
        <w:trPr>
          <w:trHeight w:val="263"/>
        </w:trPr>
        <w:tc>
          <w:tcPr>
            <w:tcW w:w="4500" w:type="dxa"/>
            <w:tcBorders>
              <w:top w:val="single" w:sz="4" w:space="0" w:color="auto"/>
              <w:left w:val="single" w:sz="4" w:space="0" w:color="auto"/>
              <w:right w:val="single" w:sz="4" w:space="0" w:color="auto"/>
            </w:tcBorders>
            <w:shd w:val="clear" w:color="auto" w:fill="auto"/>
          </w:tcPr>
          <w:p w14:paraId="0F88FD27" w14:textId="77777777" w:rsidR="002F0091" w:rsidRPr="00785601" w:rsidRDefault="002F0091" w:rsidP="002F0091">
            <w:pPr>
              <w:rPr>
                <w:sz w:val="20"/>
                <w:szCs w:val="20"/>
                <w:lang w:eastAsia="en-GB"/>
              </w:rPr>
            </w:pPr>
            <w:r w:rsidRPr="00785601">
              <w:rPr>
                <w:sz w:val="20"/>
                <w:szCs w:val="20"/>
              </w:rPr>
              <w:t>External Evaluations</w:t>
            </w:r>
          </w:p>
        </w:tc>
        <w:tc>
          <w:tcPr>
            <w:tcW w:w="1440" w:type="dxa"/>
            <w:tcBorders>
              <w:top w:val="single" w:sz="4" w:space="0" w:color="auto"/>
              <w:left w:val="single" w:sz="4" w:space="0" w:color="auto"/>
              <w:right w:val="single" w:sz="4" w:space="0" w:color="auto"/>
            </w:tcBorders>
            <w:shd w:val="clear" w:color="auto" w:fill="auto"/>
            <w:noWrap/>
            <w:vAlign w:val="center"/>
          </w:tcPr>
          <w:p w14:paraId="1564768F" w14:textId="77777777" w:rsidR="002F0091" w:rsidRPr="00785601" w:rsidRDefault="002F0091" w:rsidP="002F0091">
            <w:pPr>
              <w:jc w:val="right"/>
              <w:rPr>
                <w:sz w:val="20"/>
                <w:szCs w:val="20"/>
                <w:lang w:eastAsia="en-GB"/>
              </w:rPr>
            </w:pPr>
            <w:r w:rsidRPr="00785601">
              <w:rPr>
                <w:color w:val="000000"/>
                <w:sz w:val="20"/>
                <w:szCs w:val="20"/>
              </w:rPr>
              <w:t>32,075</w:t>
            </w:r>
          </w:p>
        </w:tc>
        <w:tc>
          <w:tcPr>
            <w:tcW w:w="1260" w:type="dxa"/>
            <w:tcBorders>
              <w:top w:val="single" w:sz="4" w:space="0" w:color="auto"/>
              <w:left w:val="single" w:sz="4" w:space="0" w:color="auto"/>
              <w:right w:val="single" w:sz="4" w:space="0" w:color="auto"/>
            </w:tcBorders>
            <w:shd w:val="clear" w:color="auto" w:fill="auto"/>
            <w:noWrap/>
            <w:vAlign w:val="center"/>
          </w:tcPr>
          <w:p w14:paraId="4A24FC51" w14:textId="77777777" w:rsidR="002F0091" w:rsidRPr="00785601" w:rsidRDefault="002F0091" w:rsidP="002F0091">
            <w:pPr>
              <w:jc w:val="right"/>
              <w:rPr>
                <w:sz w:val="20"/>
                <w:szCs w:val="20"/>
                <w:lang w:eastAsia="en-GB"/>
              </w:rPr>
            </w:pPr>
            <w:r w:rsidRPr="00785601">
              <w:rPr>
                <w:color w:val="000000"/>
                <w:sz w:val="20"/>
                <w:szCs w:val="20"/>
              </w:rPr>
              <w:t xml:space="preserve"> </w:t>
            </w:r>
          </w:p>
        </w:tc>
        <w:tc>
          <w:tcPr>
            <w:tcW w:w="1339" w:type="dxa"/>
            <w:tcBorders>
              <w:top w:val="single" w:sz="4" w:space="0" w:color="auto"/>
              <w:left w:val="single" w:sz="4" w:space="0" w:color="auto"/>
              <w:right w:val="single" w:sz="4" w:space="0" w:color="auto"/>
            </w:tcBorders>
            <w:shd w:val="clear" w:color="auto" w:fill="auto"/>
            <w:noWrap/>
            <w:vAlign w:val="center"/>
          </w:tcPr>
          <w:p w14:paraId="07F07FA4" w14:textId="77777777" w:rsidR="002F0091" w:rsidRPr="00785601" w:rsidRDefault="002F0091" w:rsidP="002F0091">
            <w:pPr>
              <w:jc w:val="right"/>
              <w:rPr>
                <w:sz w:val="20"/>
                <w:szCs w:val="20"/>
                <w:lang w:eastAsia="en-GB"/>
              </w:rPr>
            </w:pPr>
            <w:r w:rsidRPr="00785601">
              <w:rPr>
                <w:color w:val="000000"/>
                <w:sz w:val="20"/>
                <w:szCs w:val="20"/>
              </w:rPr>
              <w:t> </w:t>
            </w:r>
          </w:p>
        </w:tc>
        <w:tc>
          <w:tcPr>
            <w:tcW w:w="1320" w:type="dxa"/>
            <w:tcBorders>
              <w:top w:val="single" w:sz="4" w:space="0" w:color="auto"/>
              <w:left w:val="single" w:sz="4" w:space="0" w:color="auto"/>
              <w:right w:val="single" w:sz="4" w:space="0" w:color="auto"/>
            </w:tcBorders>
            <w:shd w:val="clear" w:color="000000" w:fill="DCE6F1"/>
            <w:noWrap/>
            <w:vAlign w:val="center"/>
          </w:tcPr>
          <w:p w14:paraId="305D6808" w14:textId="77777777" w:rsidR="002F0091" w:rsidRPr="00785601" w:rsidRDefault="002F0091" w:rsidP="002F0091">
            <w:pPr>
              <w:jc w:val="right"/>
              <w:rPr>
                <w:b/>
                <w:bCs/>
                <w:color w:val="000000"/>
                <w:sz w:val="20"/>
                <w:szCs w:val="20"/>
                <w:lang w:eastAsia="en-GB"/>
              </w:rPr>
            </w:pPr>
            <w:r w:rsidRPr="00785601">
              <w:rPr>
                <w:b/>
                <w:bCs/>
                <w:color w:val="000000"/>
                <w:sz w:val="20"/>
                <w:szCs w:val="20"/>
              </w:rPr>
              <w:t>32,075</w:t>
            </w:r>
          </w:p>
        </w:tc>
        <w:tc>
          <w:tcPr>
            <w:tcW w:w="1180" w:type="dxa"/>
            <w:tcBorders>
              <w:top w:val="single" w:sz="4" w:space="0" w:color="auto"/>
              <w:left w:val="single" w:sz="4" w:space="0" w:color="auto"/>
              <w:right w:val="single" w:sz="4" w:space="0" w:color="auto"/>
            </w:tcBorders>
            <w:shd w:val="clear" w:color="auto" w:fill="auto"/>
            <w:noWrap/>
            <w:vAlign w:val="center"/>
          </w:tcPr>
          <w:p w14:paraId="0A6CD041" w14:textId="77777777" w:rsidR="002F0091" w:rsidRPr="00785601" w:rsidRDefault="002F0091" w:rsidP="002F0091">
            <w:pPr>
              <w:jc w:val="right"/>
              <w:rPr>
                <w:color w:val="000000"/>
                <w:sz w:val="20"/>
                <w:szCs w:val="20"/>
                <w:lang w:eastAsia="en-GB"/>
              </w:rPr>
            </w:pPr>
            <w:r w:rsidRPr="00785601">
              <w:rPr>
                <w:color w:val="000000"/>
                <w:sz w:val="20"/>
                <w:szCs w:val="20"/>
              </w:rPr>
              <w:t>-32</w:t>
            </w:r>
            <w:r w:rsidR="00160010">
              <w:rPr>
                <w:color w:val="000000"/>
                <w:sz w:val="20"/>
                <w:szCs w:val="20"/>
              </w:rPr>
              <w:t>,</w:t>
            </w:r>
            <w:r w:rsidRPr="00785601">
              <w:rPr>
                <w:color w:val="000000"/>
                <w:sz w:val="20"/>
                <w:szCs w:val="20"/>
              </w:rPr>
              <w:t>075</w:t>
            </w:r>
          </w:p>
        </w:tc>
        <w:tc>
          <w:tcPr>
            <w:tcW w:w="1140" w:type="dxa"/>
            <w:tcBorders>
              <w:top w:val="single" w:sz="4" w:space="0" w:color="auto"/>
              <w:left w:val="single" w:sz="4" w:space="0" w:color="auto"/>
              <w:right w:val="single" w:sz="4" w:space="0" w:color="auto"/>
            </w:tcBorders>
            <w:shd w:val="clear" w:color="auto" w:fill="auto"/>
            <w:noWrap/>
            <w:vAlign w:val="center"/>
          </w:tcPr>
          <w:p w14:paraId="0B7DFCD2"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200" w:type="dxa"/>
            <w:tcBorders>
              <w:top w:val="single" w:sz="4" w:space="0" w:color="auto"/>
              <w:left w:val="single" w:sz="4" w:space="0" w:color="auto"/>
              <w:right w:val="single" w:sz="4" w:space="0" w:color="auto"/>
            </w:tcBorders>
            <w:shd w:val="clear" w:color="auto" w:fill="auto"/>
            <w:noWrap/>
            <w:vAlign w:val="center"/>
          </w:tcPr>
          <w:p w14:paraId="7B58C865"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360" w:type="dxa"/>
            <w:tcBorders>
              <w:top w:val="single" w:sz="4" w:space="0" w:color="auto"/>
              <w:left w:val="single" w:sz="4" w:space="0" w:color="auto"/>
              <w:right w:val="single" w:sz="4" w:space="0" w:color="auto"/>
            </w:tcBorders>
            <w:shd w:val="clear" w:color="auto" w:fill="auto"/>
            <w:noWrap/>
            <w:vAlign w:val="center"/>
          </w:tcPr>
          <w:p w14:paraId="180CCF2B" w14:textId="77777777" w:rsidR="002F0091" w:rsidRPr="00785601" w:rsidRDefault="002F0091" w:rsidP="002F0091">
            <w:pPr>
              <w:jc w:val="right"/>
              <w:rPr>
                <w:color w:val="000000"/>
                <w:sz w:val="20"/>
                <w:szCs w:val="20"/>
                <w:lang w:eastAsia="en-GB"/>
              </w:rPr>
            </w:pPr>
            <w:r w:rsidRPr="00785601">
              <w:rPr>
                <w:color w:val="000000"/>
                <w:sz w:val="20"/>
                <w:szCs w:val="20"/>
              </w:rPr>
              <w:t>0</w:t>
            </w:r>
          </w:p>
        </w:tc>
      </w:tr>
      <w:tr w:rsidR="00D1663B" w:rsidRPr="004F47DA" w14:paraId="1E443089" w14:textId="77777777" w:rsidTr="000408B1">
        <w:trPr>
          <w:trHeight w:val="263"/>
        </w:trPr>
        <w:tc>
          <w:tcPr>
            <w:tcW w:w="4500" w:type="dxa"/>
            <w:tcBorders>
              <w:top w:val="nil"/>
              <w:left w:val="single" w:sz="4" w:space="0" w:color="auto"/>
              <w:right w:val="single" w:sz="4" w:space="0" w:color="auto"/>
            </w:tcBorders>
            <w:shd w:val="clear" w:color="auto" w:fill="auto"/>
            <w:vAlign w:val="bottom"/>
          </w:tcPr>
          <w:p w14:paraId="11337F72" w14:textId="77777777" w:rsidR="002F0091" w:rsidRPr="00785601" w:rsidRDefault="002F0091" w:rsidP="002F0091">
            <w:pPr>
              <w:rPr>
                <w:sz w:val="20"/>
                <w:szCs w:val="20"/>
                <w:lang w:eastAsia="en-GB"/>
              </w:rPr>
            </w:pPr>
            <w:r w:rsidRPr="00785601">
              <w:rPr>
                <w:color w:val="000000"/>
                <w:sz w:val="20"/>
                <w:szCs w:val="20"/>
              </w:rPr>
              <w:lastRenderedPageBreak/>
              <w:t>Occupational Therapist</w:t>
            </w:r>
          </w:p>
        </w:tc>
        <w:tc>
          <w:tcPr>
            <w:tcW w:w="1440" w:type="dxa"/>
            <w:tcBorders>
              <w:top w:val="nil"/>
              <w:left w:val="single" w:sz="4" w:space="0" w:color="auto"/>
              <w:right w:val="single" w:sz="4" w:space="0" w:color="auto"/>
            </w:tcBorders>
            <w:shd w:val="clear" w:color="auto" w:fill="auto"/>
            <w:noWrap/>
            <w:vAlign w:val="center"/>
          </w:tcPr>
          <w:p w14:paraId="7FACF5A0" w14:textId="77777777" w:rsidR="002F0091" w:rsidRPr="00785601" w:rsidRDefault="002F0091" w:rsidP="002F0091">
            <w:pPr>
              <w:jc w:val="right"/>
              <w:rPr>
                <w:sz w:val="20"/>
                <w:szCs w:val="20"/>
                <w:lang w:eastAsia="en-GB"/>
              </w:rPr>
            </w:pPr>
            <w:r w:rsidRPr="00785601">
              <w:rPr>
                <w:color w:val="000000"/>
                <w:sz w:val="20"/>
                <w:szCs w:val="20"/>
              </w:rPr>
              <w:t>103,908</w:t>
            </w:r>
          </w:p>
        </w:tc>
        <w:tc>
          <w:tcPr>
            <w:tcW w:w="1260" w:type="dxa"/>
            <w:tcBorders>
              <w:top w:val="nil"/>
              <w:left w:val="single" w:sz="4" w:space="0" w:color="auto"/>
              <w:right w:val="single" w:sz="4" w:space="0" w:color="auto"/>
            </w:tcBorders>
            <w:shd w:val="clear" w:color="auto" w:fill="auto"/>
            <w:noWrap/>
            <w:vAlign w:val="center"/>
          </w:tcPr>
          <w:p w14:paraId="29580AB0" w14:textId="77777777" w:rsidR="002F0091" w:rsidRPr="00785601" w:rsidRDefault="002F0091" w:rsidP="002F0091">
            <w:pPr>
              <w:jc w:val="right"/>
              <w:rPr>
                <w:sz w:val="20"/>
                <w:szCs w:val="20"/>
                <w:lang w:eastAsia="en-GB"/>
              </w:rPr>
            </w:pPr>
            <w:r w:rsidRPr="00785601">
              <w:rPr>
                <w:color w:val="000000"/>
                <w:sz w:val="20"/>
                <w:szCs w:val="20"/>
              </w:rPr>
              <w:t>-20,204</w:t>
            </w:r>
          </w:p>
        </w:tc>
        <w:tc>
          <w:tcPr>
            <w:tcW w:w="1339" w:type="dxa"/>
            <w:tcBorders>
              <w:top w:val="nil"/>
              <w:left w:val="single" w:sz="4" w:space="0" w:color="auto"/>
              <w:right w:val="single" w:sz="4" w:space="0" w:color="auto"/>
            </w:tcBorders>
            <w:shd w:val="clear" w:color="auto" w:fill="auto"/>
            <w:noWrap/>
            <w:vAlign w:val="center"/>
          </w:tcPr>
          <w:p w14:paraId="319EDCAD" w14:textId="77777777" w:rsidR="002F0091" w:rsidRPr="00785601" w:rsidRDefault="002F0091" w:rsidP="002F0091">
            <w:pPr>
              <w:jc w:val="right"/>
              <w:rPr>
                <w:sz w:val="20"/>
                <w:szCs w:val="20"/>
                <w:lang w:eastAsia="en-GB"/>
              </w:rPr>
            </w:pPr>
            <w:r w:rsidRPr="00785601">
              <w:rPr>
                <w:color w:val="000000"/>
                <w:sz w:val="20"/>
                <w:szCs w:val="20"/>
              </w:rPr>
              <w:t> </w:t>
            </w:r>
          </w:p>
        </w:tc>
        <w:tc>
          <w:tcPr>
            <w:tcW w:w="1320" w:type="dxa"/>
            <w:tcBorders>
              <w:top w:val="nil"/>
              <w:left w:val="single" w:sz="4" w:space="0" w:color="auto"/>
              <w:right w:val="single" w:sz="4" w:space="0" w:color="auto"/>
            </w:tcBorders>
            <w:shd w:val="clear" w:color="000000" w:fill="DCE6F1"/>
            <w:noWrap/>
            <w:vAlign w:val="center"/>
          </w:tcPr>
          <w:p w14:paraId="3684B16A" w14:textId="77777777" w:rsidR="002F0091" w:rsidRPr="00785601" w:rsidRDefault="002F0091" w:rsidP="002F0091">
            <w:pPr>
              <w:jc w:val="right"/>
              <w:rPr>
                <w:b/>
                <w:bCs/>
                <w:color w:val="000000"/>
                <w:sz w:val="20"/>
                <w:szCs w:val="20"/>
                <w:lang w:eastAsia="en-GB"/>
              </w:rPr>
            </w:pPr>
            <w:r w:rsidRPr="00785601">
              <w:rPr>
                <w:b/>
                <w:bCs/>
                <w:color w:val="000000"/>
                <w:sz w:val="20"/>
                <w:szCs w:val="20"/>
              </w:rPr>
              <w:t>83,704</w:t>
            </w:r>
          </w:p>
        </w:tc>
        <w:tc>
          <w:tcPr>
            <w:tcW w:w="1180" w:type="dxa"/>
            <w:tcBorders>
              <w:top w:val="nil"/>
              <w:left w:val="single" w:sz="4" w:space="0" w:color="auto"/>
              <w:right w:val="single" w:sz="4" w:space="0" w:color="auto"/>
            </w:tcBorders>
            <w:shd w:val="clear" w:color="auto" w:fill="auto"/>
            <w:noWrap/>
            <w:vAlign w:val="center"/>
          </w:tcPr>
          <w:p w14:paraId="1B96FDCF" w14:textId="77777777" w:rsidR="002F0091" w:rsidRPr="00785601" w:rsidRDefault="002F0091" w:rsidP="002F0091">
            <w:pPr>
              <w:jc w:val="right"/>
              <w:rPr>
                <w:color w:val="000000"/>
                <w:sz w:val="20"/>
                <w:szCs w:val="20"/>
                <w:lang w:eastAsia="en-GB"/>
              </w:rPr>
            </w:pPr>
            <w:r w:rsidRPr="00785601">
              <w:rPr>
                <w:color w:val="000000"/>
                <w:sz w:val="20"/>
                <w:szCs w:val="20"/>
              </w:rPr>
              <w:t>-34</w:t>
            </w:r>
            <w:r w:rsidR="00160010">
              <w:rPr>
                <w:color w:val="000000"/>
                <w:sz w:val="20"/>
                <w:szCs w:val="20"/>
              </w:rPr>
              <w:t>,</w:t>
            </w:r>
            <w:r w:rsidRPr="00785601">
              <w:rPr>
                <w:color w:val="000000"/>
                <w:sz w:val="20"/>
                <w:szCs w:val="20"/>
              </w:rPr>
              <w:t>636</w:t>
            </w:r>
          </w:p>
        </w:tc>
        <w:tc>
          <w:tcPr>
            <w:tcW w:w="1140" w:type="dxa"/>
            <w:tcBorders>
              <w:top w:val="nil"/>
              <w:left w:val="single" w:sz="4" w:space="0" w:color="auto"/>
              <w:right w:val="single" w:sz="4" w:space="0" w:color="auto"/>
            </w:tcBorders>
            <w:shd w:val="clear" w:color="auto" w:fill="auto"/>
            <w:noWrap/>
            <w:vAlign w:val="center"/>
          </w:tcPr>
          <w:p w14:paraId="0A93C0EC" w14:textId="77777777" w:rsidR="002F0091" w:rsidRPr="00785601" w:rsidRDefault="002F0091" w:rsidP="002F0091">
            <w:pPr>
              <w:jc w:val="right"/>
              <w:rPr>
                <w:color w:val="000000"/>
                <w:sz w:val="20"/>
                <w:szCs w:val="20"/>
                <w:lang w:eastAsia="en-GB"/>
              </w:rPr>
            </w:pPr>
            <w:r w:rsidRPr="00785601">
              <w:rPr>
                <w:color w:val="000000"/>
                <w:sz w:val="20"/>
                <w:szCs w:val="20"/>
              </w:rPr>
              <w:t>-34</w:t>
            </w:r>
            <w:r w:rsidR="00160010">
              <w:rPr>
                <w:color w:val="000000"/>
                <w:sz w:val="20"/>
                <w:szCs w:val="20"/>
              </w:rPr>
              <w:t>,</w:t>
            </w:r>
            <w:r w:rsidRPr="00785601">
              <w:rPr>
                <w:color w:val="000000"/>
                <w:sz w:val="20"/>
                <w:szCs w:val="20"/>
              </w:rPr>
              <w:t>636</w:t>
            </w:r>
          </w:p>
        </w:tc>
        <w:tc>
          <w:tcPr>
            <w:tcW w:w="1200" w:type="dxa"/>
            <w:tcBorders>
              <w:top w:val="nil"/>
              <w:left w:val="single" w:sz="4" w:space="0" w:color="auto"/>
              <w:right w:val="single" w:sz="4" w:space="0" w:color="auto"/>
            </w:tcBorders>
            <w:shd w:val="clear" w:color="auto" w:fill="auto"/>
            <w:noWrap/>
            <w:vAlign w:val="center"/>
          </w:tcPr>
          <w:p w14:paraId="615CE597" w14:textId="77777777" w:rsidR="002F0091" w:rsidRPr="00785601" w:rsidRDefault="002F0091" w:rsidP="002F0091">
            <w:pPr>
              <w:jc w:val="right"/>
              <w:rPr>
                <w:color w:val="000000"/>
                <w:sz w:val="20"/>
                <w:szCs w:val="20"/>
                <w:lang w:eastAsia="en-GB"/>
              </w:rPr>
            </w:pPr>
            <w:r w:rsidRPr="00785601">
              <w:rPr>
                <w:color w:val="000000"/>
                <w:sz w:val="20"/>
                <w:szCs w:val="20"/>
              </w:rPr>
              <w:t>-14432</w:t>
            </w:r>
          </w:p>
        </w:tc>
        <w:tc>
          <w:tcPr>
            <w:tcW w:w="1360" w:type="dxa"/>
            <w:tcBorders>
              <w:top w:val="nil"/>
              <w:left w:val="single" w:sz="4" w:space="0" w:color="auto"/>
              <w:right w:val="single" w:sz="4" w:space="0" w:color="auto"/>
            </w:tcBorders>
            <w:shd w:val="clear" w:color="auto" w:fill="auto"/>
            <w:noWrap/>
            <w:vAlign w:val="center"/>
          </w:tcPr>
          <w:p w14:paraId="43E0B31D" w14:textId="77777777" w:rsidR="002F0091" w:rsidRPr="00785601" w:rsidRDefault="002F0091" w:rsidP="002F0091">
            <w:pPr>
              <w:jc w:val="right"/>
              <w:rPr>
                <w:color w:val="000000"/>
                <w:sz w:val="20"/>
                <w:szCs w:val="20"/>
                <w:lang w:eastAsia="en-GB"/>
              </w:rPr>
            </w:pPr>
            <w:r w:rsidRPr="00785601">
              <w:rPr>
                <w:color w:val="000000"/>
                <w:sz w:val="20"/>
                <w:szCs w:val="20"/>
              </w:rPr>
              <w:t>0</w:t>
            </w:r>
          </w:p>
        </w:tc>
      </w:tr>
      <w:tr w:rsidR="00D1663B" w:rsidRPr="004F47DA" w14:paraId="70D02F64" w14:textId="77777777" w:rsidTr="000408B1">
        <w:trPr>
          <w:trHeight w:val="263"/>
        </w:trPr>
        <w:tc>
          <w:tcPr>
            <w:tcW w:w="4500" w:type="dxa"/>
            <w:tcBorders>
              <w:top w:val="nil"/>
              <w:left w:val="single" w:sz="4" w:space="0" w:color="auto"/>
              <w:right w:val="single" w:sz="4" w:space="0" w:color="auto"/>
            </w:tcBorders>
            <w:shd w:val="clear" w:color="auto" w:fill="auto"/>
            <w:vAlign w:val="center"/>
          </w:tcPr>
          <w:p w14:paraId="3906B8CF" w14:textId="77777777" w:rsidR="002F0091" w:rsidRPr="00785601" w:rsidRDefault="002F0091" w:rsidP="002F0091">
            <w:pPr>
              <w:rPr>
                <w:sz w:val="20"/>
                <w:szCs w:val="20"/>
                <w:lang w:eastAsia="en-GB"/>
              </w:rPr>
            </w:pPr>
            <w:r w:rsidRPr="00785601">
              <w:rPr>
                <w:color w:val="000000"/>
                <w:sz w:val="20"/>
                <w:szCs w:val="20"/>
              </w:rPr>
              <w:t>Budget Pressures Support</w:t>
            </w:r>
          </w:p>
        </w:tc>
        <w:tc>
          <w:tcPr>
            <w:tcW w:w="1440" w:type="dxa"/>
            <w:tcBorders>
              <w:top w:val="nil"/>
              <w:left w:val="single" w:sz="4" w:space="0" w:color="auto"/>
              <w:right w:val="single" w:sz="4" w:space="0" w:color="auto"/>
            </w:tcBorders>
            <w:shd w:val="clear" w:color="auto" w:fill="auto"/>
            <w:noWrap/>
            <w:vAlign w:val="center"/>
          </w:tcPr>
          <w:p w14:paraId="51ECAA26" w14:textId="77777777" w:rsidR="002F0091" w:rsidRPr="00785601" w:rsidRDefault="002F0091" w:rsidP="002F0091">
            <w:pPr>
              <w:jc w:val="right"/>
              <w:rPr>
                <w:sz w:val="20"/>
                <w:szCs w:val="20"/>
                <w:lang w:eastAsia="en-GB"/>
              </w:rPr>
            </w:pPr>
            <w:r w:rsidRPr="00785601">
              <w:rPr>
                <w:color w:val="000000"/>
                <w:sz w:val="20"/>
                <w:szCs w:val="20"/>
              </w:rPr>
              <w:t>1,126,076</w:t>
            </w:r>
          </w:p>
        </w:tc>
        <w:tc>
          <w:tcPr>
            <w:tcW w:w="1260" w:type="dxa"/>
            <w:tcBorders>
              <w:top w:val="nil"/>
              <w:left w:val="single" w:sz="4" w:space="0" w:color="auto"/>
              <w:right w:val="single" w:sz="4" w:space="0" w:color="auto"/>
            </w:tcBorders>
            <w:shd w:val="clear" w:color="auto" w:fill="auto"/>
            <w:noWrap/>
            <w:vAlign w:val="center"/>
          </w:tcPr>
          <w:p w14:paraId="7F48628C" w14:textId="77777777" w:rsidR="002F0091" w:rsidRPr="00785601" w:rsidRDefault="002F0091" w:rsidP="002F0091">
            <w:pPr>
              <w:jc w:val="right"/>
              <w:rPr>
                <w:sz w:val="20"/>
                <w:szCs w:val="20"/>
                <w:lang w:eastAsia="en-GB"/>
              </w:rPr>
            </w:pPr>
            <w:r w:rsidRPr="00785601">
              <w:rPr>
                <w:color w:val="000000"/>
                <w:sz w:val="20"/>
                <w:szCs w:val="20"/>
              </w:rPr>
              <w:t xml:space="preserve"> </w:t>
            </w:r>
          </w:p>
        </w:tc>
        <w:tc>
          <w:tcPr>
            <w:tcW w:w="1339" w:type="dxa"/>
            <w:tcBorders>
              <w:top w:val="nil"/>
              <w:left w:val="single" w:sz="4" w:space="0" w:color="auto"/>
              <w:right w:val="single" w:sz="4" w:space="0" w:color="auto"/>
            </w:tcBorders>
            <w:shd w:val="clear" w:color="auto" w:fill="auto"/>
            <w:noWrap/>
            <w:vAlign w:val="center"/>
          </w:tcPr>
          <w:p w14:paraId="16F98089" w14:textId="77777777" w:rsidR="002F0091" w:rsidRPr="00785601" w:rsidRDefault="002F0091" w:rsidP="002F0091">
            <w:pPr>
              <w:jc w:val="right"/>
              <w:rPr>
                <w:sz w:val="20"/>
                <w:szCs w:val="20"/>
                <w:lang w:eastAsia="en-GB"/>
              </w:rPr>
            </w:pPr>
            <w:r w:rsidRPr="00785601">
              <w:rPr>
                <w:color w:val="000000"/>
                <w:sz w:val="20"/>
                <w:szCs w:val="20"/>
              </w:rPr>
              <w:t> </w:t>
            </w:r>
          </w:p>
        </w:tc>
        <w:tc>
          <w:tcPr>
            <w:tcW w:w="1320" w:type="dxa"/>
            <w:tcBorders>
              <w:top w:val="nil"/>
              <w:left w:val="single" w:sz="4" w:space="0" w:color="auto"/>
              <w:right w:val="single" w:sz="4" w:space="0" w:color="auto"/>
            </w:tcBorders>
            <w:shd w:val="clear" w:color="000000" w:fill="DCE6F1"/>
            <w:noWrap/>
            <w:vAlign w:val="center"/>
          </w:tcPr>
          <w:p w14:paraId="7CC4BBFE" w14:textId="77777777" w:rsidR="002F0091" w:rsidRPr="00785601" w:rsidRDefault="002F0091" w:rsidP="002F0091">
            <w:pPr>
              <w:jc w:val="right"/>
              <w:rPr>
                <w:b/>
                <w:bCs/>
                <w:color w:val="000000"/>
                <w:sz w:val="20"/>
                <w:szCs w:val="20"/>
                <w:lang w:eastAsia="en-GB"/>
              </w:rPr>
            </w:pPr>
            <w:r w:rsidRPr="00785601">
              <w:rPr>
                <w:b/>
                <w:bCs/>
                <w:color w:val="000000"/>
                <w:sz w:val="20"/>
                <w:szCs w:val="20"/>
              </w:rPr>
              <w:t>1,126,076</w:t>
            </w:r>
          </w:p>
        </w:tc>
        <w:tc>
          <w:tcPr>
            <w:tcW w:w="1180" w:type="dxa"/>
            <w:tcBorders>
              <w:top w:val="nil"/>
              <w:left w:val="single" w:sz="4" w:space="0" w:color="auto"/>
              <w:right w:val="single" w:sz="4" w:space="0" w:color="auto"/>
            </w:tcBorders>
            <w:shd w:val="clear" w:color="auto" w:fill="auto"/>
            <w:noWrap/>
            <w:vAlign w:val="center"/>
          </w:tcPr>
          <w:p w14:paraId="226CF044" w14:textId="77777777" w:rsidR="002F0091" w:rsidRPr="00694C42" w:rsidRDefault="002F0091" w:rsidP="002F0091">
            <w:pPr>
              <w:jc w:val="right"/>
              <w:rPr>
                <w:color w:val="000000"/>
                <w:sz w:val="20"/>
                <w:szCs w:val="20"/>
                <w:lang w:eastAsia="en-GB"/>
              </w:rPr>
            </w:pPr>
            <w:r w:rsidRPr="00694C42">
              <w:rPr>
                <w:color w:val="000000"/>
                <w:sz w:val="20"/>
                <w:szCs w:val="20"/>
              </w:rPr>
              <w:t>-</w:t>
            </w:r>
            <w:r w:rsidR="00694C42">
              <w:rPr>
                <w:color w:val="000000"/>
                <w:sz w:val="20"/>
                <w:szCs w:val="20"/>
              </w:rPr>
              <w:t>1,000,000</w:t>
            </w:r>
          </w:p>
        </w:tc>
        <w:tc>
          <w:tcPr>
            <w:tcW w:w="1140" w:type="dxa"/>
            <w:tcBorders>
              <w:top w:val="nil"/>
              <w:left w:val="single" w:sz="4" w:space="0" w:color="auto"/>
              <w:right w:val="single" w:sz="4" w:space="0" w:color="auto"/>
            </w:tcBorders>
            <w:shd w:val="clear" w:color="auto" w:fill="auto"/>
            <w:noWrap/>
            <w:vAlign w:val="center"/>
          </w:tcPr>
          <w:p w14:paraId="484A373F" w14:textId="77777777" w:rsidR="002F0091" w:rsidRPr="00694C42" w:rsidRDefault="002F0091" w:rsidP="002F0091">
            <w:pPr>
              <w:jc w:val="right"/>
              <w:rPr>
                <w:color w:val="000000"/>
                <w:sz w:val="20"/>
                <w:szCs w:val="20"/>
                <w:lang w:eastAsia="en-GB"/>
              </w:rPr>
            </w:pPr>
            <w:r w:rsidRPr="00694C42">
              <w:rPr>
                <w:color w:val="000000"/>
                <w:sz w:val="20"/>
                <w:szCs w:val="20"/>
              </w:rPr>
              <w:t>-126,076</w:t>
            </w:r>
          </w:p>
        </w:tc>
        <w:tc>
          <w:tcPr>
            <w:tcW w:w="1200" w:type="dxa"/>
            <w:tcBorders>
              <w:top w:val="nil"/>
              <w:left w:val="single" w:sz="4" w:space="0" w:color="auto"/>
              <w:right w:val="single" w:sz="4" w:space="0" w:color="auto"/>
            </w:tcBorders>
            <w:shd w:val="clear" w:color="auto" w:fill="auto"/>
            <w:noWrap/>
            <w:vAlign w:val="center"/>
          </w:tcPr>
          <w:p w14:paraId="62363DDB"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360" w:type="dxa"/>
            <w:tcBorders>
              <w:top w:val="nil"/>
              <w:left w:val="single" w:sz="4" w:space="0" w:color="auto"/>
              <w:right w:val="single" w:sz="4" w:space="0" w:color="auto"/>
            </w:tcBorders>
            <w:shd w:val="clear" w:color="auto" w:fill="auto"/>
            <w:noWrap/>
            <w:vAlign w:val="center"/>
          </w:tcPr>
          <w:p w14:paraId="55EFEFD2" w14:textId="77777777" w:rsidR="002F0091" w:rsidRPr="00785601" w:rsidRDefault="002F0091" w:rsidP="002F0091">
            <w:pPr>
              <w:jc w:val="right"/>
              <w:rPr>
                <w:color w:val="000000"/>
                <w:sz w:val="20"/>
                <w:szCs w:val="20"/>
                <w:lang w:eastAsia="en-GB"/>
              </w:rPr>
            </w:pPr>
            <w:r w:rsidRPr="00785601">
              <w:rPr>
                <w:color w:val="000000"/>
                <w:sz w:val="20"/>
                <w:szCs w:val="20"/>
              </w:rPr>
              <w:t>0</w:t>
            </w:r>
          </w:p>
        </w:tc>
      </w:tr>
      <w:tr w:rsidR="00D1663B" w:rsidRPr="004F47DA" w14:paraId="34211D4B" w14:textId="77777777" w:rsidTr="002F0091">
        <w:trPr>
          <w:trHeight w:val="263"/>
        </w:trPr>
        <w:tc>
          <w:tcPr>
            <w:tcW w:w="4500" w:type="dxa"/>
            <w:tcBorders>
              <w:top w:val="nil"/>
              <w:left w:val="single" w:sz="4" w:space="0" w:color="auto"/>
              <w:bottom w:val="single" w:sz="4" w:space="0" w:color="auto"/>
              <w:right w:val="single" w:sz="4" w:space="0" w:color="auto"/>
            </w:tcBorders>
            <w:shd w:val="clear" w:color="auto" w:fill="auto"/>
            <w:vAlign w:val="center"/>
            <w:hideMark/>
          </w:tcPr>
          <w:p w14:paraId="7DB702F0" w14:textId="77777777" w:rsidR="002F0091" w:rsidRPr="000E7CF3" w:rsidRDefault="002F0091" w:rsidP="002F0091">
            <w:pPr>
              <w:rPr>
                <w:sz w:val="20"/>
                <w:szCs w:val="20"/>
                <w:lang w:eastAsia="en-GB"/>
              </w:rPr>
            </w:pPr>
            <w:r w:rsidRPr="000E7CF3">
              <w:rPr>
                <w:color w:val="000000"/>
                <w:sz w:val="20"/>
                <w:szCs w:val="20"/>
              </w:rPr>
              <w:t>Efficiency Programme</w:t>
            </w:r>
          </w:p>
        </w:tc>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F8BBE1" w14:textId="77777777" w:rsidR="002F0091" w:rsidRPr="000E7CF3" w:rsidRDefault="002F0091" w:rsidP="002F0091">
            <w:pPr>
              <w:jc w:val="right"/>
              <w:rPr>
                <w:sz w:val="20"/>
                <w:szCs w:val="20"/>
                <w:lang w:eastAsia="en-GB"/>
              </w:rPr>
            </w:pPr>
            <w:r w:rsidRPr="000E7CF3">
              <w:rPr>
                <w:color w:val="000000"/>
                <w:sz w:val="20"/>
                <w:szCs w:val="20"/>
              </w:rPr>
              <w:t>900,000</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14C88F9" w14:textId="77777777" w:rsidR="002F0091" w:rsidRPr="000E7CF3" w:rsidRDefault="002F0091" w:rsidP="002F0091">
            <w:pPr>
              <w:jc w:val="right"/>
              <w:rPr>
                <w:sz w:val="20"/>
                <w:szCs w:val="20"/>
                <w:lang w:eastAsia="en-GB"/>
              </w:rPr>
            </w:pPr>
            <w:r w:rsidRPr="000E7CF3">
              <w:rPr>
                <w:color w:val="000000"/>
                <w:sz w:val="20"/>
                <w:szCs w:val="20"/>
              </w:rPr>
              <w:t>-193,197</w:t>
            </w:r>
          </w:p>
        </w:tc>
        <w:tc>
          <w:tcPr>
            <w:tcW w:w="1339" w:type="dxa"/>
            <w:tcBorders>
              <w:top w:val="nil"/>
              <w:left w:val="single" w:sz="4" w:space="0" w:color="auto"/>
              <w:bottom w:val="single" w:sz="4" w:space="0" w:color="auto"/>
              <w:right w:val="single" w:sz="4" w:space="0" w:color="auto"/>
            </w:tcBorders>
            <w:shd w:val="clear" w:color="auto" w:fill="auto"/>
            <w:noWrap/>
            <w:vAlign w:val="center"/>
            <w:hideMark/>
          </w:tcPr>
          <w:p w14:paraId="402F7107" w14:textId="77777777" w:rsidR="002F0091" w:rsidRPr="000E7CF3" w:rsidRDefault="002F0091" w:rsidP="002F0091">
            <w:pPr>
              <w:jc w:val="right"/>
              <w:rPr>
                <w:sz w:val="20"/>
                <w:szCs w:val="20"/>
                <w:lang w:eastAsia="en-GB"/>
              </w:rPr>
            </w:pPr>
            <w:r w:rsidRPr="000E7CF3">
              <w:rPr>
                <w:color w:val="000000"/>
                <w:sz w:val="20"/>
                <w:szCs w:val="20"/>
              </w:rPr>
              <w:t>10</w:t>
            </w:r>
            <w:r w:rsidR="00CE3C8F" w:rsidRPr="000E7CF3">
              <w:rPr>
                <w:color w:val="000000"/>
                <w:sz w:val="20"/>
                <w:szCs w:val="20"/>
              </w:rPr>
              <w:t>,</w:t>
            </w:r>
            <w:r w:rsidRPr="000E7CF3">
              <w:rPr>
                <w:color w:val="000000"/>
                <w:sz w:val="20"/>
                <w:szCs w:val="20"/>
              </w:rPr>
              <w:t>000</w:t>
            </w:r>
          </w:p>
        </w:tc>
        <w:tc>
          <w:tcPr>
            <w:tcW w:w="1320" w:type="dxa"/>
            <w:tcBorders>
              <w:top w:val="nil"/>
              <w:left w:val="single" w:sz="4" w:space="0" w:color="auto"/>
              <w:bottom w:val="single" w:sz="4" w:space="0" w:color="auto"/>
              <w:right w:val="single" w:sz="4" w:space="0" w:color="auto"/>
            </w:tcBorders>
            <w:shd w:val="clear" w:color="000000" w:fill="DCE6F1"/>
            <w:noWrap/>
            <w:vAlign w:val="center"/>
            <w:hideMark/>
          </w:tcPr>
          <w:p w14:paraId="770FF8B3" w14:textId="77777777" w:rsidR="002F0091" w:rsidRPr="000E7CF3" w:rsidRDefault="002F0091" w:rsidP="002F0091">
            <w:pPr>
              <w:jc w:val="right"/>
              <w:rPr>
                <w:b/>
                <w:bCs/>
                <w:color w:val="000000"/>
                <w:sz w:val="20"/>
                <w:szCs w:val="20"/>
                <w:lang w:eastAsia="en-GB"/>
              </w:rPr>
            </w:pPr>
            <w:r w:rsidRPr="000E7CF3">
              <w:rPr>
                <w:b/>
                <w:bCs/>
                <w:color w:val="000000"/>
                <w:sz w:val="20"/>
                <w:szCs w:val="20"/>
              </w:rPr>
              <w:t>716,803</w:t>
            </w:r>
          </w:p>
        </w:tc>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3AC4DF18" w14:textId="77777777" w:rsidR="002F0091" w:rsidRPr="000E7CF3" w:rsidRDefault="001A3E65" w:rsidP="002F0091">
            <w:pPr>
              <w:jc w:val="right"/>
              <w:rPr>
                <w:color w:val="000000"/>
                <w:sz w:val="20"/>
                <w:szCs w:val="20"/>
                <w:lang w:eastAsia="en-GB"/>
              </w:rPr>
            </w:pPr>
            <w:r>
              <w:rPr>
                <w:color w:val="000000"/>
                <w:sz w:val="20"/>
                <w:szCs w:val="20"/>
              </w:rPr>
              <w:t>-358,000</w:t>
            </w:r>
            <w:r w:rsidR="002F0091" w:rsidRPr="000E7CF3">
              <w:rPr>
                <w:color w:val="000000"/>
                <w:sz w:val="20"/>
                <w:szCs w:val="20"/>
              </w:rPr>
              <w:t>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AF5D22" w14:textId="77777777" w:rsidR="002F0091" w:rsidRPr="000E7CF3" w:rsidRDefault="001A3E65" w:rsidP="002F0091">
            <w:pPr>
              <w:jc w:val="right"/>
              <w:rPr>
                <w:color w:val="000000"/>
                <w:sz w:val="20"/>
                <w:szCs w:val="20"/>
                <w:lang w:eastAsia="en-GB"/>
              </w:rPr>
            </w:pPr>
            <w:r>
              <w:rPr>
                <w:color w:val="000000"/>
                <w:sz w:val="20"/>
                <w:szCs w:val="20"/>
              </w:rPr>
              <w:t>-358,803</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94AAC8" w14:textId="77777777" w:rsidR="002F0091" w:rsidRPr="000E7CF3" w:rsidRDefault="002F0091" w:rsidP="002F0091">
            <w:pPr>
              <w:jc w:val="right"/>
              <w:rPr>
                <w:color w:val="000000"/>
                <w:sz w:val="20"/>
                <w:szCs w:val="20"/>
                <w:lang w:eastAsia="en-GB"/>
              </w:rPr>
            </w:pPr>
            <w:r w:rsidRPr="000E7CF3">
              <w:rPr>
                <w:color w:val="000000"/>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6894CB" w14:textId="77777777" w:rsidR="002F0091" w:rsidRPr="000E7CF3" w:rsidRDefault="001A3E65" w:rsidP="002F0091">
            <w:pPr>
              <w:jc w:val="right"/>
              <w:rPr>
                <w:color w:val="000000"/>
                <w:sz w:val="20"/>
                <w:szCs w:val="20"/>
                <w:lang w:eastAsia="en-GB"/>
              </w:rPr>
            </w:pPr>
            <w:r>
              <w:rPr>
                <w:color w:val="000000"/>
                <w:sz w:val="20"/>
                <w:szCs w:val="20"/>
              </w:rPr>
              <w:t>0</w:t>
            </w:r>
          </w:p>
        </w:tc>
      </w:tr>
      <w:tr w:rsidR="00D1663B" w:rsidRPr="004F47DA" w14:paraId="5BE691C9" w14:textId="77777777" w:rsidTr="002F0091">
        <w:trPr>
          <w:trHeight w:val="263"/>
        </w:trPr>
        <w:tc>
          <w:tcPr>
            <w:tcW w:w="4500" w:type="dxa"/>
            <w:tcBorders>
              <w:top w:val="single" w:sz="4" w:space="0" w:color="auto"/>
              <w:left w:val="single" w:sz="4" w:space="0" w:color="auto"/>
              <w:right w:val="single" w:sz="4" w:space="0" w:color="auto"/>
            </w:tcBorders>
            <w:shd w:val="clear" w:color="auto" w:fill="auto"/>
            <w:noWrap/>
            <w:vAlign w:val="center"/>
            <w:hideMark/>
          </w:tcPr>
          <w:p w14:paraId="756D8F26" w14:textId="77777777" w:rsidR="002F0091" w:rsidRPr="00785601" w:rsidRDefault="002F0091" w:rsidP="002F0091">
            <w:pPr>
              <w:rPr>
                <w:b/>
                <w:bCs/>
                <w:color w:val="000000"/>
                <w:sz w:val="20"/>
                <w:szCs w:val="20"/>
                <w:lang w:eastAsia="en-GB"/>
              </w:rPr>
            </w:pPr>
            <w:r w:rsidRPr="00785601">
              <w:rPr>
                <w:b/>
                <w:bCs/>
                <w:color w:val="000000"/>
                <w:sz w:val="20"/>
                <w:szCs w:val="20"/>
              </w:rPr>
              <w:t>ICT Subtotal</w:t>
            </w:r>
          </w:p>
        </w:tc>
        <w:tc>
          <w:tcPr>
            <w:tcW w:w="1440" w:type="dxa"/>
            <w:tcBorders>
              <w:top w:val="single" w:sz="4" w:space="0" w:color="auto"/>
              <w:left w:val="single" w:sz="4" w:space="0" w:color="auto"/>
              <w:right w:val="single" w:sz="4" w:space="0" w:color="auto"/>
            </w:tcBorders>
            <w:shd w:val="clear" w:color="auto" w:fill="auto"/>
            <w:noWrap/>
            <w:vAlign w:val="center"/>
            <w:hideMark/>
          </w:tcPr>
          <w:p w14:paraId="07199AE5" w14:textId="77777777" w:rsidR="002F0091" w:rsidRPr="00785601" w:rsidRDefault="002F0091" w:rsidP="002F0091">
            <w:pPr>
              <w:jc w:val="right"/>
              <w:rPr>
                <w:b/>
                <w:bCs/>
                <w:sz w:val="20"/>
                <w:szCs w:val="20"/>
                <w:lang w:eastAsia="en-GB"/>
              </w:rPr>
            </w:pPr>
            <w:r w:rsidRPr="00785601">
              <w:rPr>
                <w:b/>
                <w:bCs/>
                <w:color w:val="000000"/>
                <w:sz w:val="20"/>
                <w:szCs w:val="20"/>
              </w:rPr>
              <w:t>2,204,143</w:t>
            </w:r>
          </w:p>
        </w:tc>
        <w:tc>
          <w:tcPr>
            <w:tcW w:w="1260" w:type="dxa"/>
            <w:tcBorders>
              <w:top w:val="single" w:sz="4" w:space="0" w:color="auto"/>
              <w:left w:val="single" w:sz="4" w:space="0" w:color="auto"/>
              <w:right w:val="single" w:sz="4" w:space="0" w:color="auto"/>
            </w:tcBorders>
            <w:shd w:val="clear" w:color="auto" w:fill="auto"/>
            <w:noWrap/>
            <w:vAlign w:val="center"/>
            <w:hideMark/>
          </w:tcPr>
          <w:p w14:paraId="7C5800DB" w14:textId="77777777" w:rsidR="002F0091" w:rsidRPr="00785601" w:rsidRDefault="002F0091" w:rsidP="002F0091">
            <w:pPr>
              <w:jc w:val="right"/>
              <w:rPr>
                <w:b/>
                <w:bCs/>
                <w:sz w:val="20"/>
                <w:szCs w:val="20"/>
                <w:lang w:eastAsia="en-GB"/>
              </w:rPr>
            </w:pPr>
            <w:r w:rsidRPr="00785601">
              <w:rPr>
                <w:b/>
                <w:bCs/>
                <w:color w:val="000000"/>
                <w:sz w:val="20"/>
                <w:szCs w:val="20"/>
              </w:rPr>
              <w:t>-213,401</w:t>
            </w:r>
          </w:p>
        </w:tc>
        <w:tc>
          <w:tcPr>
            <w:tcW w:w="1339" w:type="dxa"/>
            <w:tcBorders>
              <w:top w:val="single" w:sz="4" w:space="0" w:color="auto"/>
              <w:left w:val="single" w:sz="4" w:space="0" w:color="auto"/>
              <w:right w:val="single" w:sz="4" w:space="0" w:color="auto"/>
            </w:tcBorders>
            <w:shd w:val="clear" w:color="auto" w:fill="auto"/>
            <w:noWrap/>
            <w:vAlign w:val="center"/>
            <w:hideMark/>
          </w:tcPr>
          <w:p w14:paraId="5725BE34" w14:textId="77777777" w:rsidR="002F0091" w:rsidRPr="00785601" w:rsidRDefault="002F0091" w:rsidP="002F0091">
            <w:pPr>
              <w:jc w:val="right"/>
              <w:rPr>
                <w:b/>
                <w:bCs/>
                <w:sz w:val="20"/>
                <w:szCs w:val="20"/>
                <w:lang w:eastAsia="en-GB"/>
              </w:rPr>
            </w:pPr>
            <w:r w:rsidRPr="00785601">
              <w:rPr>
                <w:b/>
                <w:bCs/>
                <w:color w:val="000000"/>
                <w:sz w:val="20"/>
                <w:szCs w:val="20"/>
              </w:rPr>
              <w:t>-6,156</w:t>
            </w:r>
          </w:p>
        </w:tc>
        <w:tc>
          <w:tcPr>
            <w:tcW w:w="1320" w:type="dxa"/>
            <w:tcBorders>
              <w:top w:val="single" w:sz="4" w:space="0" w:color="auto"/>
              <w:left w:val="single" w:sz="4" w:space="0" w:color="auto"/>
              <w:right w:val="single" w:sz="4" w:space="0" w:color="auto"/>
            </w:tcBorders>
            <w:shd w:val="clear" w:color="000000" w:fill="DCE6F1"/>
            <w:noWrap/>
            <w:vAlign w:val="center"/>
            <w:hideMark/>
          </w:tcPr>
          <w:p w14:paraId="5DFEB96A" w14:textId="77777777" w:rsidR="002F0091" w:rsidRPr="00785601" w:rsidRDefault="002F0091" w:rsidP="002F0091">
            <w:pPr>
              <w:jc w:val="right"/>
              <w:rPr>
                <w:b/>
                <w:bCs/>
                <w:sz w:val="20"/>
                <w:szCs w:val="20"/>
                <w:lang w:eastAsia="en-GB"/>
              </w:rPr>
            </w:pPr>
            <w:r w:rsidRPr="00785601">
              <w:rPr>
                <w:b/>
                <w:bCs/>
                <w:color w:val="000000"/>
                <w:sz w:val="20"/>
                <w:szCs w:val="20"/>
              </w:rPr>
              <w:t>1,984,586</w:t>
            </w:r>
          </w:p>
        </w:tc>
        <w:tc>
          <w:tcPr>
            <w:tcW w:w="1180" w:type="dxa"/>
            <w:tcBorders>
              <w:top w:val="single" w:sz="4" w:space="0" w:color="auto"/>
              <w:left w:val="single" w:sz="4" w:space="0" w:color="auto"/>
              <w:right w:val="single" w:sz="4" w:space="0" w:color="auto"/>
            </w:tcBorders>
            <w:shd w:val="clear" w:color="auto" w:fill="auto"/>
            <w:noWrap/>
            <w:vAlign w:val="center"/>
            <w:hideMark/>
          </w:tcPr>
          <w:p w14:paraId="101C0043" w14:textId="77777777" w:rsidR="002F0091" w:rsidRPr="00785601" w:rsidRDefault="002F0091" w:rsidP="002F0091">
            <w:pPr>
              <w:jc w:val="right"/>
              <w:rPr>
                <w:b/>
                <w:bCs/>
                <w:sz w:val="20"/>
                <w:szCs w:val="20"/>
                <w:lang w:eastAsia="en-GB"/>
              </w:rPr>
            </w:pPr>
            <w:r w:rsidRPr="00785601">
              <w:rPr>
                <w:b/>
                <w:bCs/>
                <w:color w:val="000000"/>
                <w:sz w:val="20"/>
                <w:szCs w:val="20"/>
              </w:rPr>
              <w:t>-1,</w:t>
            </w:r>
            <w:r w:rsidR="001A3E65">
              <w:rPr>
                <w:b/>
                <w:bCs/>
                <w:color w:val="000000"/>
                <w:sz w:val="20"/>
                <w:szCs w:val="20"/>
              </w:rPr>
              <w:t>424,711</w:t>
            </w:r>
          </w:p>
        </w:tc>
        <w:tc>
          <w:tcPr>
            <w:tcW w:w="1140" w:type="dxa"/>
            <w:tcBorders>
              <w:top w:val="single" w:sz="4" w:space="0" w:color="auto"/>
              <w:left w:val="single" w:sz="4" w:space="0" w:color="auto"/>
              <w:right w:val="single" w:sz="4" w:space="0" w:color="auto"/>
            </w:tcBorders>
            <w:shd w:val="clear" w:color="auto" w:fill="auto"/>
            <w:noWrap/>
            <w:vAlign w:val="center"/>
            <w:hideMark/>
          </w:tcPr>
          <w:p w14:paraId="1D42BB45" w14:textId="77777777" w:rsidR="002F0091" w:rsidRPr="00785601" w:rsidRDefault="002F0091" w:rsidP="002F0091">
            <w:pPr>
              <w:jc w:val="right"/>
              <w:rPr>
                <w:b/>
                <w:bCs/>
                <w:sz w:val="20"/>
                <w:szCs w:val="20"/>
                <w:lang w:eastAsia="en-GB"/>
              </w:rPr>
            </w:pPr>
            <w:r w:rsidRPr="00785601">
              <w:rPr>
                <w:b/>
                <w:bCs/>
                <w:color w:val="000000"/>
                <w:sz w:val="20"/>
                <w:szCs w:val="20"/>
              </w:rPr>
              <w:t>-</w:t>
            </w:r>
            <w:r w:rsidR="001A3E65">
              <w:rPr>
                <w:b/>
                <w:bCs/>
                <w:color w:val="000000"/>
                <w:sz w:val="20"/>
                <w:szCs w:val="20"/>
              </w:rPr>
              <w:t>519,515</w:t>
            </w:r>
          </w:p>
        </w:tc>
        <w:tc>
          <w:tcPr>
            <w:tcW w:w="1200" w:type="dxa"/>
            <w:tcBorders>
              <w:top w:val="single" w:sz="4" w:space="0" w:color="auto"/>
              <w:left w:val="single" w:sz="4" w:space="0" w:color="auto"/>
              <w:right w:val="single" w:sz="4" w:space="0" w:color="auto"/>
            </w:tcBorders>
            <w:shd w:val="clear" w:color="auto" w:fill="auto"/>
            <w:noWrap/>
            <w:vAlign w:val="center"/>
            <w:hideMark/>
          </w:tcPr>
          <w:p w14:paraId="241710FF" w14:textId="77777777" w:rsidR="002F0091" w:rsidRPr="00785601" w:rsidRDefault="002F0091" w:rsidP="002F0091">
            <w:pPr>
              <w:jc w:val="right"/>
              <w:rPr>
                <w:b/>
                <w:bCs/>
                <w:sz w:val="20"/>
                <w:szCs w:val="20"/>
                <w:lang w:eastAsia="en-GB"/>
              </w:rPr>
            </w:pPr>
            <w:r w:rsidRPr="00785601">
              <w:rPr>
                <w:b/>
                <w:bCs/>
                <w:color w:val="000000"/>
                <w:sz w:val="20"/>
                <w:szCs w:val="20"/>
              </w:rPr>
              <w:t>-14,432</w:t>
            </w:r>
          </w:p>
        </w:tc>
        <w:tc>
          <w:tcPr>
            <w:tcW w:w="1360" w:type="dxa"/>
            <w:tcBorders>
              <w:top w:val="single" w:sz="4" w:space="0" w:color="auto"/>
              <w:left w:val="single" w:sz="4" w:space="0" w:color="auto"/>
              <w:right w:val="single" w:sz="4" w:space="0" w:color="auto"/>
            </w:tcBorders>
            <w:shd w:val="clear" w:color="auto" w:fill="auto"/>
            <w:noWrap/>
            <w:vAlign w:val="center"/>
            <w:hideMark/>
          </w:tcPr>
          <w:p w14:paraId="23F3D2B1" w14:textId="77777777" w:rsidR="002F0091" w:rsidRPr="00785601" w:rsidRDefault="001A3E65" w:rsidP="002F0091">
            <w:pPr>
              <w:jc w:val="right"/>
              <w:rPr>
                <w:b/>
                <w:bCs/>
                <w:sz w:val="20"/>
                <w:szCs w:val="20"/>
                <w:lang w:eastAsia="en-GB"/>
              </w:rPr>
            </w:pPr>
            <w:r>
              <w:rPr>
                <w:b/>
                <w:bCs/>
                <w:color w:val="000000"/>
                <w:sz w:val="20"/>
                <w:szCs w:val="20"/>
              </w:rPr>
              <w:t>25,928</w:t>
            </w:r>
          </w:p>
        </w:tc>
      </w:tr>
      <w:tr w:rsidR="00D1663B" w:rsidRPr="004F47DA" w14:paraId="7A0400E8" w14:textId="77777777" w:rsidTr="002F0091">
        <w:trPr>
          <w:trHeight w:val="263"/>
        </w:trPr>
        <w:tc>
          <w:tcPr>
            <w:tcW w:w="4500" w:type="dxa"/>
            <w:tcBorders>
              <w:left w:val="single" w:sz="4" w:space="0" w:color="auto"/>
              <w:bottom w:val="nil"/>
              <w:right w:val="single" w:sz="4" w:space="0" w:color="auto"/>
            </w:tcBorders>
            <w:shd w:val="clear" w:color="auto" w:fill="auto"/>
            <w:noWrap/>
            <w:vAlign w:val="bottom"/>
            <w:hideMark/>
          </w:tcPr>
          <w:p w14:paraId="3773C2C8"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440" w:type="dxa"/>
            <w:tcBorders>
              <w:left w:val="nil"/>
              <w:bottom w:val="nil"/>
              <w:right w:val="single" w:sz="4" w:space="0" w:color="auto"/>
            </w:tcBorders>
            <w:shd w:val="clear" w:color="auto" w:fill="auto"/>
            <w:noWrap/>
            <w:vAlign w:val="bottom"/>
            <w:hideMark/>
          </w:tcPr>
          <w:p w14:paraId="6F0448AC" w14:textId="77777777" w:rsidR="00CE6999" w:rsidRPr="00785601" w:rsidRDefault="00CE6999" w:rsidP="00CE6999">
            <w:pPr>
              <w:rPr>
                <w:sz w:val="20"/>
                <w:szCs w:val="20"/>
                <w:lang w:eastAsia="en-GB"/>
              </w:rPr>
            </w:pPr>
            <w:r w:rsidRPr="00785601">
              <w:rPr>
                <w:sz w:val="20"/>
                <w:szCs w:val="20"/>
                <w:lang w:eastAsia="en-GB"/>
              </w:rPr>
              <w:t> </w:t>
            </w:r>
          </w:p>
        </w:tc>
        <w:tc>
          <w:tcPr>
            <w:tcW w:w="1260" w:type="dxa"/>
            <w:tcBorders>
              <w:left w:val="nil"/>
              <w:bottom w:val="nil"/>
              <w:right w:val="single" w:sz="4" w:space="0" w:color="auto"/>
            </w:tcBorders>
            <w:shd w:val="clear" w:color="auto" w:fill="auto"/>
            <w:noWrap/>
            <w:vAlign w:val="bottom"/>
            <w:hideMark/>
          </w:tcPr>
          <w:p w14:paraId="1264DC68" w14:textId="77777777" w:rsidR="00CE6999" w:rsidRPr="00785601" w:rsidRDefault="00CE6999" w:rsidP="00CE6999">
            <w:pPr>
              <w:rPr>
                <w:sz w:val="20"/>
                <w:szCs w:val="20"/>
                <w:lang w:eastAsia="en-GB"/>
              </w:rPr>
            </w:pPr>
            <w:r w:rsidRPr="00785601">
              <w:rPr>
                <w:sz w:val="20"/>
                <w:szCs w:val="20"/>
                <w:lang w:eastAsia="en-GB"/>
              </w:rPr>
              <w:t> </w:t>
            </w:r>
          </w:p>
        </w:tc>
        <w:tc>
          <w:tcPr>
            <w:tcW w:w="1339" w:type="dxa"/>
            <w:tcBorders>
              <w:left w:val="nil"/>
              <w:bottom w:val="nil"/>
              <w:right w:val="single" w:sz="4" w:space="0" w:color="auto"/>
            </w:tcBorders>
            <w:shd w:val="clear" w:color="auto" w:fill="auto"/>
            <w:noWrap/>
            <w:vAlign w:val="bottom"/>
            <w:hideMark/>
          </w:tcPr>
          <w:p w14:paraId="4268473D" w14:textId="77777777" w:rsidR="00CE6999" w:rsidRPr="00785601" w:rsidRDefault="00CE6999" w:rsidP="00CE6999">
            <w:pPr>
              <w:rPr>
                <w:sz w:val="20"/>
                <w:szCs w:val="20"/>
                <w:lang w:eastAsia="en-GB"/>
              </w:rPr>
            </w:pPr>
            <w:r w:rsidRPr="00785601">
              <w:rPr>
                <w:sz w:val="20"/>
                <w:szCs w:val="20"/>
                <w:lang w:eastAsia="en-GB"/>
              </w:rPr>
              <w:t> </w:t>
            </w:r>
          </w:p>
        </w:tc>
        <w:tc>
          <w:tcPr>
            <w:tcW w:w="1320" w:type="dxa"/>
            <w:tcBorders>
              <w:left w:val="nil"/>
              <w:bottom w:val="nil"/>
              <w:right w:val="single" w:sz="4" w:space="0" w:color="auto"/>
            </w:tcBorders>
            <w:shd w:val="clear" w:color="000000" w:fill="DCE6F1"/>
            <w:noWrap/>
            <w:vAlign w:val="bottom"/>
            <w:hideMark/>
          </w:tcPr>
          <w:p w14:paraId="3581D79C" w14:textId="77777777" w:rsidR="00CE6999" w:rsidRPr="00785601" w:rsidRDefault="00CE6999" w:rsidP="00CE6999">
            <w:pPr>
              <w:rPr>
                <w:b/>
                <w:bCs/>
                <w:color w:val="000000"/>
                <w:sz w:val="20"/>
                <w:szCs w:val="20"/>
                <w:lang w:eastAsia="en-GB"/>
              </w:rPr>
            </w:pPr>
            <w:r w:rsidRPr="00785601">
              <w:rPr>
                <w:b/>
                <w:bCs/>
                <w:color w:val="000000"/>
                <w:sz w:val="20"/>
                <w:szCs w:val="20"/>
                <w:lang w:eastAsia="en-GB"/>
              </w:rPr>
              <w:t> </w:t>
            </w:r>
          </w:p>
        </w:tc>
        <w:tc>
          <w:tcPr>
            <w:tcW w:w="1180" w:type="dxa"/>
            <w:tcBorders>
              <w:left w:val="nil"/>
              <w:bottom w:val="nil"/>
              <w:right w:val="single" w:sz="4" w:space="0" w:color="auto"/>
            </w:tcBorders>
            <w:shd w:val="clear" w:color="auto" w:fill="auto"/>
            <w:noWrap/>
            <w:vAlign w:val="bottom"/>
            <w:hideMark/>
          </w:tcPr>
          <w:p w14:paraId="51395D74"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140" w:type="dxa"/>
            <w:tcBorders>
              <w:left w:val="nil"/>
              <w:bottom w:val="nil"/>
              <w:right w:val="single" w:sz="4" w:space="0" w:color="auto"/>
            </w:tcBorders>
            <w:shd w:val="clear" w:color="auto" w:fill="auto"/>
            <w:noWrap/>
            <w:vAlign w:val="bottom"/>
            <w:hideMark/>
          </w:tcPr>
          <w:p w14:paraId="20C3068E"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200" w:type="dxa"/>
            <w:tcBorders>
              <w:left w:val="nil"/>
              <w:bottom w:val="nil"/>
              <w:right w:val="single" w:sz="4" w:space="0" w:color="auto"/>
            </w:tcBorders>
            <w:shd w:val="clear" w:color="auto" w:fill="auto"/>
            <w:noWrap/>
            <w:vAlign w:val="bottom"/>
            <w:hideMark/>
          </w:tcPr>
          <w:p w14:paraId="74DF4023"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360" w:type="dxa"/>
            <w:tcBorders>
              <w:left w:val="nil"/>
              <w:bottom w:val="nil"/>
              <w:right w:val="single" w:sz="4" w:space="0" w:color="auto"/>
            </w:tcBorders>
            <w:shd w:val="clear" w:color="auto" w:fill="auto"/>
            <w:noWrap/>
            <w:vAlign w:val="bottom"/>
            <w:hideMark/>
          </w:tcPr>
          <w:p w14:paraId="33AC74A7"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r>
      <w:tr w:rsidR="00D1663B" w:rsidRPr="004F47DA" w14:paraId="2AD9A576" w14:textId="77777777" w:rsidTr="000408B1">
        <w:trPr>
          <w:trHeight w:val="263"/>
        </w:trPr>
        <w:tc>
          <w:tcPr>
            <w:tcW w:w="4500" w:type="dxa"/>
            <w:tcBorders>
              <w:top w:val="nil"/>
              <w:left w:val="single" w:sz="4" w:space="0" w:color="auto"/>
              <w:bottom w:val="nil"/>
              <w:right w:val="single" w:sz="4" w:space="0" w:color="auto"/>
            </w:tcBorders>
            <w:shd w:val="clear" w:color="auto" w:fill="auto"/>
            <w:noWrap/>
            <w:vAlign w:val="center"/>
            <w:hideMark/>
          </w:tcPr>
          <w:p w14:paraId="06A3C71C" w14:textId="77777777" w:rsidR="002F0091" w:rsidRPr="00785601" w:rsidRDefault="002F0091" w:rsidP="002F0091">
            <w:pPr>
              <w:rPr>
                <w:b/>
                <w:bCs/>
                <w:color w:val="000000"/>
                <w:sz w:val="20"/>
                <w:szCs w:val="20"/>
                <w:lang w:eastAsia="en-GB"/>
              </w:rPr>
            </w:pPr>
            <w:r w:rsidRPr="00785601">
              <w:rPr>
                <w:b/>
                <w:bCs/>
                <w:color w:val="000000"/>
                <w:sz w:val="20"/>
                <w:szCs w:val="20"/>
              </w:rPr>
              <w:t xml:space="preserve">Innovation </w:t>
            </w:r>
          </w:p>
        </w:tc>
        <w:tc>
          <w:tcPr>
            <w:tcW w:w="1440" w:type="dxa"/>
            <w:tcBorders>
              <w:top w:val="nil"/>
              <w:left w:val="nil"/>
              <w:bottom w:val="nil"/>
              <w:right w:val="single" w:sz="4" w:space="0" w:color="auto"/>
            </w:tcBorders>
            <w:shd w:val="clear" w:color="auto" w:fill="auto"/>
            <w:noWrap/>
            <w:vAlign w:val="center"/>
            <w:hideMark/>
          </w:tcPr>
          <w:p w14:paraId="541A3657" w14:textId="77777777" w:rsidR="002F0091" w:rsidRPr="00785601" w:rsidRDefault="002F0091" w:rsidP="002F0091">
            <w:pPr>
              <w:rPr>
                <w:sz w:val="20"/>
                <w:szCs w:val="20"/>
                <w:lang w:eastAsia="en-GB"/>
              </w:rPr>
            </w:pPr>
            <w:r w:rsidRPr="00785601">
              <w:rPr>
                <w:color w:val="000000"/>
                <w:sz w:val="20"/>
                <w:szCs w:val="20"/>
              </w:rPr>
              <w:t> </w:t>
            </w:r>
          </w:p>
        </w:tc>
        <w:tc>
          <w:tcPr>
            <w:tcW w:w="1260" w:type="dxa"/>
            <w:tcBorders>
              <w:top w:val="nil"/>
              <w:left w:val="nil"/>
              <w:bottom w:val="nil"/>
              <w:right w:val="single" w:sz="4" w:space="0" w:color="auto"/>
            </w:tcBorders>
            <w:shd w:val="clear" w:color="auto" w:fill="auto"/>
            <w:noWrap/>
            <w:vAlign w:val="center"/>
            <w:hideMark/>
          </w:tcPr>
          <w:p w14:paraId="0CA39827" w14:textId="77777777" w:rsidR="002F0091" w:rsidRPr="00785601" w:rsidRDefault="002F0091" w:rsidP="002F0091">
            <w:pPr>
              <w:rPr>
                <w:sz w:val="20"/>
                <w:szCs w:val="20"/>
                <w:lang w:eastAsia="en-GB"/>
              </w:rPr>
            </w:pPr>
            <w:r w:rsidRPr="00785601">
              <w:rPr>
                <w:color w:val="000000"/>
                <w:sz w:val="20"/>
                <w:szCs w:val="20"/>
              </w:rPr>
              <w:t> </w:t>
            </w:r>
          </w:p>
        </w:tc>
        <w:tc>
          <w:tcPr>
            <w:tcW w:w="1339" w:type="dxa"/>
            <w:tcBorders>
              <w:top w:val="nil"/>
              <w:left w:val="nil"/>
              <w:bottom w:val="nil"/>
              <w:right w:val="single" w:sz="4" w:space="0" w:color="auto"/>
            </w:tcBorders>
            <w:shd w:val="clear" w:color="auto" w:fill="auto"/>
            <w:noWrap/>
            <w:vAlign w:val="center"/>
            <w:hideMark/>
          </w:tcPr>
          <w:p w14:paraId="7B10BCE6" w14:textId="77777777" w:rsidR="002F0091" w:rsidRPr="00785601" w:rsidRDefault="002F0091" w:rsidP="002F0091">
            <w:pPr>
              <w:rPr>
                <w:sz w:val="20"/>
                <w:szCs w:val="20"/>
                <w:lang w:eastAsia="en-GB"/>
              </w:rPr>
            </w:pPr>
            <w:r w:rsidRPr="00785601">
              <w:rPr>
                <w:color w:val="000000"/>
                <w:sz w:val="20"/>
                <w:szCs w:val="20"/>
              </w:rPr>
              <w:t> </w:t>
            </w:r>
          </w:p>
        </w:tc>
        <w:tc>
          <w:tcPr>
            <w:tcW w:w="1320" w:type="dxa"/>
            <w:tcBorders>
              <w:top w:val="nil"/>
              <w:left w:val="nil"/>
              <w:bottom w:val="nil"/>
              <w:right w:val="single" w:sz="4" w:space="0" w:color="auto"/>
            </w:tcBorders>
            <w:shd w:val="clear" w:color="000000" w:fill="DCE6F1"/>
            <w:noWrap/>
            <w:vAlign w:val="center"/>
            <w:hideMark/>
          </w:tcPr>
          <w:p w14:paraId="4C2BAE41" w14:textId="77777777" w:rsidR="002F0091" w:rsidRPr="00785601" w:rsidRDefault="002F0091" w:rsidP="002F0091">
            <w:pPr>
              <w:rPr>
                <w:b/>
                <w:bCs/>
                <w:color w:val="000000"/>
                <w:sz w:val="20"/>
                <w:szCs w:val="20"/>
                <w:lang w:eastAsia="en-GB"/>
              </w:rPr>
            </w:pPr>
            <w:r w:rsidRPr="00785601">
              <w:rPr>
                <w:b/>
                <w:bCs/>
                <w:color w:val="000000"/>
                <w:sz w:val="20"/>
                <w:szCs w:val="20"/>
              </w:rPr>
              <w:t> </w:t>
            </w:r>
          </w:p>
        </w:tc>
        <w:tc>
          <w:tcPr>
            <w:tcW w:w="1180" w:type="dxa"/>
            <w:tcBorders>
              <w:top w:val="nil"/>
              <w:left w:val="nil"/>
              <w:bottom w:val="nil"/>
              <w:right w:val="single" w:sz="4" w:space="0" w:color="auto"/>
            </w:tcBorders>
            <w:shd w:val="clear" w:color="auto" w:fill="auto"/>
            <w:noWrap/>
            <w:vAlign w:val="center"/>
            <w:hideMark/>
          </w:tcPr>
          <w:p w14:paraId="42C8C044" w14:textId="77777777" w:rsidR="002F0091" w:rsidRPr="00785601" w:rsidRDefault="002F0091" w:rsidP="002F0091">
            <w:pPr>
              <w:rPr>
                <w:color w:val="000000"/>
                <w:sz w:val="20"/>
                <w:szCs w:val="20"/>
                <w:lang w:eastAsia="en-GB"/>
              </w:rPr>
            </w:pPr>
            <w:r w:rsidRPr="00785601">
              <w:rPr>
                <w:color w:val="000000"/>
                <w:sz w:val="20"/>
                <w:szCs w:val="20"/>
              </w:rPr>
              <w:t> </w:t>
            </w:r>
          </w:p>
        </w:tc>
        <w:tc>
          <w:tcPr>
            <w:tcW w:w="1140" w:type="dxa"/>
            <w:tcBorders>
              <w:top w:val="nil"/>
              <w:left w:val="nil"/>
              <w:bottom w:val="nil"/>
              <w:right w:val="single" w:sz="4" w:space="0" w:color="auto"/>
            </w:tcBorders>
            <w:shd w:val="clear" w:color="auto" w:fill="auto"/>
            <w:noWrap/>
            <w:vAlign w:val="center"/>
            <w:hideMark/>
          </w:tcPr>
          <w:p w14:paraId="2A84C393" w14:textId="77777777" w:rsidR="002F0091" w:rsidRPr="00785601" w:rsidRDefault="002F0091" w:rsidP="002F0091">
            <w:pPr>
              <w:rPr>
                <w:color w:val="000000"/>
                <w:sz w:val="20"/>
                <w:szCs w:val="20"/>
                <w:lang w:eastAsia="en-GB"/>
              </w:rPr>
            </w:pPr>
            <w:r w:rsidRPr="00785601">
              <w:rPr>
                <w:color w:val="000000"/>
                <w:sz w:val="20"/>
                <w:szCs w:val="20"/>
              </w:rPr>
              <w:t> </w:t>
            </w:r>
          </w:p>
        </w:tc>
        <w:tc>
          <w:tcPr>
            <w:tcW w:w="1200" w:type="dxa"/>
            <w:tcBorders>
              <w:top w:val="nil"/>
              <w:left w:val="nil"/>
              <w:bottom w:val="nil"/>
              <w:right w:val="single" w:sz="4" w:space="0" w:color="auto"/>
            </w:tcBorders>
            <w:shd w:val="clear" w:color="auto" w:fill="auto"/>
            <w:noWrap/>
            <w:vAlign w:val="center"/>
            <w:hideMark/>
          </w:tcPr>
          <w:p w14:paraId="424FB432" w14:textId="77777777" w:rsidR="002F0091" w:rsidRPr="00785601" w:rsidRDefault="002F0091" w:rsidP="002F0091">
            <w:pPr>
              <w:rPr>
                <w:color w:val="000000"/>
                <w:sz w:val="20"/>
                <w:szCs w:val="20"/>
                <w:lang w:eastAsia="en-GB"/>
              </w:rPr>
            </w:pPr>
            <w:r w:rsidRPr="00785601">
              <w:rPr>
                <w:color w:val="000000"/>
                <w:sz w:val="20"/>
                <w:szCs w:val="20"/>
              </w:rPr>
              <w:t> </w:t>
            </w:r>
          </w:p>
        </w:tc>
        <w:tc>
          <w:tcPr>
            <w:tcW w:w="1360" w:type="dxa"/>
            <w:tcBorders>
              <w:top w:val="nil"/>
              <w:left w:val="nil"/>
              <w:bottom w:val="nil"/>
              <w:right w:val="single" w:sz="4" w:space="0" w:color="auto"/>
            </w:tcBorders>
            <w:shd w:val="clear" w:color="auto" w:fill="auto"/>
            <w:noWrap/>
            <w:vAlign w:val="center"/>
            <w:hideMark/>
          </w:tcPr>
          <w:p w14:paraId="06C0BB2F" w14:textId="77777777" w:rsidR="002F0091" w:rsidRPr="00785601" w:rsidRDefault="002F0091" w:rsidP="002F0091">
            <w:pPr>
              <w:rPr>
                <w:color w:val="000000"/>
                <w:sz w:val="20"/>
                <w:szCs w:val="20"/>
                <w:lang w:eastAsia="en-GB"/>
              </w:rPr>
            </w:pPr>
            <w:r w:rsidRPr="00785601">
              <w:rPr>
                <w:color w:val="000000"/>
                <w:sz w:val="20"/>
                <w:szCs w:val="20"/>
              </w:rPr>
              <w:t> </w:t>
            </w:r>
          </w:p>
        </w:tc>
      </w:tr>
      <w:tr w:rsidR="00D1663B" w:rsidRPr="004F47DA" w14:paraId="27C67101" w14:textId="77777777" w:rsidTr="000408B1">
        <w:trPr>
          <w:trHeight w:val="263"/>
        </w:trPr>
        <w:tc>
          <w:tcPr>
            <w:tcW w:w="4500" w:type="dxa"/>
            <w:tcBorders>
              <w:top w:val="nil"/>
              <w:left w:val="single" w:sz="4" w:space="0" w:color="auto"/>
              <w:bottom w:val="single" w:sz="4" w:space="0" w:color="auto"/>
              <w:right w:val="single" w:sz="4" w:space="0" w:color="auto"/>
            </w:tcBorders>
            <w:shd w:val="clear" w:color="auto" w:fill="auto"/>
            <w:noWrap/>
            <w:vAlign w:val="center"/>
            <w:hideMark/>
          </w:tcPr>
          <w:p w14:paraId="7AAD59DC" w14:textId="77777777" w:rsidR="002F0091" w:rsidRPr="00785601" w:rsidRDefault="002F0091" w:rsidP="002F0091">
            <w:pPr>
              <w:rPr>
                <w:color w:val="000000"/>
                <w:sz w:val="20"/>
                <w:szCs w:val="20"/>
                <w:lang w:eastAsia="en-GB"/>
              </w:rPr>
            </w:pPr>
            <w:r w:rsidRPr="00785601">
              <w:rPr>
                <w:color w:val="000000"/>
                <w:sz w:val="20"/>
                <w:szCs w:val="20"/>
              </w:rPr>
              <w:t>Transformation and Collaboration</w:t>
            </w:r>
          </w:p>
        </w:tc>
        <w:tc>
          <w:tcPr>
            <w:tcW w:w="1440" w:type="dxa"/>
            <w:tcBorders>
              <w:top w:val="nil"/>
              <w:left w:val="nil"/>
              <w:bottom w:val="single" w:sz="4" w:space="0" w:color="auto"/>
              <w:right w:val="single" w:sz="4" w:space="0" w:color="auto"/>
            </w:tcBorders>
            <w:shd w:val="clear" w:color="auto" w:fill="auto"/>
            <w:noWrap/>
            <w:vAlign w:val="center"/>
            <w:hideMark/>
          </w:tcPr>
          <w:p w14:paraId="675D3D63" w14:textId="77777777" w:rsidR="002F0091" w:rsidRPr="00785601" w:rsidRDefault="002F0091" w:rsidP="002F0091">
            <w:pPr>
              <w:jc w:val="right"/>
              <w:rPr>
                <w:sz w:val="20"/>
                <w:szCs w:val="20"/>
                <w:lang w:eastAsia="en-GB"/>
              </w:rPr>
            </w:pPr>
            <w:r w:rsidRPr="00785601">
              <w:rPr>
                <w:color w:val="000000"/>
                <w:sz w:val="20"/>
                <w:szCs w:val="20"/>
              </w:rPr>
              <w:t>30,024</w:t>
            </w:r>
          </w:p>
        </w:tc>
        <w:tc>
          <w:tcPr>
            <w:tcW w:w="1260" w:type="dxa"/>
            <w:tcBorders>
              <w:top w:val="nil"/>
              <w:left w:val="nil"/>
              <w:bottom w:val="single" w:sz="4" w:space="0" w:color="auto"/>
              <w:right w:val="single" w:sz="4" w:space="0" w:color="auto"/>
            </w:tcBorders>
            <w:shd w:val="clear" w:color="auto" w:fill="auto"/>
            <w:noWrap/>
            <w:vAlign w:val="center"/>
            <w:hideMark/>
          </w:tcPr>
          <w:p w14:paraId="7F08F187" w14:textId="77777777" w:rsidR="002F0091" w:rsidRPr="00785601" w:rsidRDefault="002F0091" w:rsidP="002F0091">
            <w:pPr>
              <w:jc w:val="right"/>
              <w:rPr>
                <w:sz w:val="20"/>
                <w:szCs w:val="20"/>
                <w:lang w:eastAsia="en-GB"/>
              </w:rPr>
            </w:pPr>
          </w:p>
        </w:tc>
        <w:tc>
          <w:tcPr>
            <w:tcW w:w="1339" w:type="dxa"/>
            <w:tcBorders>
              <w:top w:val="nil"/>
              <w:left w:val="nil"/>
              <w:bottom w:val="single" w:sz="4" w:space="0" w:color="auto"/>
              <w:right w:val="single" w:sz="4" w:space="0" w:color="auto"/>
            </w:tcBorders>
            <w:shd w:val="clear" w:color="auto" w:fill="auto"/>
            <w:noWrap/>
            <w:vAlign w:val="center"/>
            <w:hideMark/>
          </w:tcPr>
          <w:p w14:paraId="1526BDD5" w14:textId="77777777" w:rsidR="002F0091" w:rsidRPr="00785601" w:rsidRDefault="002F0091" w:rsidP="002F0091">
            <w:pPr>
              <w:jc w:val="right"/>
              <w:rPr>
                <w:sz w:val="20"/>
                <w:szCs w:val="20"/>
                <w:lang w:eastAsia="en-GB"/>
              </w:rPr>
            </w:pPr>
            <w:r w:rsidRPr="00785601">
              <w:rPr>
                <w:color w:val="000000"/>
                <w:sz w:val="20"/>
                <w:szCs w:val="20"/>
              </w:rPr>
              <w:t>-30,024</w:t>
            </w:r>
          </w:p>
        </w:tc>
        <w:tc>
          <w:tcPr>
            <w:tcW w:w="1320" w:type="dxa"/>
            <w:tcBorders>
              <w:top w:val="nil"/>
              <w:left w:val="nil"/>
              <w:bottom w:val="single" w:sz="4" w:space="0" w:color="auto"/>
              <w:right w:val="single" w:sz="4" w:space="0" w:color="auto"/>
            </w:tcBorders>
            <w:shd w:val="clear" w:color="000000" w:fill="DCE6F1"/>
            <w:noWrap/>
            <w:vAlign w:val="center"/>
            <w:hideMark/>
          </w:tcPr>
          <w:p w14:paraId="0A4D5C8A" w14:textId="77777777" w:rsidR="002F0091" w:rsidRPr="00785601" w:rsidRDefault="002F0091" w:rsidP="002F0091">
            <w:pPr>
              <w:jc w:val="right"/>
              <w:rPr>
                <w:b/>
                <w:bCs/>
                <w:color w:val="000000"/>
                <w:sz w:val="20"/>
                <w:szCs w:val="20"/>
                <w:lang w:eastAsia="en-GB"/>
              </w:rPr>
            </w:pPr>
            <w:r w:rsidRPr="00785601">
              <w:rPr>
                <w:b/>
                <w:bCs/>
                <w:color w:val="000000"/>
                <w:sz w:val="20"/>
                <w:szCs w:val="20"/>
              </w:rPr>
              <w:t>0</w:t>
            </w:r>
          </w:p>
        </w:tc>
        <w:tc>
          <w:tcPr>
            <w:tcW w:w="1180" w:type="dxa"/>
            <w:tcBorders>
              <w:top w:val="nil"/>
              <w:left w:val="nil"/>
              <w:bottom w:val="single" w:sz="4" w:space="0" w:color="auto"/>
              <w:right w:val="single" w:sz="4" w:space="0" w:color="auto"/>
            </w:tcBorders>
            <w:shd w:val="clear" w:color="auto" w:fill="auto"/>
            <w:noWrap/>
            <w:vAlign w:val="center"/>
            <w:hideMark/>
          </w:tcPr>
          <w:p w14:paraId="54E3CA89"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14:paraId="41DDD0A5"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59A32D7" w14:textId="77777777" w:rsidR="002F0091" w:rsidRPr="00785601" w:rsidRDefault="002F0091" w:rsidP="002F0091">
            <w:pPr>
              <w:jc w:val="right"/>
              <w:rPr>
                <w:color w:val="000000"/>
                <w:sz w:val="20"/>
                <w:szCs w:val="20"/>
                <w:lang w:eastAsia="en-GB"/>
              </w:rPr>
            </w:pPr>
            <w:r w:rsidRPr="00785601">
              <w:rPr>
                <w:color w:val="000000"/>
                <w:sz w:val="20"/>
                <w:szCs w:val="20"/>
              </w:rPr>
              <w:t> </w:t>
            </w:r>
          </w:p>
        </w:tc>
        <w:tc>
          <w:tcPr>
            <w:tcW w:w="1360" w:type="dxa"/>
            <w:tcBorders>
              <w:top w:val="nil"/>
              <w:left w:val="nil"/>
              <w:bottom w:val="single" w:sz="4" w:space="0" w:color="auto"/>
              <w:right w:val="single" w:sz="4" w:space="0" w:color="auto"/>
            </w:tcBorders>
            <w:shd w:val="clear" w:color="auto" w:fill="auto"/>
            <w:noWrap/>
            <w:vAlign w:val="center"/>
            <w:hideMark/>
          </w:tcPr>
          <w:p w14:paraId="379D4756" w14:textId="77777777" w:rsidR="002F0091" w:rsidRPr="00785601" w:rsidRDefault="002F0091" w:rsidP="002F0091">
            <w:pPr>
              <w:jc w:val="right"/>
              <w:rPr>
                <w:color w:val="000000"/>
                <w:sz w:val="20"/>
                <w:szCs w:val="20"/>
                <w:lang w:eastAsia="en-GB"/>
              </w:rPr>
            </w:pPr>
            <w:r w:rsidRPr="00785601">
              <w:rPr>
                <w:color w:val="000000"/>
                <w:sz w:val="20"/>
                <w:szCs w:val="20"/>
              </w:rPr>
              <w:t>0</w:t>
            </w:r>
          </w:p>
        </w:tc>
      </w:tr>
      <w:tr w:rsidR="00D1663B" w:rsidRPr="004F47DA" w14:paraId="4E19ADD0" w14:textId="77777777" w:rsidTr="002F0091">
        <w:trPr>
          <w:trHeight w:val="263"/>
        </w:trPr>
        <w:tc>
          <w:tcPr>
            <w:tcW w:w="4500" w:type="dxa"/>
            <w:tcBorders>
              <w:top w:val="single" w:sz="4" w:space="0" w:color="auto"/>
              <w:left w:val="single" w:sz="8" w:space="0" w:color="auto"/>
              <w:right w:val="single" w:sz="4" w:space="0" w:color="auto"/>
            </w:tcBorders>
            <w:shd w:val="clear" w:color="auto" w:fill="auto"/>
            <w:noWrap/>
            <w:vAlign w:val="center"/>
            <w:hideMark/>
          </w:tcPr>
          <w:p w14:paraId="02EA0723" w14:textId="77777777" w:rsidR="002F0091" w:rsidRPr="00785601" w:rsidRDefault="002F0091" w:rsidP="002F0091">
            <w:pPr>
              <w:rPr>
                <w:b/>
                <w:bCs/>
                <w:color w:val="000000"/>
                <w:sz w:val="20"/>
                <w:szCs w:val="20"/>
                <w:lang w:eastAsia="en-GB"/>
              </w:rPr>
            </w:pPr>
            <w:r w:rsidRPr="00785601">
              <w:rPr>
                <w:b/>
                <w:bCs/>
                <w:color w:val="000000"/>
                <w:sz w:val="20"/>
                <w:szCs w:val="20"/>
              </w:rPr>
              <w:t>Sub Total</w:t>
            </w:r>
          </w:p>
        </w:tc>
        <w:tc>
          <w:tcPr>
            <w:tcW w:w="1440" w:type="dxa"/>
            <w:tcBorders>
              <w:top w:val="single" w:sz="4" w:space="0" w:color="auto"/>
              <w:left w:val="single" w:sz="4" w:space="0" w:color="auto"/>
              <w:bottom w:val="nil"/>
              <w:right w:val="single" w:sz="4" w:space="0" w:color="auto"/>
            </w:tcBorders>
            <w:shd w:val="clear" w:color="auto" w:fill="auto"/>
            <w:noWrap/>
            <w:vAlign w:val="center"/>
            <w:hideMark/>
          </w:tcPr>
          <w:p w14:paraId="67208009" w14:textId="77777777" w:rsidR="002F0091" w:rsidRPr="00785601" w:rsidRDefault="002F0091" w:rsidP="002F0091">
            <w:pPr>
              <w:jc w:val="right"/>
              <w:rPr>
                <w:b/>
                <w:bCs/>
                <w:sz w:val="20"/>
                <w:szCs w:val="20"/>
                <w:lang w:eastAsia="en-GB"/>
              </w:rPr>
            </w:pPr>
            <w:r w:rsidRPr="00785601">
              <w:rPr>
                <w:b/>
                <w:bCs/>
                <w:color w:val="000000"/>
                <w:sz w:val="20"/>
                <w:szCs w:val="20"/>
              </w:rPr>
              <w:t>30,024</w:t>
            </w:r>
          </w:p>
        </w:tc>
        <w:tc>
          <w:tcPr>
            <w:tcW w:w="1260" w:type="dxa"/>
            <w:tcBorders>
              <w:top w:val="single" w:sz="4" w:space="0" w:color="auto"/>
              <w:left w:val="nil"/>
              <w:bottom w:val="nil"/>
              <w:right w:val="single" w:sz="4" w:space="0" w:color="auto"/>
            </w:tcBorders>
            <w:shd w:val="clear" w:color="auto" w:fill="auto"/>
            <w:noWrap/>
            <w:vAlign w:val="center"/>
            <w:hideMark/>
          </w:tcPr>
          <w:p w14:paraId="64DCCD8F" w14:textId="77777777" w:rsidR="002F0091" w:rsidRPr="00785601" w:rsidRDefault="002F0091" w:rsidP="002F0091">
            <w:pPr>
              <w:jc w:val="right"/>
              <w:rPr>
                <w:b/>
                <w:bCs/>
                <w:sz w:val="20"/>
                <w:szCs w:val="20"/>
                <w:lang w:eastAsia="en-GB"/>
              </w:rPr>
            </w:pPr>
            <w:r w:rsidRPr="00785601">
              <w:rPr>
                <w:b/>
                <w:bCs/>
                <w:color w:val="000000"/>
                <w:sz w:val="20"/>
                <w:szCs w:val="20"/>
              </w:rPr>
              <w:t>0</w:t>
            </w:r>
          </w:p>
        </w:tc>
        <w:tc>
          <w:tcPr>
            <w:tcW w:w="1339" w:type="dxa"/>
            <w:tcBorders>
              <w:top w:val="single" w:sz="4" w:space="0" w:color="auto"/>
              <w:left w:val="nil"/>
              <w:bottom w:val="nil"/>
              <w:right w:val="single" w:sz="4" w:space="0" w:color="auto"/>
            </w:tcBorders>
            <w:shd w:val="clear" w:color="auto" w:fill="auto"/>
            <w:noWrap/>
            <w:vAlign w:val="center"/>
            <w:hideMark/>
          </w:tcPr>
          <w:p w14:paraId="05C6D433" w14:textId="77777777" w:rsidR="002F0091" w:rsidRPr="00785601" w:rsidRDefault="002F0091" w:rsidP="002F0091">
            <w:pPr>
              <w:jc w:val="right"/>
              <w:rPr>
                <w:b/>
                <w:bCs/>
                <w:sz w:val="20"/>
                <w:szCs w:val="20"/>
                <w:lang w:eastAsia="en-GB"/>
              </w:rPr>
            </w:pPr>
            <w:r w:rsidRPr="00785601">
              <w:rPr>
                <w:b/>
                <w:bCs/>
                <w:color w:val="000000"/>
                <w:sz w:val="20"/>
                <w:szCs w:val="20"/>
              </w:rPr>
              <w:t>-30,024</w:t>
            </w:r>
          </w:p>
        </w:tc>
        <w:tc>
          <w:tcPr>
            <w:tcW w:w="1320" w:type="dxa"/>
            <w:tcBorders>
              <w:top w:val="single" w:sz="4" w:space="0" w:color="auto"/>
              <w:left w:val="nil"/>
              <w:bottom w:val="nil"/>
              <w:right w:val="single" w:sz="4" w:space="0" w:color="auto"/>
            </w:tcBorders>
            <w:shd w:val="clear" w:color="000000" w:fill="DCE6F1"/>
            <w:noWrap/>
            <w:vAlign w:val="center"/>
            <w:hideMark/>
          </w:tcPr>
          <w:p w14:paraId="37C7558F" w14:textId="77777777" w:rsidR="002F0091" w:rsidRPr="00785601" w:rsidRDefault="002F0091" w:rsidP="002F0091">
            <w:pPr>
              <w:jc w:val="right"/>
              <w:rPr>
                <w:b/>
                <w:bCs/>
                <w:sz w:val="20"/>
                <w:szCs w:val="20"/>
                <w:lang w:eastAsia="en-GB"/>
              </w:rPr>
            </w:pPr>
            <w:r w:rsidRPr="00785601">
              <w:rPr>
                <w:b/>
                <w:bCs/>
                <w:color w:val="000000"/>
                <w:sz w:val="20"/>
                <w:szCs w:val="20"/>
              </w:rPr>
              <w:t>0</w:t>
            </w:r>
          </w:p>
        </w:tc>
        <w:tc>
          <w:tcPr>
            <w:tcW w:w="1180" w:type="dxa"/>
            <w:tcBorders>
              <w:top w:val="single" w:sz="4" w:space="0" w:color="auto"/>
              <w:left w:val="nil"/>
              <w:bottom w:val="nil"/>
              <w:right w:val="single" w:sz="4" w:space="0" w:color="auto"/>
            </w:tcBorders>
            <w:shd w:val="clear" w:color="auto" w:fill="auto"/>
            <w:noWrap/>
            <w:vAlign w:val="center"/>
            <w:hideMark/>
          </w:tcPr>
          <w:p w14:paraId="752A2F27" w14:textId="77777777" w:rsidR="002F0091" w:rsidRPr="00785601" w:rsidRDefault="002F0091" w:rsidP="002F0091">
            <w:pPr>
              <w:jc w:val="right"/>
              <w:rPr>
                <w:b/>
                <w:bCs/>
                <w:sz w:val="20"/>
                <w:szCs w:val="20"/>
                <w:lang w:eastAsia="en-GB"/>
              </w:rPr>
            </w:pPr>
            <w:r w:rsidRPr="00785601">
              <w:rPr>
                <w:b/>
                <w:bCs/>
                <w:color w:val="000000"/>
                <w:sz w:val="20"/>
                <w:szCs w:val="20"/>
              </w:rPr>
              <w:t>0</w:t>
            </w:r>
          </w:p>
        </w:tc>
        <w:tc>
          <w:tcPr>
            <w:tcW w:w="1140" w:type="dxa"/>
            <w:tcBorders>
              <w:top w:val="single" w:sz="4" w:space="0" w:color="auto"/>
              <w:left w:val="nil"/>
              <w:bottom w:val="nil"/>
              <w:right w:val="single" w:sz="4" w:space="0" w:color="auto"/>
            </w:tcBorders>
            <w:shd w:val="clear" w:color="auto" w:fill="auto"/>
            <w:noWrap/>
            <w:vAlign w:val="center"/>
            <w:hideMark/>
          </w:tcPr>
          <w:p w14:paraId="6E5FF40F" w14:textId="77777777" w:rsidR="002F0091" w:rsidRPr="00785601" w:rsidRDefault="002F0091" w:rsidP="002F0091">
            <w:pPr>
              <w:jc w:val="right"/>
              <w:rPr>
                <w:b/>
                <w:bCs/>
                <w:sz w:val="20"/>
                <w:szCs w:val="20"/>
                <w:lang w:eastAsia="en-GB"/>
              </w:rPr>
            </w:pPr>
            <w:r w:rsidRPr="00785601">
              <w:rPr>
                <w:b/>
                <w:bCs/>
                <w:color w:val="000000"/>
                <w:sz w:val="20"/>
                <w:szCs w:val="20"/>
              </w:rPr>
              <w:t>0</w:t>
            </w:r>
          </w:p>
        </w:tc>
        <w:tc>
          <w:tcPr>
            <w:tcW w:w="1200" w:type="dxa"/>
            <w:tcBorders>
              <w:top w:val="single" w:sz="4" w:space="0" w:color="auto"/>
              <w:left w:val="nil"/>
              <w:bottom w:val="nil"/>
              <w:right w:val="single" w:sz="4" w:space="0" w:color="auto"/>
            </w:tcBorders>
            <w:shd w:val="clear" w:color="auto" w:fill="auto"/>
            <w:noWrap/>
            <w:vAlign w:val="center"/>
            <w:hideMark/>
          </w:tcPr>
          <w:p w14:paraId="7222DE41" w14:textId="77777777" w:rsidR="002F0091" w:rsidRPr="00785601" w:rsidRDefault="002F0091" w:rsidP="002F0091">
            <w:pPr>
              <w:jc w:val="right"/>
              <w:rPr>
                <w:b/>
                <w:bCs/>
                <w:sz w:val="20"/>
                <w:szCs w:val="20"/>
                <w:lang w:eastAsia="en-GB"/>
              </w:rPr>
            </w:pPr>
            <w:r w:rsidRPr="00785601">
              <w:rPr>
                <w:b/>
                <w:bCs/>
                <w:color w:val="000000"/>
                <w:sz w:val="20"/>
                <w:szCs w:val="20"/>
              </w:rPr>
              <w:t>0</w:t>
            </w:r>
          </w:p>
        </w:tc>
        <w:tc>
          <w:tcPr>
            <w:tcW w:w="1360" w:type="dxa"/>
            <w:tcBorders>
              <w:top w:val="single" w:sz="4" w:space="0" w:color="auto"/>
              <w:left w:val="single" w:sz="4" w:space="0" w:color="auto"/>
              <w:bottom w:val="nil"/>
              <w:right w:val="single" w:sz="8" w:space="0" w:color="auto"/>
            </w:tcBorders>
            <w:shd w:val="clear" w:color="auto" w:fill="auto"/>
            <w:noWrap/>
            <w:vAlign w:val="center"/>
            <w:hideMark/>
          </w:tcPr>
          <w:p w14:paraId="3EB558BA" w14:textId="77777777" w:rsidR="002F0091" w:rsidRPr="00785601" w:rsidRDefault="002F0091" w:rsidP="002F0091">
            <w:pPr>
              <w:jc w:val="right"/>
              <w:rPr>
                <w:b/>
                <w:bCs/>
                <w:sz w:val="20"/>
                <w:szCs w:val="20"/>
                <w:lang w:eastAsia="en-GB"/>
              </w:rPr>
            </w:pPr>
            <w:r w:rsidRPr="00785601">
              <w:rPr>
                <w:b/>
                <w:bCs/>
                <w:color w:val="000000"/>
                <w:sz w:val="20"/>
                <w:szCs w:val="20"/>
              </w:rPr>
              <w:t>0</w:t>
            </w:r>
          </w:p>
        </w:tc>
      </w:tr>
      <w:tr w:rsidR="00D1663B" w:rsidRPr="004F47DA" w14:paraId="0AF7B669" w14:textId="77777777" w:rsidTr="002F0091">
        <w:trPr>
          <w:trHeight w:val="263"/>
        </w:trPr>
        <w:tc>
          <w:tcPr>
            <w:tcW w:w="4500" w:type="dxa"/>
            <w:tcBorders>
              <w:top w:val="nil"/>
              <w:left w:val="single" w:sz="8" w:space="0" w:color="auto"/>
              <w:bottom w:val="single" w:sz="4" w:space="0" w:color="auto"/>
              <w:right w:val="single" w:sz="4" w:space="0" w:color="auto"/>
            </w:tcBorders>
            <w:shd w:val="clear" w:color="auto" w:fill="auto"/>
            <w:noWrap/>
            <w:vAlign w:val="bottom"/>
            <w:hideMark/>
          </w:tcPr>
          <w:p w14:paraId="4A2DE106"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440" w:type="dxa"/>
            <w:tcBorders>
              <w:top w:val="nil"/>
              <w:left w:val="nil"/>
              <w:bottom w:val="nil"/>
              <w:right w:val="single" w:sz="4" w:space="0" w:color="auto"/>
            </w:tcBorders>
            <w:shd w:val="clear" w:color="auto" w:fill="auto"/>
            <w:noWrap/>
            <w:vAlign w:val="bottom"/>
            <w:hideMark/>
          </w:tcPr>
          <w:p w14:paraId="5D1E8290" w14:textId="77777777" w:rsidR="00CE6999" w:rsidRPr="00785601" w:rsidRDefault="00CE6999" w:rsidP="00CE6999">
            <w:pPr>
              <w:rPr>
                <w:sz w:val="20"/>
                <w:szCs w:val="20"/>
                <w:lang w:eastAsia="en-GB"/>
              </w:rPr>
            </w:pPr>
            <w:r w:rsidRPr="00785601">
              <w:rPr>
                <w:sz w:val="20"/>
                <w:szCs w:val="20"/>
                <w:lang w:eastAsia="en-GB"/>
              </w:rPr>
              <w:t> </w:t>
            </w:r>
          </w:p>
        </w:tc>
        <w:tc>
          <w:tcPr>
            <w:tcW w:w="1260" w:type="dxa"/>
            <w:tcBorders>
              <w:top w:val="nil"/>
              <w:left w:val="nil"/>
              <w:bottom w:val="nil"/>
              <w:right w:val="single" w:sz="4" w:space="0" w:color="auto"/>
            </w:tcBorders>
            <w:shd w:val="clear" w:color="auto" w:fill="auto"/>
            <w:noWrap/>
            <w:vAlign w:val="bottom"/>
            <w:hideMark/>
          </w:tcPr>
          <w:p w14:paraId="7683B0EA" w14:textId="77777777" w:rsidR="00CE6999" w:rsidRPr="00785601" w:rsidRDefault="00CE6999" w:rsidP="00CE6999">
            <w:pPr>
              <w:rPr>
                <w:sz w:val="20"/>
                <w:szCs w:val="20"/>
                <w:lang w:eastAsia="en-GB"/>
              </w:rPr>
            </w:pPr>
            <w:r w:rsidRPr="00785601">
              <w:rPr>
                <w:sz w:val="20"/>
                <w:szCs w:val="20"/>
                <w:lang w:eastAsia="en-GB"/>
              </w:rPr>
              <w:t> </w:t>
            </w:r>
          </w:p>
        </w:tc>
        <w:tc>
          <w:tcPr>
            <w:tcW w:w="1339" w:type="dxa"/>
            <w:tcBorders>
              <w:top w:val="nil"/>
              <w:left w:val="nil"/>
              <w:bottom w:val="nil"/>
              <w:right w:val="single" w:sz="4" w:space="0" w:color="auto"/>
            </w:tcBorders>
            <w:shd w:val="clear" w:color="auto" w:fill="auto"/>
            <w:noWrap/>
            <w:vAlign w:val="bottom"/>
            <w:hideMark/>
          </w:tcPr>
          <w:p w14:paraId="352702B6" w14:textId="77777777" w:rsidR="00CE6999" w:rsidRPr="00785601" w:rsidRDefault="00CE6999" w:rsidP="00CE6999">
            <w:pPr>
              <w:rPr>
                <w:sz w:val="20"/>
                <w:szCs w:val="20"/>
                <w:lang w:eastAsia="en-GB"/>
              </w:rPr>
            </w:pPr>
            <w:r w:rsidRPr="00785601">
              <w:rPr>
                <w:sz w:val="20"/>
                <w:szCs w:val="20"/>
                <w:lang w:eastAsia="en-GB"/>
              </w:rPr>
              <w:t> </w:t>
            </w:r>
          </w:p>
        </w:tc>
        <w:tc>
          <w:tcPr>
            <w:tcW w:w="1320" w:type="dxa"/>
            <w:tcBorders>
              <w:top w:val="nil"/>
              <w:left w:val="nil"/>
              <w:bottom w:val="nil"/>
              <w:right w:val="single" w:sz="4" w:space="0" w:color="auto"/>
            </w:tcBorders>
            <w:shd w:val="clear" w:color="000000" w:fill="DCE6F1"/>
            <w:noWrap/>
            <w:vAlign w:val="bottom"/>
            <w:hideMark/>
          </w:tcPr>
          <w:p w14:paraId="349FC3C7" w14:textId="77777777" w:rsidR="00CE6999" w:rsidRPr="00785601" w:rsidRDefault="00CE6999" w:rsidP="00CE6999">
            <w:pPr>
              <w:rPr>
                <w:b/>
                <w:bCs/>
                <w:color w:val="000000"/>
                <w:sz w:val="20"/>
                <w:szCs w:val="20"/>
                <w:lang w:eastAsia="en-GB"/>
              </w:rPr>
            </w:pPr>
            <w:r w:rsidRPr="00785601">
              <w:rPr>
                <w:b/>
                <w:bCs/>
                <w:color w:val="000000"/>
                <w:sz w:val="20"/>
                <w:szCs w:val="20"/>
                <w:lang w:eastAsia="en-GB"/>
              </w:rPr>
              <w:t> </w:t>
            </w:r>
          </w:p>
        </w:tc>
        <w:tc>
          <w:tcPr>
            <w:tcW w:w="1180" w:type="dxa"/>
            <w:tcBorders>
              <w:top w:val="nil"/>
              <w:left w:val="nil"/>
              <w:bottom w:val="nil"/>
              <w:right w:val="single" w:sz="4" w:space="0" w:color="auto"/>
            </w:tcBorders>
            <w:shd w:val="clear" w:color="auto" w:fill="auto"/>
            <w:noWrap/>
            <w:vAlign w:val="bottom"/>
            <w:hideMark/>
          </w:tcPr>
          <w:p w14:paraId="702683F4"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140" w:type="dxa"/>
            <w:tcBorders>
              <w:top w:val="nil"/>
              <w:left w:val="nil"/>
              <w:bottom w:val="nil"/>
              <w:right w:val="single" w:sz="4" w:space="0" w:color="auto"/>
            </w:tcBorders>
            <w:shd w:val="clear" w:color="auto" w:fill="auto"/>
            <w:noWrap/>
            <w:vAlign w:val="bottom"/>
            <w:hideMark/>
          </w:tcPr>
          <w:p w14:paraId="10A11F9B"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200" w:type="dxa"/>
            <w:tcBorders>
              <w:top w:val="nil"/>
              <w:left w:val="nil"/>
              <w:bottom w:val="nil"/>
              <w:right w:val="single" w:sz="4" w:space="0" w:color="auto"/>
            </w:tcBorders>
            <w:shd w:val="clear" w:color="auto" w:fill="auto"/>
            <w:noWrap/>
            <w:vAlign w:val="bottom"/>
            <w:hideMark/>
          </w:tcPr>
          <w:p w14:paraId="10462972"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c>
          <w:tcPr>
            <w:tcW w:w="1360" w:type="dxa"/>
            <w:tcBorders>
              <w:top w:val="nil"/>
              <w:left w:val="nil"/>
              <w:bottom w:val="nil"/>
              <w:right w:val="single" w:sz="8" w:space="0" w:color="auto"/>
            </w:tcBorders>
            <w:shd w:val="clear" w:color="auto" w:fill="auto"/>
            <w:noWrap/>
            <w:vAlign w:val="bottom"/>
            <w:hideMark/>
          </w:tcPr>
          <w:p w14:paraId="6EB0AD5D" w14:textId="77777777" w:rsidR="00CE6999" w:rsidRPr="00785601" w:rsidRDefault="00CE6999" w:rsidP="00CE6999">
            <w:pPr>
              <w:rPr>
                <w:color w:val="000000"/>
                <w:sz w:val="20"/>
                <w:szCs w:val="20"/>
                <w:lang w:eastAsia="en-GB"/>
              </w:rPr>
            </w:pPr>
            <w:r w:rsidRPr="00785601">
              <w:rPr>
                <w:color w:val="000000"/>
                <w:sz w:val="20"/>
                <w:szCs w:val="20"/>
                <w:lang w:eastAsia="en-GB"/>
              </w:rPr>
              <w:t> </w:t>
            </w:r>
          </w:p>
        </w:tc>
      </w:tr>
      <w:tr w:rsidR="00D1663B" w:rsidRPr="002F0091" w14:paraId="66774BB7" w14:textId="77777777" w:rsidTr="002F0091">
        <w:trPr>
          <w:trHeight w:val="270"/>
        </w:trPr>
        <w:tc>
          <w:tcPr>
            <w:tcW w:w="450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C1D83BA" w14:textId="77777777" w:rsidR="002F0091" w:rsidRPr="00785601" w:rsidRDefault="002F0091" w:rsidP="002F0091">
            <w:pPr>
              <w:rPr>
                <w:b/>
                <w:bCs/>
                <w:color w:val="000000"/>
                <w:sz w:val="20"/>
                <w:szCs w:val="20"/>
                <w:lang w:eastAsia="en-GB"/>
              </w:rPr>
            </w:pPr>
            <w:r w:rsidRPr="00785601">
              <w:rPr>
                <w:b/>
                <w:bCs/>
                <w:color w:val="000000"/>
                <w:sz w:val="20"/>
                <w:szCs w:val="20"/>
              </w:rPr>
              <w:t>Total</w:t>
            </w:r>
          </w:p>
        </w:tc>
        <w:tc>
          <w:tcPr>
            <w:tcW w:w="1440" w:type="dxa"/>
            <w:tcBorders>
              <w:top w:val="single" w:sz="4" w:space="0" w:color="auto"/>
              <w:left w:val="nil"/>
              <w:bottom w:val="single" w:sz="8" w:space="0" w:color="auto"/>
              <w:right w:val="single" w:sz="4" w:space="0" w:color="auto"/>
            </w:tcBorders>
            <w:shd w:val="clear" w:color="auto" w:fill="auto"/>
            <w:noWrap/>
            <w:vAlign w:val="center"/>
            <w:hideMark/>
          </w:tcPr>
          <w:p w14:paraId="73536F80" w14:textId="77777777" w:rsidR="002F0091" w:rsidRPr="00785601" w:rsidRDefault="002F0091" w:rsidP="002F0091">
            <w:pPr>
              <w:jc w:val="right"/>
              <w:rPr>
                <w:b/>
                <w:bCs/>
                <w:color w:val="000000"/>
                <w:sz w:val="20"/>
                <w:szCs w:val="20"/>
                <w:lang w:eastAsia="en-GB"/>
              </w:rPr>
            </w:pPr>
            <w:r w:rsidRPr="00785601">
              <w:rPr>
                <w:b/>
                <w:bCs/>
                <w:color w:val="000000"/>
                <w:sz w:val="20"/>
                <w:szCs w:val="20"/>
              </w:rPr>
              <w:t>5,336,871</w:t>
            </w:r>
          </w:p>
        </w:tc>
        <w:tc>
          <w:tcPr>
            <w:tcW w:w="1260" w:type="dxa"/>
            <w:tcBorders>
              <w:top w:val="single" w:sz="4" w:space="0" w:color="auto"/>
              <w:left w:val="nil"/>
              <w:bottom w:val="single" w:sz="8" w:space="0" w:color="auto"/>
              <w:right w:val="single" w:sz="4" w:space="0" w:color="auto"/>
            </w:tcBorders>
            <w:shd w:val="clear" w:color="auto" w:fill="auto"/>
            <w:noWrap/>
            <w:vAlign w:val="center"/>
            <w:hideMark/>
          </w:tcPr>
          <w:p w14:paraId="62E98825" w14:textId="77777777" w:rsidR="002F0091" w:rsidRPr="00785601" w:rsidRDefault="002F0091" w:rsidP="002F0091">
            <w:pPr>
              <w:jc w:val="right"/>
              <w:rPr>
                <w:b/>
                <w:bCs/>
                <w:color w:val="000000"/>
                <w:sz w:val="20"/>
                <w:szCs w:val="20"/>
                <w:lang w:eastAsia="en-GB"/>
              </w:rPr>
            </w:pPr>
            <w:r w:rsidRPr="00785601">
              <w:rPr>
                <w:b/>
                <w:bCs/>
                <w:color w:val="000000"/>
                <w:sz w:val="20"/>
                <w:szCs w:val="20"/>
              </w:rPr>
              <w:t>-983,698</w:t>
            </w:r>
          </w:p>
        </w:tc>
        <w:tc>
          <w:tcPr>
            <w:tcW w:w="1339" w:type="dxa"/>
            <w:tcBorders>
              <w:top w:val="single" w:sz="4" w:space="0" w:color="auto"/>
              <w:left w:val="nil"/>
              <w:bottom w:val="single" w:sz="8" w:space="0" w:color="auto"/>
              <w:right w:val="single" w:sz="4" w:space="0" w:color="auto"/>
            </w:tcBorders>
            <w:shd w:val="clear" w:color="auto" w:fill="auto"/>
            <w:noWrap/>
            <w:vAlign w:val="center"/>
            <w:hideMark/>
          </w:tcPr>
          <w:p w14:paraId="3418DD04" w14:textId="77777777" w:rsidR="002F0091" w:rsidRPr="00785601" w:rsidRDefault="002F0091" w:rsidP="002F0091">
            <w:pPr>
              <w:jc w:val="right"/>
              <w:rPr>
                <w:b/>
                <w:bCs/>
                <w:color w:val="000000"/>
                <w:sz w:val="20"/>
                <w:szCs w:val="20"/>
                <w:lang w:eastAsia="en-GB"/>
              </w:rPr>
            </w:pPr>
            <w:r w:rsidRPr="00785601">
              <w:rPr>
                <w:b/>
                <w:bCs/>
                <w:color w:val="000000"/>
                <w:sz w:val="20"/>
                <w:szCs w:val="20"/>
              </w:rPr>
              <w:t>0</w:t>
            </w:r>
          </w:p>
        </w:tc>
        <w:tc>
          <w:tcPr>
            <w:tcW w:w="1320" w:type="dxa"/>
            <w:tcBorders>
              <w:top w:val="single" w:sz="4" w:space="0" w:color="auto"/>
              <w:left w:val="nil"/>
              <w:bottom w:val="single" w:sz="8" w:space="0" w:color="auto"/>
              <w:right w:val="single" w:sz="4" w:space="0" w:color="auto"/>
            </w:tcBorders>
            <w:shd w:val="clear" w:color="auto" w:fill="auto"/>
            <w:noWrap/>
            <w:vAlign w:val="center"/>
            <w:hideMark/>
          </w:tcPr>
          <w:p w14:paraId="38E3B9AC" w14:textId="77777777" w:rsidR="002F0091" w:rsidRPr="00785601" w:rsidRDefault="002F0091" w:rsidP="002F0091">
            <w:pPr>
              <w:jc w:val="right"/>
              <w:rPr>
                <w:b/>
                <w:bCs/>
                <w:color w:val="000000"/>
                <w:sz w:val="20"/>
                <w:szCs w:val="20"/>
                <w:lang w:eastAsia="en-GB"/>
              </w:rPr>
            </w:pPr>
            <w:r w:rsidRPr="00785601">
              <w:rPr>
                <w:b/>
                <w:bCs/>
                <w:color w:val="000000"/>
                <w:sz w:val="20"/>
                <w:szCs w:val="20"/>
              </w:rPr>
              <w:t>4,353,173</w:t>
            </w:r>
          </w:p>
        </w:tc>
        <w:tc>
          <w:tcPr>
            <w:tcW w:w="1180" w:type="dxa"/>
            <w:tcBorders>
              <w:top w:val="single" w:sz="4" w:space="0" w:color="auto"/>
              <w:left w:val="nil"/>
              <w:bottom w:val="single" w:sz="8" w:space="0" w:color="auto"/>
              <w:right w:val="single" w:sz="4" w:space="0" w:color="auto"/>
            </w:tcBorders>
            <w:shd w:val="clear" w:color="auto" w:fill="auto"/>
            <w:noWrap/>
            <w:vAlign w:val="center"/>
            <w:hideMark/>
          </w:tcPr>
          <w:p w14:paraId="1356BF73" w14:textId="77777777" w:rsidR="002F0091" w:rsidRPr="00785601" w:rsidRDefault="00D1663B" w:rsidP="002F0091">
            <w:pPr>
              <w:jc w:val="right"/>
              <w:rPr>
                <w:b/>
                <w:bCs/>
                <w:color w:val="000000"/>
                <w:sz w:val="20"/>
                <w:szCs w:val="20"/>
                <w:lang w:eastAsia="en-GB"/>
              </w:rPr>
            </w:pPr>
            <w:r>
              <w:rPr>
                <w:b/>
                <w:bCs/>
                <w:color w:val="000000"/>
                <w:sz w:val="20"/>
                <w:szCs w:val="20"/>
              </w:rPr>
              <w:t>-2,619168</w:t>
            </w:r>
          </w:p>
        </w:tc>
        <w:tc>
          <w:tcPr>
            <w:tcW w:w="1140" w:type="dxa"/>
            <w:tcBorders>
              <w:top w:val="single" w:sz="4" w:space="0" w:color="auto"/>
              <w:left w:val="nil"/>
              <w:bottom w:val="single" w:sz="8" w:space="0" w:color="auto"/>
              <w:right w:val="single" w:sz="4" w:space="0" w:color="auto"/>
            </w:tcBorders>
            <w:shd w:val="clear" w:color="auto" w:fill="auto"/>
            <w:noWrap/>
            <w:vAlign w:val="center"/>
            <w:hideMark/>
          </w:tcPr>
          <w:p w14:paraId="01FB4897" w14:textId="77777777" w:rsidR="002F0091" w:rsidRPr="00785601" w:rsidRDefault="002F0091" w:rsidP="002F0091">
            <w:pPr>
              <w:jc w:val="right"/>
              <w:rPr>
                <w:b/>
                <w:bCs/>
                <w:color w:val="000000"/>
                <w:sz w:val="20"/>
                <w:szCs w:val="20"/>
                <w:lang w:eastAsia="en-GB"/>
              </w:rPr>
            </w:pPr>
            <w:r w:rsidRPr="00785601">
              <w:rPr>
                <w:b/>
                <w:bCs/>
                <w:color w:val="000000"/>
                <w:sz w:val="20"/>
                <w:szCs w:val="20"/>
              </w:rPr>
              <w:t>-</w:t>
            </w:r>
            <w:r w:rsidR="001A3E65">
              <w:rPr>
                <w:b/>
                <w:bCs/>
                <w:color w:val="000000"/>
                <w:sz w:val="20"/>
                <w:szCs w:val="20"/>
              </w:rPr>
              <w:t>618,198</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201C89F8" w14:textId="77777777" w:rsidR="002F0091" w:rsidRPr="00785601" w:rsidRDefault="002F0091" w:rsidP="002F0091">
            <w:pPr>
              <w:jc w:val="right"/>
              <w:rPr>
                <w:b/>
                <w:bCs/>
                <w:color w:val="000000"/>
                <w:sz w:val="20"/>
                <w:szCs w:val="20"/>
                <w:lang w:eastAsia="en-GB"/>
              </w:rPr>
            </w:pPr>
            <w:r w:rsidRPr="00785601">
              <w:rPr>
                <w:b/>
                <w:bCs/>
                <w:color w:val="000000"/>
                <w:sz w:val="20"/>
                <w:szCs w:val="20"/>
              </w:rPr>
              <w:t>-19,424</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14:paraId="01E5C305" w14:textId="77777777" w:rsidR="002F0091" w:rsidRPr="00785601" w:rsidRDefault="00D1663B" w:rsidP="002F0091">
            <w:pPr>
              <w:jc w:val="right"/>
              <w:rPr>
                <w:b/>
                <w:bCs/>
                <w:color w:val="000000"/>
                <w:sz w:val="20"/>
                <w:szCs w:val="20"/>
                <w:lang w:eastAsia="en-GB"/>
              </w:rPr>
            </w:pPr>
            <w:r>
              <w:rPr>
                <w:b/>
                <w:bCs/>
                <w:color w:val="000000"/>
                <w:sz w:val="20"/>
                <w:szCs w:val="20"/>
              </w:rPr>
              <w:t>1,024,383</w:t>
            </w:r>
          </w:p>
        </w:tc>
      </w:tr>
    </w:tbl>
    <w:p w14:paraId="09A08E77" w14:textId="77777777" w:rsidR="00302534" w:rsidRPr="00786F4A" w:rsidRDefault="00302534">
      <w:pPr>
        <w:rPr>
          <w:highlight w:val="yellow"/>
        </w:rPr>
        <w:sectPr w:rsidR="00302534" w:rsidRPr="00786F4A" w:rsidSect="00E3312E">
          <w:pgSz w:w="16838" w:h="11906" w:orient="landscape"/>
          <w:pgMar w:top="1418" w:right="1418" w:bottom="1531" w:left="1134" w:header="567" w:footer="567" w:gutter="0"/>
          <w:cols w:space="720"/>
          <w:docGrid w:linePitch="299"/>
        </w:sectPr>
      </w:pPr>
    </w:p>
    <w:p w14:paraId="6F8633AF" w14:textId="77777777" w:rsidR="00922359" w:rsidRPr="00785601" w:rsidRDefault="00922359" w:rsidP="00922359">
      <w:pPr>
        <w:autoSpaceDE w:val="0"/>
        <w:autoSpaceDN w:val="0"/>
        <w:adjustRightInd w:val="0"/>
        <w:jc w:val="right"/>
        <w:rPr>
          <w:b/>
          <w:sz w:val="24"/>
          <w:szCs w:val="24"/>
        </w:rPr>
      </w:pPr>
      <w:r w:rsidRPr="00785601">
        <w:rPr>
          <w:b/>
          <w:sz w:val="24"/>
          <w:szCs w:val="24"/>
        </w:rPr>
        <w:lastRenderedPageBreak/>
        <w:t>APPENDIX C</w:t>
      </w:r>
    </w:p>
    <w:p w14:paraId="0A79B338" w14:textId="77777777" w:rsidR="008E1735" w:rsidRPr="00785601" w:rsidRDefault="008E1735" w:rsidP="008E1735">
      <w:pPr>
        <w:autoSpaceDE w:val="0"/>
        <w:autoSpaceDN w:val="0"/>
        <w:adjustRightInd w:val="0"/>
        <w:rPr>
          <w:sz w:val="24"/>
          <w:szCs w:val="24"/>
        </w:rPr>
      </w:pPr>
      <w:r w:rsidRPr="00785601">
        <w:rPr>
          <w:b/>
          <w:sz w:val="24"/>
          <w:szCs w:val="24"/>
        </w:rPr>
        <w:t>DETAILS ON INDIVIDUAL RESERVES</w:t>
      </w:r>
    </w:p>
    <w:p w14:paraId="79DD1B85" w14:textId="77777777" w:rsidR="008E1735" w:rsidRPr="00785601" w:rsidRDefault="008E1735" w:rsidP="008E1735">
      <w:pPr>
        <w:autoSpaceDE w:val="0"/>
        <w:autoSpaceDN w:val="0"/>
        <w:adjustRightInd w:val="0"/>
        <w:rPr>
          <w:sz w:val="24"/>
          <w:szCs w:val="24"/>
        </w:rPr>
      </w:pPr>
    </w:p>
    <w:p w14:paraId="3275B5A7" w14:textId="77777777" w:rsidR="008E1735" w:rsidRPr="00785601" w:rsidRDefault="008E1735" w:rsidP="008E1735">
      <w:pPr>
        <w:autoSpaceDE w:val="0"/>
        <w:autoSpaceDN w:val="0"/>
        <w:adjustRightInd w:val="0"/>
        <w:rPr>
          <w:sz w:val="24"/>
          <w:szCs w:val="24"/>
        </w:rPr>
      </w:pPr>
      <w:r w:rsidRPr="00785601">
        <w:rPr>
          <w:sz w:val="24"/>
          <w:szCs w:val="24"/>
        </w:rPr>
        <w:t>Details on the individual reserves in Appendix B can be found below.</w:t>
      </w:r>
    </w:p>
    <w:p w14:paraId="68C696B7" w14:textId="77777777" w:rsidR="008E1735" w:rsidRPr="00785601" w:rsidRDefault="008E1735" w:rsidP="008E1735">
      <w:pPr>
        <w:autoSpaceDE w:val="0"/>
        <w:autoSpaceDN w:val="0"/>
        <w:adjustRightInd w:val="0"/>
        <w:rPr>
          <w:sz w:val="24"/>
          <w:szCs w:val="24"/>
        </w:rPr>
      </w:pPr>
    </w:p>
    <w:p w14:paraId="2590DC86" w14:textId="77777777" w:rsidR="00922359" w:rsidRPr="00785601" w:rsidRDefault="008E1735" w:rsidP="00922359">
      <w:pPr>
        <w:autoSpaceDE w:val="0"/>
        <w:autoSpaceDN w:val="0"/>
        <w:adjustRightInd w:val="0"/>
        <w:rPr>
          <w:b/>
          <w:bCs/>
          <w:sz w:val="24"/>
          <w:szCs w:val="24"/>
        </w:rPr>
      </w:pPr>
      <w:r w:rsidRPr="00785601">
        <w:rPr>
          <w:b/>
          <w:bCs/>
          <w:sz w:val="24"/>
          <w:szCs w:val="24"/>
        </w:rPr>
        <w:t>Safe as Houses</w:t>
      </w:r>
    </w:p>
    <w:p w14:paraId="4168C5B0" w14:textId="77777777" w:rsidR="008E1735" w:rsidRPr="00785601" w:rsidRDefault="008E1735" w:rsidP="00922359">
      <w:pPr>
        <w:tabs>
          <w:tab w:val="left" w:pos="0"/>
        </w:tabs>
        <w:autoSpaceDE w:val="0"/>
        <w:autoSpaceDN w:val="0"/>
        <w:adjustRightInd w:val="0"/>
        <w:rPr>
          <w:sz w:val="24"/>
          <w:szCs w:val="24"/>
        </w:rPr>
      </w:pPr>
      <w:r w:rsidRPr="00785601">
        <w:rPr>
          <w:sz w:val="24"/>
          <w:szCs w:val="24"/>
        </w:rPr>
        <w:t xml:space="preserve">This reserve provides funding for </w:t>
      </w:r>
      <w:r w:rsidR="005125E3" w:rsidRPr="00785601">
        <w:rPr>
          <w:sz w:val="24"/>
          <w:szCs w:val="24"/>
        </w:rPr>
        <w:t>equipment to help deliver safe</w:t>
      </w:r>
      <w:r w:rsidRPr="00785601">
        <w:rPr>
          <w:sz w:val="24"/>
          <w:szCs w:val="24"/>
        </w:rPr>
        <w:t xml:space="preserve"> and well checks.</w:t>
      </w:r>
    </w:p>
    <w:p w14:paraId="6B74D5F0" w14:textId="77777777" w:rsidR="00922359" w:rsidRPr="00785601" w:rsidRDefault="00922359" w:rsidP="00922359">
      <w:pPr>
        <w:tabs>
          <w:tab w:val="left" w:pos="0"/>
        </w:tabs>
        <w:autoSpaceDE w:val="0"/>
        <w:autoSpaceDN w:val="0"/>
        <w:adjustRightInd w:val="0"/>
        <w:rPr>
          <w:sz w:val="24"/>
          <w:szCs w:val="24"/>
        </w:rPr>
      </w:pPr>
    </w:p>
    <w:p w14:paraId="7C4052B1" w14:textId="77777777" w:rsidR="005125E3" w:rsidRPr="00785601" w:rsidRDefault="008E1735" w:rsidP="00922359">
      <w:pPr>
        <w:autoSpaceDE w:val="0"/>
        <w:autoSpaceDN w:val="0"/>
        <w:adjustRightInd w:val="0"/>
        <w:rPr>
          <w:b/>
          <w:sz w:val="24"/>
          <w:szCs w:val="24"/>
        </w:rPr>
      </w:pPr>
      <w:r w:rsidRPr="00785601">
        <w:rPr>
          <w:b/>
          <w:sz w:val="24"/>
          <w:szCs w:val="24"/>
        </w:rPr>
        <w:t xml:space="preserve">Community Safety Innovation Fund </w:t>
      </w:r>
    </w:p>
    <w:p w14:paraId="4AB14FE7" w14:textId="77777777" w:rsidR="008E1735" w:rsidRPr="00785601" w:rsidRDefault="008E1735" w:rsidP="00922359">
      <w:pPr>
        <w:autoSpaceDE w:val="0"/>
        <w:autoSpaceDN w:val="0"/>
        <w:adjustRightInd w:val="0"/>
        <w:rPr>
          <w:sz w:val="24"/>
          <w:szCs w:val="24"/>
        </w:rPr>
      </w:pPr>
      <w:r w:rsidRPr="00785601">
        <w:rPr>
          <w:sz w:val="24"/>
          <w:szCs w:val="24"/>
        </w:rPr>
        <w:t>This grant enables the Authority to work very closely with partner agencies to identify and address risk with the aim of reducing fires in vulnerable groups.  An example of this work is where an Environmental Health officer has been seconded to the Authority to work alongside our Fire Prevention Officers to ensure that the assistance provided is the most effective available.</w:t>
      </w:r>
    </w:p>
    <w:p w14:paraId="0F5337A6" w14:textId="77777777" w:rsidR="003470B1" w:rsidRPr="00785601" w:rsidRDefault="003470B1" w:rsidP="00922359">
      <w:pPr>
        <w:autoSpaceDE w:val="0"/>
        <w:autoSpaceDN w:val="0"/>
        <w:adjustRightInd w:val="0"/>
        <w:rPr>
          <w:sz w:val="24"/>
          <w:szCs w:val="24"/>
        </w:rPr>
      </w:pPr>
    </w:p>
    <w:p w14:paraId="068A8FE8" w14:textId="77777777" w:rsidR="003470B1" w:rsidRPr="00785601" w:rsidRDefault="005125E3" w:rsidP="00922359">
      <w:pPr>
        <w:autoSpaceDE w:val="0"/>
        <w:autoSpaceDN w:val="0"/>
        <w:adjustRightInd w:val="0"/>
        <w:rPr>
          <w:b/>
          <w:bCs/>
          <w:sz w:val="24"/>
          <w:szCs w:val="24"/>
        </w:rPr>
      </w:pPr>
      <w:r w:rsidRPr="00785601">
        <w:rPr>
          <w:b/>
          <w:bCs/>
          <w:sz w:val="24"/>
          <w:szCs w:val="24"/>
        </w:rPr>
        <w:t>Fire Protection Funding</w:t>
      </w:r>
      <w:r w:rsidR="000A2AFA" w:rsidRPr="00785601">
        <w:rPr>
          <w:b/>
          <w:bCs/>
          <w:sz w:val="24"/>
          <w:szCs w:val="24"/>
        </w:rPr>
        <w:t xml:space="preserve"> / Grenfell Infrastructure Fund / Accreditation, Recognition and Prior Learning</w:t>
      </w:r>
    </w:p>
    <w:p w14:paraId="0CBF7E64" w14:textId="77777777" w:rsidR="005125E3" w:rsidRPr="00785601" w:rsidRDefault="005125E3" w:rsidP="00922359">
      <w:pPr>
        <w:autoSpaceDE w:val="0"/>
        <w:autoSpaceDN w:val="0"/>
        <w:adjustRightInd w:val="0"/>
        <w:rPr>
          <w:sz w:val="24"/>
          <w:szCs w:val="24"/>
        </w:rPr>
      </w:pPr>
      <w:r w:rsidRPr="00785601">
        <w:rPr>
          <w:sz w:val="24"/>
          <w:szCs w:val="24"/>
        </w:rPr>
        <w:t>These grants have been provided to help the service address the recommendations coming out of the Grenfell Tower Inquiry and subsequent Hackitt review.</w:t>
      </w:r>
    </w:p>
    <w:p w14:paraId="29608444" w14:textId="77777777" w:rsidR="005125E3" w:rsidRPr="00785601" w:rsidRDefault="005125E3" w:rsidP="00922359">
      <w:pPr>
        <w:autoSpaceDE w:val="0"/>
        <w:autoSpaceDN w:val="0"/>
        <w:adjustRightInd w:val="0"/>
        <w:rPr>
          <w:sz w:val="24"/>
          <w:szCs w:val="24"/>
        </w:rPr>
      </w:pPr>
    </w:p>
    <w:p w14:paraId="76BEF88B" w14:textId="77777777" w:rsidR="003470B1" w:rsidRPr="00785601" w:rsidRDefault="003470B1" w:rsidP="00922359">
      <w:pPr>
        <w:autoSpaceDE w:val="0"/>
        <w:autoSpaceDN w:val="0"/>
        <w:adjustRightInd w:val="0"/>
        <w:rPr>
          <w:b/>
          <w:bCs/>
          <w:sz w:val="24"/>
          <w:szCs w:val="24"/>
        </w:rPr>
      </w:pPr>
      <w:r w:rsidRPr="00785601">
        <w:rPr>
          <w:b/>
          <w:bCs/>
          <w:sz w:val="24"/>
          <w:szCs w:val="24"/>
        </w:rPr>
        <w:t>Fire Cadets Project</w:t>
      </w:r>
    </w:p>
    <w:p w14:paraId="1751F684" w14:textId="77777777" w:rsidR="003470B1" w:rsidRPr="00785601" w:rsidRDefault="003470B1" w:rsidP="00922359">
      <w:pPr>
        <w:autoSpaceDE w:val="0"/>
        <w:autoSpaceDN w:val="0"/>
        <w:adjustRightInd w:val="0"/>
        <w:rPr>
          <w:sz w:val="24"/>
          <w:szCs w:val="24"/>
        </w:rPr>
      </w:pPr>
      <w:r w:rsidRPr="00785601">
        <w:rPr>
          <w:sz w:val="24"/>
          <w:szCs w:val="24"/>
        </w:rPr>
        <w:t xml:space="preserve">This reserve supports the work the service does with cadets.  A joint cadet scheme with the police is in its early stages and the funding will be used to support </w:t>
      </w:r>
      <w:r w:rsidR="00F56390" w:rsidRPr="00785601">
        <w:rPr>
          <w:sz w:val="24"/>
          <w:szCs w:val="24"/>
        </w:rPr>
        <w:t>the programme.</w:t>
      </w:r>
    </w:p>
    <w:p w14:paraId="3E6AEFE8" w14:textId="77777777" w:rsidR="00F56390" w:rsidRPr="00785601" w:rsidRDefault="00F56390" w:rsidP="00922359">
      <w:pPr>
        <w:autoSpaceDE w:val="0"/>
        <w:autoSpaceDN w:val="0"/>
        <w:adjustRightInd w:val="0"/>
        <w:rPr>
          <w:sz w:val="24"/>
          <w:szCs w:val="24"/>
        </w:rPr>
      </w:pPr>
    </w:p>
    <w:p w14:paraId="27827BD6" w14:textId="77777777" w:rsidR="00F56390" w:rsidRPr="00785601" w:rsidRDefault="00F56390" w:rsidP="00922359">
      <w:pPr>
        <w:autoSpaceDE w:val="0"/>
        <w:autoSpaceDN w:val="0"/>
        <w:adjustRightInd w:val="0"/>
        <w:rPr>
          <w:sz w:val="24"/>
          <w:szCs w:val="24"/>
        </w:rPr>
      </w:pPr>
      <w:r w:rsidRPr="00785601">
        <w:rPr>
          <w:b/>
          <w:bCs/>
          <w:sz w:val="24"/>
          <w:szCs w:val="24"/>
        </w:rPr>
        <w:t>Home Safety Equipment Scheme</w:t>
      </w:r>
    </w:p>
    <w:p w14:paraId="53D59170" w14:textId="77777777" w:rsidR="00065143" w:rsidRDefault="00F56390" w:rsidP="00922359">
      <w:pPr>
        <w:autoSpaceDE w:val="0"/>
        <w:autoSpaceDN w:val="0"/>
        <w:adjustRightInd w:val="0"/>
        <w:rPr>
          <w:sz w:val="24"/>
          <w:szCs w:val="24"/>
        </w:rPr>
      </w:pPr>
      <w:r w:rsidRPr="00785601">
        <w:rPr>
          <w:sz w:val="24"/>
          <w:szCs w:val="24"/>
        </w:rPr>
        <w:t>When undertaking safe and well visits, staff frequently replace equipment that represents a fire hazard within the home.  This grant helps cover costs that cannot be met from within current budgets.</w:t>
      </w:r>
    </w:p>
    <w:p w14:paraId="43396794" w14:textId="77777777" w:rsidR="00AD596B" w:rsidRPr="00785601" w:rsidRDefault="00AD596B" w:rsidP="00922359">
      <w:pPr>
        <w:autoSpaceDE w:val="0"/>
        <w:autoSpaceDN w:val="0"/>
        <w:adjustRightInd w:val="0"/>
        <w:rPr>
          <w:sz w:val="24"/>
          <w:szCs w:val="24"/>
        </w:rPr>
      </w:pPr>
    </w:p>
    <w:p w14:paraId="0C477634" w14:textId="77777777" w:rsidR="000A2AFA" w:rsidRPr="00785601" w:rsidRDefault="000A2AFA" w:rsidP="000A2AFA">
      <w:pPr>
        <w:autoSpaceDE w:val="0"/>
        <w:autoSpaceDN w:val="0"/>
        <w:adjustRightInd w:val="0"/>
        <w:rPr>
          <w:sz w:val="24"/>
          <w:szCs w:val="24"/>
        </w:rPr>
      </w:pPr>
      <w:r w:rsidRPr="00785601">
        <w:rPr>
          <w:b/>
          <w:sz w:val="24"/>
          <w:szCs w:val="24"/>
        </w:rPr>
        <w:t xml:space="preserve">Emergency Services Network (ESN) Reserves </w:t>
      </w:r>
      <w:r w:rsidRPr="00785601">
        <w:rPr>
          <w:sz w:val="24"/>
          <w:szCs w:val="24"/>
        </w:rPr>
        <w:t>These reserves relate to ESN grant that has been awarded but not spent due to the delays in the national project.  There are also some smaller reserves created to fund expenditure funded directly by the Authority.  The ESN project has now been put on hold by the government and further spending is not expected until the project recommences.</w:t>
      </w:r>
    </w:p>
    <w:p w14:paraId="2C8E6FC6" w14:textId="77777777" w:rsidR="00065143" w:rsidRPr="00785601" w:rsidRDefault="00065143" w:rsidP="000A2AFA">
      <w:pPr>
        <w:autoSpaceDE w:val="0"/>
        <w:autoSpaceDN w:val="0"/>
        <w:adjustRightInd w:val="0"/>
        <w:rPr>
          <w:b/>
          <w:bCs/>
          <w:sz w:val="24"/>
          <w:szCs w:val="24"/>
        </w:rPr>
      </w:pPr>
    </w:p>
    <w:p w14:paraId="6F62D253" w14:textId="77777777" w:rsidR="000A2AFA" w:rsidRPr="00785601" w:rsidRDefault="00E95729" w:rsidP="000A2AFA">
      <w:pPr>
        <w:autoSpaceDE w:val="0"/>
        <w:autoSpaceDN w:val="0"/>
        <w:adjustRightInd w:val="0"/>
        <w:rPr>
          <w:b/>
          <w:bCs/>
          <w:sz w:val="24"/>
          <w:szCs w:val="24"/>
        </w:rPr>
      </w:pPr>
      <w:r w:rsidRPr="00785601">
        <w:rPr>
          <w:b/>
          <w:bCs/>
          <w:sz w:val="24"/>
          <w:szCs w:val="24"/>
        </w:rPr>
        <w:t>Business Systems Development</w:t>
      </w:r>
    </w:p>
    <w:p w14:paraId="3D2B9A5C" w14:textId="77777777" w:rsidR="00E95729" w:rsidRPr="00785601" w:rsidRDefault="00E95729" w:rsidP="000A2AFA">
      <w:pPr>
        <w:autoSpaceDE w:val="0"/>
        <w:autoSpaceDN w:val="0"/>
        <w:adjustRightInd w:val="0"/>
        <w:rPr>
          <w:sz w:val="24"/>
          <w:szCs w:val="24"/>
        </w:rPr>
      </w:pPr>
      <w:r w:rsidRPr="00785601">
        <w:rPr>
          <w:sz w:val="24"/>
          <w:szCs w:val="24"/>
        </w:rPr>
        <w:t>This reserve has been set aside for iTrent and Agresso software development. This will be needed to update both systems to improve electronic workflows, thus reducing on the manual input required.</w:t>
      </w:r>
    </w:p>
    <w:p w14:paraId="4CCD9DF4" w14:textId="77777777" w:rsidR="00E95729" w:rsidRPr="00785601" w:rsidRDefault="00E95729" w:rsidP="000A2AFA">
      <w:pPr>
        <w:autoSpaceDE w:val="0"/>
        <w:autoSpaceDN w:val="0"/>
        <w:adjustRightInd w:val="0"/>
        <w:rPr>
          <w:sz w:val="24"/>
          <w:szCs w:val="24"/>
        </w:rPr>
      </w:pPr>
    </w:p>
    <w:p w14:paraId="07316E04" w14:textId="77777777" w:rsidR="007F61F0" w:rsidRPr="00785601" w:rsidRDefault="007F61F0" w:rsidP="007F61F0">
      <w:pPr>
        <w:autoSpaceDE w:val="0"/>
        <w:autoSpaceDN w:val="0"/>
        <w:adjustRightInd w:val="0"/>
        <w:rPr>
          <w:sz w:val="24"/>
          <w:szCs w:val="24"/>
        </w:rPr>
      </w:pPr>
      <w:r w:rsidRPr="00785601">
        <w:rPr>
          <w:b/>
          <w:sz w:val="24"/>
          <w:szCs w:val="24"/>
        </w:rPr>
        <w:t>Tri Service Control</w:t>
      </w:r>
      <w:r w:rsidRPr="00785601">
        <w:rPr>
          <w:sz w:val="24"/>
          <w:szCs w:val="24"/>
        </w:rPr>
        <w:t xml:space="preserve"> </w:t>
      </w:r>
      <w:r w:rsidR="00A977C3" w:rsidRPr="00785601">
        <w:rPr>
          <w:b/>
          <w:bCs/>
          <w:sz w:val="24"/>
          <w:szCs w:val="24"/>
        </w:rPr>
        <w:t>/ Regional Mobilising System</w:t>
      </w:r>
    </w:p>
    <w:p w14:paraId="0E5630CD" w14:textId="77777777" w:rsidR="007F61F0" w:rsidRPr="00785601" w:rsidRDefault="007F61F0" w:rsidP="007F61F0">
      <w:pPr>
        <w:autoSpaceDE w:val="0"/>
        <w:autoSpaceDN w:val="0"/>
        <w:adjustRightInd w:val="0"/>
        <w:rPr>
          <w:sz w:val="24"/>
          <w:szCs w:val="24"/>
        </w:rPr>
      </w:pPr>
      <w:r w:rsidRPr="00785601">
        <w:rPr>
          <w:sz w:val="24"/>
          <w:szCs w:val="24"/>
        </w:rPr>
        <w:t>This is funding</w:t>
      </w:r>
      <w:r w:rsidR="00412EC2" w:rsidRPr="00785601">
        <w:rPr>
          <w:sz w:val="24"/>
          <w:szCs w:val="24"/>
        </w:rPr>
        <w:t xml:space="preserve"> </w:t>
      </w:r>
      <w:r w:rsidR="00AC5C46" w:rsidRPr="00785601">
        <w:rPr>
          <w:sz w:val="24"/>
          <w:szCs w:val="24"/>
        </w:rPr>
        <w:t xml:space="preserve">that was </w:t>
      </w:r>
      <w:r w:rsidRPr="00785601">
        <w:rPr>
          <w:sz w:val="24"/>
          <w:szCs w:val="24"/>
        </w:rPr>
        <w:t>set aside to make continuing improvements to the control software installed as part of a joint project with Derbyshire and Leicestershire Fire Authorities.</w:t>
      </w:r>
      <w:r w:rsidR="00A977C3" w:rsidRPr="00785601">
        <w:rPr>
          <w:sz w:val="24"/>
          <w:szCs w:val="24"/>
        </w:rPr>
        <w:t xml:space="preserve">  With the contract now coming up for renewal, </w:t>
      </w:r>
      <w:r w:rsidR="00412EC2" w:rsidRPr="00785601">
        <w:rPr>
          <w:sz w:val="24"/>
          <w:szCs w:val="24"/>
        </w:rPr>
        <w:t xml:space="preserve">and Leicestershire Fire Authority’s withdrawal from the project, the </w:t>
      </w:r>
      <w:r w:rsidR="008A0B23" w:rsidRPr="00785601">
        <w:rPr>
          <w:sz w:val="24"/>
          <w:szCs w:val="24"/>
        </w:rPr>
        <w:t>improvements to</w:t>
      </w:r>
      <w:r w:rsidR="00AC5C46" w:rsidRPr="00785601">
        <w:rPr>
          <w:sz w:val="24"/>
          <w:szCs w:val="24"/>
        </w:rPr>
        <w:t xml:space="preserve"> the original system </w:t>
      </w:r>
      <w:r w:rsidR="00412EC2" w:rsidRPr="00785601">
        <w:rPr>
          <w:sz w:val="24"/>
          <w:szCs w:val="24"/>
        </w:rPr>
        <w:t>will not</w:t>
      </w:r>
      <w:r w:rsidR="00A977C3" w:rsidRPr="00785601">
        <w:rPr>
          <w:sz w:val="24"/>
          <w:szCs w:val="24"/>
        </w:rPr>
        <w:t xml:space="preserve"> take place and the funding will be used towards the </w:t>
      </w:r>
      <w:r w:rsidR="00AC5C46" w:rsidRPr="00785601">
        <w:rPr>
          <w:sz w:val="24"/>
          <w:szCs w:val="24"/>
        </w:rPr>
        <w:t>implementation costs of a new system</w:t>
      </w:r>
      <w:r w:rsidR="00A977C3" w:rsidRPr="00785601">
        <w:rPr>
          <w:sz w:val="24"/>
          <w:szCs w:val="24"/>
        </w:rPr>
        <w:t xml:space="preserve">. </w:t>
      </w:r>
      <w:r w:rsidR="00412EC2" w:rsidRPr="00785601">
        <w:rPr>
          <w:sz w:val="24"/>
          <w:szCs w:val="24"/>
        </w:rPr>
        <w:t>Underspends from other reserves will be used to top up this reserve to £1</w:t>
      </w:r>
      <w:r w:rsidR="008A0B23" w:rsidRPr="00785601">
        <w:rPr>
          <w:sz w:val="24"/>
          <w:szCs w:val="24"/>
        </w:rPr>
        <w:t>.</w:t>
      </w:r>
      <w:r w:rsidR="00412EC2" w:rsidRPr="00785601">
        <w:rPr>
          <w:sz w:val="24"/>
          <w:szCs w:val="24"/>
        </w:rPr>
        <w:t>09</w:t>
      </w:r>
      <w:r w:rsidR="00AC5C46" w:rsidRPr="00785601">
        <w:rPr>
          <w:sz w:val="24"/>
          <w:szCs w:val="24"/>
        </w:rPr>
        <w:t>4</w:t>
      </w:r>
      <w:r w:rsidR="008A0B23" w:rsidRPr="00785601">
        <w:rPr>
          <w:sz w:val="24"/>
          <w:szCs w:val="24"/>
        </w:rPr>
        <w:t>m</w:t>
      </w:r>
    </w:p>
    <w:p w14:paraId="1B9AD56F" w14:textId="77777777" w:rsidR="007F61F0" w:rsidRPr="00785601" w:rsidRDefault="007F61F0" w:rsidP="00922359">
      <w:pPr>
        <w:autoSpaceDE w:val="0"/>
        <w:autoSpaceDN w:val="0"/>
        <w:adjustRightInd w:val="0"/>
        <w:rPr>
          <w:sz w:val="24"/>
          <w:szCs w:val="24"/>
        </w:rPr>
      </w:pPr>
    </w:p>
    <w:p w14:paraId="1DFAB634" w14:textId="77777777" w:rsidR="006B29F3" w:rsidRPr="00785601" w:rsidRDefault="00AD596B" w:rsidP="00922359">
      <w:pPr>
        <w:autoSpaceDE w:val="0"/>
        <w:autoSpaceDN w:val="0"/>
        <w:adjustRightInd w:val="0"/>
        <w:rPr>
          <w:sz w:val="24"/>
          <w:szCs w:val="24"/>
        </w:rPr>
      </w:pPr>
      <w:r>
        <w:rPr>
          <w:b/>
          <w:bCs/>
          <w:sz w:val="24"/>
          <w:szCs w:val="24"/>
        </w:rPr>
        <w:br w:type="page"/>
      </w:r>
      <w:r w:rsidR="006B29F3" w:rsidRPr="00785601">
        <w:rPr>
          <w:b/>
          <w:bCs/>
          <w:sz w:val="24"/>
          <w:szCs w:val="24"/>
        </w:rPr>
        <w:lastRenderedPageBreak/>
        <w:t>Mobile Data Terminals</w:t>
      </w:r>
    </w:p>
    <w:p w14:paraId="362CA92E" w14:textId="77777777" w:rsidR="006B29F3" w:rsidRPr="00785601" w:rsidRDefault="006B29F3" w:rsidP="00922359">
      <w:pPr>
        <w:autoSpaceDE w:val="0"/>
        <w:autoSpaceDN w:val="0"/>
        <w:adjustRightInd w:val="0"/>
        <w:rPr>
          <w:sz w:val="24"/>
          <w:szCs w:val="24"/>
        </w:rPr>
      </w:pPr>
      <w:r w:rsidRPr="00785601">
        <w:rPr>
          <w:sz w:val="24"/>
          <w:szCs w:val="24"/>
        </w:rPr>
        <w:t xml:space="preserve">This reserve was created to help address the MDT issues raised in the first inspection report.  The funding is expected to be needed to fund capital expenditure in </w:t>
      </w:r>
      <w:r w:rsidR="004B6C98" w:rsidRPr="00785601">
        <w:rPr>
          <w:sz w:val="24"/>
          <w:szCs w:val="24"/>
        </w:rPr>
        <w:t>2024/25</w:t>
      </w:r>
      <w:r w:rsidRPr="00785601">
        <w:rPr>
          <w:sz w:val="24"/>
          <w:szCs w:val="24"/>
        </w:rPr>
        <w:t xml:space="preserve">.  </w:t>
      </w:r>
    </w:p>
    <w:p w14:paraId="6A631DB4" w14:textId="77777777" w:rsidR="006B29F3" w:rsidRPr="00785601" w:rsidRDefault="006B29F3" w:rsidP="00922359">
      <w:pPr>
        <w:autoSpaceDE w:val="0"/>
        <w:autoSpaceDN w:val="0"/>
        <w:adjustRightInd w:val="0"/>
        <w:rPr>
          <w:sz w:val="24"/>
          <w:szCs w:val="24"/>
        </w:rPr>
      </w:pPr>
    </w:p>
    <w:p w14:paraId="777773FB" w14:textId="77777777" w:rsidR="006B29F3" w:rsidRPr="00785601" w:rsidRDefault="006B29F3" w:rsidP="00922359">
      <w:pPr>
        <w:autoSpaceDE w:val="0"/>
        <w:autoSpaceDN w:val="0"/>
        <w:adjustRightInd w:val="0"/>
        <w:rPr>
          <w:sz w:val="24"/>
          <w:szCs w:val="24"/>
        </w:rPr>
      </w:pPr>
      <w:r w:rsidRPr="00785601">
        <w:rPr>
          <w:b/>
          <w:bCs/>
          <w:sz w:val="24"/>
          <w:szCs w:val="24"/>
        </w:rPr>
        <w:t>Fire Cover Review</w:t>
      </w:r>
    </w:p>
    <w:p w14:paraId="3CA94C1C" w14:textId="77777777" w:rsidR="006B29F3" w:rsidRPr="00785601" w:rsidRDefault="006B29F3" w:rsidP="00922359">
      <w:pPr>
        <w:autoSpaceDE w:val="0"/>
        <w:autoSpaceDN w:val="0"/>
        <w:adjustRightInd w:val="0"/>
        <w:rPr>
          <w:sz w:val="24"/>
          <w:szCs w:val="24"/>
        </w:rPr>
      </w:pPr>
      <w:r w:rsidRPr="00785601">
        <w:rPr>
          <w:sz w:val="24"/>
          <w:szCs w:val="24"/>
        </w:rPr>
        <w:t xml:space="preserve">This reserve has been set aside to cover costs related to delivering the Futures 25 Efficiency </w:t>
      </w:r>
      <w:r w:rsidR="00D37D7C" w:rsidRPr="00785601">
        <w:rPr>
          <w:sz w:val="24"/>
          <w:szCs w:val="24"/>
        </w:rPr>
        <w:t xml:space="preserve">Strategy in </w:t>
      </w:r>
      <w:r w:rsidR="004B6C98" w:rsidRPr="00785601">
        <w:rPr>
          <w:sz w:val="24"/>
          <w:szCs w:val="24"/>
        </w:rPr>
        <w:t>2024/25</w:t>
      </w:r>
      <w:r w:rsidR="00ED6A55" w:rsidRPr="00785601">
        <w:rPr>
          <w:sz w:val="24"/>
          <w:szCs w:val="24"/>
        </w:rPr>
        <w:t xml:space="preserve"> and is proposed to be relocated to the Efficiency Programme reserve.</w:t>
      </w:r>
    </w:p>
    <w:p w14:paraId="45D9A59D" w14:textId="77777777" w:rsidR="00EE3A27" w:rsidRPr="00785601" w:rsidRDefault="00EE3A27" w:rsidP="00922359">
      <w:pPr>
        <w:autoSpaceDE w:val="0"/>
        <w:autoSpaceDN w:val="0"/>
        <w:adjustRightInd w:val="0"/>
        <w:rPr>
          <w:sz w:val="24"/>
          <w:szCs w:val="24"/>
        </w:rPr>
      </w:pPr>
    </w:p>
    <w:p w14:paraId="49B350E6" w14:textId="77777777" w:rsidR="00EE3A27" w:rsidRPr="00785601" w:rsidRDefault="00EE3A27" w:rsidP="00922359">
      <w:pPr>
        <w:autoSpaceDE w:val="0"/>
        <w:autoSpaceDN w:val="0"/>
        <w:adjustRightInd w:val="0"/>
        <w:rPr>
          <w:sz w:val="24"/>
          <w:szCs w:val="24"/>
        </w:rPr>
      </w:pPr>
      <w:r w:rsidRPr="00785601">
        <w:rPr>
          <w:b/>
          <w:sz w:val="24"/>
          <w:szCs w:val="24"/>
        </w:rPr>
        <w:t>T</w:t>
      </w:r>
      <w:r w:rsidR="008E1735" w:rsidRPr="00785601">
        <w:rPr>
          <w:b/>
          <w:sz w:val="24"/>
          <w:szCs w:val="24"/>
        </w:rPr>
        <w:t>ransformation and Collaboration Reserve</w:t>
      </w:r>
      <w:r w:rsidR="008E1735" w:rsidRPr="00785601">
        <w:rPr>
          <w:sz w:val="24"/>
          <w:szCs w:val="24"/>
        </w:rPr>
        <w:t xml:space="preserve"> </w:t>
      </w:r>
    </w:p>
    <w:p w14:paraId="7F3371B9" w14:textId="77777777" w:rsidR="008E1735" w:rsidRPr="00785601" w:rsidRDefault="008E1735" w:rsidP="00922359">
      <w:pPr>
        <w:autoSpaceDE w:val="0"/>
        <w:autoSpaceDN w:val="0"/>
        <w:adjustRightInd w:val="0"/>
        <w:rPr>
          <w:sz w:val="24"/>
          <w:szCs w:val="24"/>
        </w:rPr>
      </w:pPr>
      <w:r w:rsidRPr="00785601">
        <w:rPr>
          <w:sz w:val="24"/>
          <w:szCs w:val="24"/>
        </w:rPr>
        <w:t xml:space="preserve">This </w:t>
      </w:r>
      <w:r w:rsidR="00EE3A27" w:rsidRPr="00785601">
        <w:rPr>
          <w:sz w:val="24"/>
          <w:szCs w:val="24"/>
        </w:rPr>
        <w:t>was</w:t>
      </w:r>
      <w:r w:rsidRPr="00785601">
        <w:rPr>
          <w:sz w:val="24"/>
          <w:szCs w:val="24"/>
        </w:rPr>
        <w:t xml:space="preserve"> a reserve created to support</w:t>
      </w:r>
      <w:r w:rsidR="00EE3A27" w:rsidRPr="00785601">
        <w:rPr>
          <w:sz w:val="24"/>
          <w:szCs w:val="24"/>
        </w:rPr>
        <w:t xml:space="preserve"> transformation via</w:t>
      </w:r>
      <w:r w:rsidRPr="00785601">
        <w:rPr>
          <w:sz w:val="24"/>
          <w:szCs w:val="24"/>
        </w:rPr>
        <w:t xml:space="preserve"> the C</w:t>
      </w:r>
      <w:r w:rsidR="00EE3A27" w:rsidRPr="00785601">
        <w:rPr>
          <w:sz w:val="24"/>
          <w:szCs w:val="24"/>
        </w:rPr>
        <w:t>ommunity Risk Management Plan</w:t>
      </w:r>
      <w:r w:rsidRPr="00785601">
        <w:rPr>
          <w:sz w:val="24"/>
          <w:szCs w:val="24"/>
        </w:rPr>
        <w:t>.</w:t>
      </w:r>
      <w:r w:rsidR="00EE3A27" w:rsidRPr="00785601">
        <w:rPr>
          <w:sz w:val="24"/>
          <w:szCs w:val="24"/>
        </w:rPr>
        <w:t xml:space="preserve"> The</w:t>
      </w:r>
      <w:r w:rsidR="00122D3F" w:rsidRPr="00785601">
        <w:rPr>
          <w:sz w:val="24"/>
          <w:szCs w:val="24"/>
        </w:rPr>
        <w:t>re have been underspends on the projects which can now be re</w:t>
      </w:r>
      <w:r w:rsidR="00AC5C46" w:rsidRPr="00785601">
        <w:rPr>
          <w:sz w:val="24"/>
          <w:szCs w:val="24"/>
        </w:rPr>
        <w:t>-</w:t>
      </w:r>
      <w:r w:rsidR="00122D3F" w:rsidRPr="00785601">
        <w:rPr>
          <w:sz w:val="24"/>
          <w:szCs w:val="24"/>
        </w:rPr>
        <w:t xml:space="preserve">allocated.  </w:t>
      </w:r>
      <w:r w:rsidR="00EE3A27" w:rsidRPr="00785601">
        <w:rPr>
          <w:sz w:val="24"/>
          <w:szCs w:val="24"/>
        </w:rPr>
        <w:t xml:space="preserve"> </w:t>
      </w:r>
    </w:p>
    <w:p w14:paraId="739ED52B" w14:textId="77777777" w:rsidR="00D37D7C" w:rsidRPr="00785601" w:rsidRDefault="00D37D7C" w:rsidP="00922359">
      <w:pPr>
        <w:autoSpaceDE w:val="0"/>
        <w:autoSpaceDN w:val="0"/>
        <w:adjustRightInd w:val="0"/>
        <w:rPr>
          <w:sz w:val="24"/>
          <w:szCs w:val="24"/>
        </w:rPr>
      </w:pPr>
    </w:p>
    <w:p w14:paraId="2F64C257" w14:textId="77777777" w:rsidR="00D37D7C" w:rsidRPr="00785601" w:rsidRDefault="00D37D7C" w:rsidP="00922359">
      <w:pPr>
        <w:autoSpaceDE w:val="0"/>
        <w:autoSpaceDN w:val="0"/>
        <w:adjustRightInd w:val="0"/>
        <w:rPr>
          <w:sz w:val="24"/>
          <w:szCs w:val="24"/>
        </w:rPr>
      </w:pPr>
      <w:r w:rsidRPr="00785601">
        <w:rPr>
          <w:b/>
          <w:bCs/>
          <w:sz w:val="24"/>
          <w:szCs w:val="24"/>
        </w:rPr>
        <w:t>Head</w:t>
      </w:r>
      <w:r w:rsidR="00604D7F">
        <w:rPr>
          <w:b/>
          <w:bCs/>
          <w:sz w:val="24"/>
          <w:szCs w:val="24"/>
        </w:rPr>
        <w:t>q</w:t>
      </w:r>
      <w:r w:rsidRPr="00785601">
        <w:rPr>
          <w:b/>
          <w:bCs/>
          <w:sz w:val="24"/>
          <w:szCs w:val="24"/>
        </w:rPr>
        <w:t>uarter Move</w:t>
      </w:r>
    </w:p>
    <w:p w14:paraId="478056DA" w14:textId="77777777" w:rsidR="00D37D7C" w:rsidRPr="00785601" w:rsidRDefault="00D37D7C" w:rsidP="00922359">
      <w:pPr>
        <w:autoSpaceDE w:val="0"/>
        <w:autoSpaceDN w:val="0"/>
        <w:adjustRightInd w:val="0"/>
        <w:rPr>
          <w:sz w:val="24"/>
          <w:szCs w:val="24"/>
        </w:rPr>
      </w:pPr>
      <w:r w:rsidRPr="00785601">
        <w:rPr>
          <w:sz w:val="24"/>
          <w:szCs w:val="24"/>
        </w:rPr>
        <w:t xml:space="preserve">This reserve was set aside to cover unforeseen costs relating to the HQ move.  </w:t>
      </w:r>
      <w:r w:rsidR="00ED6A55" w:rsidRPr="00785601">
        <w:rPr>
          <w:sz w:val="24"/>
          <w:szCs w:val="24"/>
        </w:rPr>
        <w:t xml:space="preserve">The underspends </w:t>
      </w:r>
      <w:r w:rsidR="00AC5C46" w:rsidRPr="00785601">
        <w:rPr>
          <w:sz w:val="24"/>
          <w:szCs w:val="24"/>
        </w:rPr>
        <w:t>on</w:t>
      </w:r>
      <w:r w:rsidR="00ED6A55" w:rsidRPr="00785601">
        <w:rPr>
          <w:sz w:val="24"/>
          <w:szCs w:val="24"/>
        </w:rPr>
        <w:t xml:space="preserve"> this reserve are</w:t>
      </w:r>
      <w:r w:rsidRPr="00785601">
        <w:rPr>
          <w:sz w:val="24"/>
          <w:szCs w:val="24"/>
        </w:rPr>
        <w:t xml:space="preserve"> available for re-allocation at year end.</w:t>
      </w:r>
    </w:p>
    <w:p w14:paraId="2190BB78" w14:textId="77777777" w:rsidR="00D37D7C" w:rsidRPr="00785601" w:rsidRDefault="00D37D7C" w:rsidP="00922359">
      <w:pPr>
        <w:autoSpaceDE w:val="0"/>
        <w:autoSpaceDN w:val="0"/>
        <w:adjustRightInd w:val="0"/>
        <w:rPr>
          <w:sz w:val="24"/>
          <w:szCs w:val="24"/>
        </w:rPr>
      </w:pPr>
    </w:p>
    <w:p w14:paraId="4874AF01" w14:textId="77777777" w:rsidR="00D37D7C" w:rsidRPr="00785601" w:rsidRDefault="00D37D7C" w:rsidP="00922359">
      <w:pPr>
        <w:autoSpaceDE w:val="0"/>
        <w:autoSpaceDN w:val="0"/>
        <w:adjustRightInd w:val="0"/>
        <w:rPr>
          <w:b/>
          <w:bCs/>
          <w:sz w:val="24"/>
          <w:szCs w:val="24"/>
        </w:rPr>
      </w:pPr>
      <w:r w:rsidRPr="00785601">
        <w:rPr>
          <w:b/>
          <w:bCs/>
          <w:sz w:val="24"/>
          <w:szCs w:val="24"/>
        </w:rPr>
        <w:t>Covid-19 2019/20 unused grant</w:t>
      </w:r>
    </w:p>
    <w:p w14:paraId="3F6A8CFC" w14:textId="77777777" w:rsidR="00D37D7C" w:rsidRPr="00785601" w:rsidRDefault="00D37D7C" w:rsidP="00922359">
      <w:pPr>
        <w:autoSpaceDE w:val="0"/>
        <w:autoSpaceDN w:val="0"/>
        <w:adjustRightInd w:val="0"/>
        <w:rPr>
          <w:sz w:val="24"/>
          <w:szCs w:val="24"/>
        </w:rPr>
      </w:pPr>
      <w:r w:rsidRPr="00785601">
        <w:rPr>
          <w:sz w:val="24"/>
          <w:szCs w:val="24"/>
        </w:rPr>
        <w:t xml:space="preserve">There is a small element of covid grant left which related to ongoing employee costs used to catch up on the backlog of work following the various lockdowns.  </w:t>
      </w:r>
      <w:r w:rsidR="00ED6A55" w:rsidRPr="00785601">
        <w:rPr>
          <w:sz w:val="24"/>
          <w:szCs w:val="24"/>
        </w:rPr>
        <w:t xml:space="preserve">The underspends on this project are now available for </w:t>
      </w:r>
      <w:r w:rsidR="00412EC2" w:rsidRPr="00785601">
        <w:rPr>
          <w:sz w:val="24"/>
          <w:szCs w:val="24"/>
        </w:rPr>
        <w:t>re-allocation</w:t>
      </w:r>
      <w:r w:rsidRPr="00785601">
        <w:rPr>
          <w:sz w:val="24"/>
          <w:szCs w:val="24"/>
        </w:rPr>
        <w:t>.</w:t>
      </w:r>
    </w:p>
    <w:p w14:paraId="75AF6E4B" w14:textId="77777777" w:rsidR="00D37D7C" w:rsidRPr="00785601" w:rsidRDefault="00D37D7C" w:rsidP="00922359">
      <w:pPr>
        <w:autoSpaceDE w:val="0"/>
        <w:autoSpaceDN w:val="0"/>
        <w:adjustRightInd w:val="0"/>
        <w:rPr>
          <w:sz w:val="24"/>
          <w:szCs w:val="24"/>
        </w:rPr>
      </w:pPr>
    </w:p>
    <w:p w14:paraId="66272FC6" w14:textId="77777777" w:rsidR="00D37D7C" w:rsidRPr="00785601" w:rsidRDefault="00D37D7C" w:rsidP="00922359">
      <w:pPr>
        <w:autoSpaceDE w:val="0"/>
        <w:autoSpaceDN w:val="0"/>
        <w:adjustRightInd w:val="0"/>
        <w:rPr>
          <w:sz w:val="24"/>
          <w:szCs w:val="24"/>
        </w:rPr>
      </w:pPr>
      <w:r w:rsidRPr="00785601">
        <w:rPr>
          <w:b/>
          <w:bCs/>
          <w:sz w:val="24"/>
          <w:szCs w:val="24"/>
        </w:rPr>
        <w:t>Redmond Review Grant</w:t>
      </w:r>
      <w:r w:rsidRPr="00785601">
        <w:rPr>
          <w:sz w:val="24"/>
          <w:szCs w:val="24"/>
        </w:rPr>
        <w:t xml:space="preserve"> </w:t>
      </w:r>
    </w:p>
    <w:p w14:paraId="0860BAF1" w14:textId="77777777" w:rsidR="008E1735" w:rsidRPr="00785601" w:rsidRDefault="00D37D7C" w:rsidP="00922359">
      <w:pPr>
        <w:autoSpaceDE w:val="0"/>
        <w:autoSpaceDN w:val="0"/>
        <w:adjustRightInd w:val="0"/>
        <w:rPr>
          <w:sz w:val="24"/>
          <w:szCs w:val="24"/>
        </w:rPr>
      </w:pPr>
      <w:r w:rsidRPr="00785601">
        <w:rPr>
          <w:sz w:val="24"/>
          <w:szCs w:val="24"/>
        </w:rPr>
        <w:t>This was new burdens grant received to help mitigate the increasing costs of external audit</w:t>
      </w:r>
      <w:r w:rsidR="00AC5C46" w:rsidRPr="00785601">
        <w:rPr>
          <w:sz w:val="24"/>
          <w:szCs w:val="24"/>
        </w:rPr>
        <w:t xml:space="preserve"> which is on-going.</w:t>
      </w:r>
    </w:p>
    <w:p w14:paraId="01F05445" w14:textId="77777777" w:rsidR="00D37D7C" w:rsidRPr="00785601" w:rsidRDefault="00D37D7C" w:rsidP="00922359">
      <w:pPr>
        <w:autoSpaceDE w:val="0"/>
        <w:autoSpaceDN w:val="0"/>
        <w:adjustRightInd w:val="0"/>
        <w:rPr>
          <w:sz w:val="24"/>
          <w:szCs w:val="24"/>
        </w:rPr>
      </w:pPr>
    </w:p>
    <w:p w14:paraId="7BDD8EB0" w14:textId="77777777" w:rsidR="00D37D7C" w:rsidRPr="00785601" w:rsidRDefault="00D37D7C" w:rsidP="00922359">
      <w:pPr>
        <w:autoSpaceDE w:val="0"/>
        <w:autoSpaceDN w:val="0"/>
        <w:adjustRightInd w:val="0"/>
        <w:rPr>
          <w:sz w:val="24"/>
          <w:szCs w:val="24"/>
        </w:rPr>
      </w:pPr>
      <w:r w:rsidRPr="00785601">
        <w:rPr>
          <w:b/>
          <w:bCs/>
          <w:sz w:val="24"/>
          <w:szCs w:val="24"/>
        </w:rPr>
        <w:t>Budget Pressures Support</w:t>
      </w:r>
    </w:p>
    <w:p w14:paraId="7DB7FBE8" w14:textId="77777777" w:rsidR="00D37D7C" w:rsidRPr="00785601" w:rsidRDefault="00D37D7C" w:rsidP="00922359">
      <w:pPr>
        <w:autoSpaceDE w:val="0"/>
        <w:autoSpaceDN w:val="0"/>
        <w:adjustRightInd w:val="0"/>
        <w:rPr>
          <w:sz w:val="24"/>
          <w:szCs w:val="24"/>
        </w:rPr>
      </w:pPr>
      <w:r w:rsidRPr="00785601">
        <w:rPr>
          <w:sz w:val="24"/>
          <w:szCs w:val="24"/>
        </w:rPr>
        <w:t xml:space="preserve">This reserve was created to protect the service from significant budget deficits </w:t>
      </w:r>
      <w:r w:rsidR="00412EC2" w:rsidRPr="00785601">
        <w:rPr>
          <w:sz w:val="24"/>
          <w:szCs w:val="24"/>
        </w:rPr>
        <w:t>from</w:t>
      </w:r>
      <w:r w:rsidRPr="00785601">
        <w:rPr>
          <w:sz w:val="24"/>
          <w:szCs w:val="24"/>
        </w:rPr>
        <w:t xml:space="preserve"> </w:t>
      </w:r>
      <w:r w:rsidR="004B6C98" w:rsidRPr="00785601">
        <w:rPr>
          <w:sz w:val="24"/>
          <w:szCs w:val="24"/>
        </w:rPr>
        <w:t>2024/25</w:t>
      </w:r>
      <w:r w:rsidR="00412EC2" w:rsidRPr="00785601">
        <w:rPr>
          <w:sz w:val="24"/>
          <w:szCs w:val="24"/>
        </w:rPr>
        <w:t xml:space="preserve"> onwards, </w:t>
      </w:r>
      <w:r w:rsidRPr="00785601">
        <w:rPr>
          <w:sz w:val="24"/>
          <w:szCs w:val="24"/>
        </w:rPr>
        <w:t xml:space="preserve">due to funding not being expected to match pay and inflation increases in costs. </w:t>
      </w:r>
    </w:p>
    <w:p w14:paraId="164801DF" w14:textId="77777777" w:rsidR="00D37D7C" w:rsidRPr="00785601" w:rsidRDefault="00D37D7C" w:rsidP="00922359">
      <w:pPr>
        <w:autoSpaceDE w:val="0"/>
        <w:autoSpaceDN w:val="0"/>
        <w:adjustRightInd w:val="0"/>
        <w:rPr>
          <w:sz w:val="24"/>
          <w:szCs w:val="24"/>
        </w:rPr>
      </w:pPr>
    </w:p>
    <w:p w14:paraId="637C94F6" w14:textId="77777777" w:rsidR="00D37D7C" w:rsidRPr="00785601" w:rsidRDefault="00D37D7C" w:rsidP="00922359">
      <w:pPr>
        <w:autoSpaceDE w:val="0"/>
        <w:autoSpaceDN w:val="0"/>
        <w:adjustRightInd w:val="0"/>
        <w:rPr>
          <w:sz w:val="24"/>
          <w:szCs w:val="24"/>
        </w:rPr>
      </w:pPr>
      <w:r w:rsidRPr="00785601">
        <w:rPr>
          <w:b/>
          <w:bCs/>
          <w:sz w:val="24"/>
          <w:szCs w:val="24"/>
        </w:rPr>
        <w:t>Efficiency Programme</w:t>
      </w:r>
    </w:p>
    <w:p w14:paraId="3D6B901D" w14:textId="77777777" w:rsidR="00AC5C46" w:rsidRPr="00785601" w:rsidRDefault="00D37D7C" w:rsidP="00AC5C46">
      <w:pPr>
        <w:autoSpaceDE w:val="0"/>
        <w:autoSpaceDN w:val="0"/>
        <w:adjustRightInd w:val="0"/>
        <w:rPr>
          <w:sz w:val="24"/>
          <w:szCs w:val="24"/>
        </w:rPr>
      </w:pPr>
      <w:r w:rsidRPr="00785601">
        <w:rPr>
          <w:sz w:val="24"/>
          <w:szCs w:val="24"/>
        </w:rPr>
        <w:t>This reserve has been created to fund work required to deliver the Futures 25 Efficiency programme</w:t>
      </w:r>
      <w:r w:rsidR="00C833B0" w:rsidRPr="00785601">
        <w:rPr>
          <w:sz w:val="24"/>
          <w:szCs w:val="24"/>
        </w:rPr>
        <w:t>.</w:t>
      </w:r>
      <w:r w:rsidR="00AC5C46" w:rsidRPr="00785601">
        <w:rPr>
          <w:sz w:val="24"/>
          <w:szCs w:val="24"/>
        </w:rPr>
        <w:t xml:space="preserve"> Underspends from other reserves will be used to top up this reserve to £</w:t>
      </w:r>
      <w:r w:rsidR="008A0B23" w:rsidRPr="00785601">
        <w:rPr>
          <w:sz w:val="24"/>
          <w:szCs w:val="24"/>
        </w:rPr>
        <w:t>910</w:t>
      </w:r>
      <w:r w:rsidR="00AC5C46" w:rsidRPr="00785601">
        <w:rPr>
          <w:sz w:val="24"/>
          <w:szCs w:val="24"/>
        </w:rPr>
        <w:t>k.</w:t>
      </w:r>
    </w:p>
    <w:p w14:paraId="62846DD8" w14:textId="77777777" w:rsidR="00973760" w:rsidRDefault="00973760" w:rsidP="00E05E60">
      <w:pPr>
        <w:autoSpaceDE w:val="0"/>
        <w:autoSpaceDN w:val="0"/>
        <w:adjustRightInd w:val="0"/>
      </w:pPr>
    </w:p>
    <w:p w14:paraId="0D76D1FC" w14:textId="77777777" w:rsidR="00DB08E0" w:rsidRPr="00DB08E0" w:rsidRDefault="00DB08E0" w:rsidP="00DB08E0">
      <w:pPr>
        <w:spacing w:after="160" w:line="259" w:lineRule="auto"/>
        <w:rPr>
          <w:b/>
          <w:sz w:val="24"/>
          <w:szCs w:val="24"/>
        </w:rPr>
      </w:pPr>
    </w:p>
    <w:sectPr w:rsidR="00DB08E0" w:rsidRPr="00DB08E0" w:rsidSect="00E3312E">
      <w:pgSz w:w="11906" w:h="16838"/>
      <w:pgMar w:top="1418" w:right="153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DC04" w14:textId="77777777" w:rsidR="00E3312E" w:rsidRDefault="00E3312E">
      <w:r>
        <w:separator/>
      </w:r>
    </w:p>
  </w:endnote>
  <w:endnote w:type="continuationSeparator" w:id="0">
    <w:p w14:paraId="7FBA9708" w14:textId="77777777" w:rsidR="00E3312E" w:rsidRDefault="00E33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wiss">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Bold">
    <w:panose1 w:val="00000000000000000000"/>
    <w:charset w:val="00"/>
    <w:family w:val="auto"/>
    <w:pitch w:val="variable"/>
    <w:sig w:usb0="E00002FF" w:usb1="52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2275" w14:textId="77777777" w:rsidR="00E3312E" w:rsidRDefault="00E3312E">
      <w:r>
        <w:separator/>
      </w:r>
    </w:p>
  </w:footnote>
  <w:footnote w:type="continuationSeparator" w:id="0">
    <w:p w14:paraId="4CA7A70C" w14:textId="77777777" w:rsidR="00E3312E" w:rsidRDefault="00E33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632E" w14:textId="77777777" w:rsidR="00780D79" w:rsidRDefault="00780D79" w:rsidP="00373A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D08"/>
    <w:multiLevelType w:val="hybridMultilevel"/>
    <w:tmpl w:val="D8BC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71ED4"/>
    <w:multiLevelType w:val="singleLevel"/>
    <w:tmpl w:val="560ED4C8"/>
    <w:lvl w:ilvl="0">
      <w:start w:val="1"/>
      <w:numFmt w:val="bullet"/>
      <w:pStyle w:val="TableColumnHeader"/>
      <w:lvlText w:val=""/>
      <w:lvlJc w:val="left"/>
      <w:pPr>
        <w:tabs>
          <w:tab w:val="num" w:pos="298"/>
        </w:tabs>
        <w:ind w:left="298" w:hanging="298"/>
      </w:pPr>
      <w:rPr>
        <w:rFonts w:ascii="Symbol" w:hAnsi="Symbol" w:hint="default"/>
      </w:rPr>
    </w:lvl>
  </w:abstractNum>
  <w:abstractNum w:abstractNumId="2" w15:restartNumberingAfterBreak="0">
    <w:nsid w:val="0B4E5CF8"/>
    <w:multiLevelType w:val="multilevel"/>
    <w:tmpl w:val="A358FE96"/>
    <w:lvl w:ilvl="0">
      <w:start w:val="1"/>
      <w:numFmt w:val="decimal"/>
      <w:pStyle w:val="ChapterHeading"/>
      <w:lvlText w:val="%1"/>
      <w:lvlJc w:val="left"/>
      <w:pPr>
        <w:ind w:left="360" w:hanging="360"/>
      </w:pPr>
      <w:rPr>
        <w:rFonts w:cs="Times New Roman" w:hint="default"/>
        <w:b/>
        <w:color w:val="auto"/>
      </w:rPr>
    </w:lvl>
    <w:lvl w:ilvl="1">
      <w:start w:val="1"/>
      <w:numFmt w:val="decimal"/>
      <w:pStyle w:val="Subheading"/>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0B821E4F"/>
    <w:multiLevelType w:val="multilevel"/>
    <w:tmpl w:val="DCEA86B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83135"/>
    <w:multiLevelType w:val="hybridMultilevel"/>
    <w:tmpl w:val="EA80D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87BAD"/>
    <w:multiLevelType w:val="hybridMultilevel"/>
    <w:tmpl w:val="0666D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B60594"/>
    <w:multiLevelType w:val="multilevel"/>
    <w:tmpl w:val="9BC666EA"/>
    <w:name w:val="PwCNumberListTemplate"/>
    <w:lvl w:ilvl="0">
      <w:start w:val="1"/>
      <w:numFmt w:val="decimal"/>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Address"/>
      <w:lvlText w:val="%3"/>
      <w:lvlJc w:val="left"/>
      <w:pPr>
        <w:tabs>
          <w:tab w:val="num" w:pos="1786"/>
        </w:tabs>
        <w:ind w:left="1786" w:hanging="595"/>
      </w:pPr>
    </w:lvl>
    <w:lvl w:ilvl="3">
      <w:start w:val="1"/>
      <w:numFmt w:val="decimal"/>
      <w:pStyle w:val="tab"/>
      <w:lvlText w:val="%4"/>
      <w:lvlJc w:val="left"/>
      <w:pPr>
        <w:tabs>
          <w:tab w:val="num" w:pos="2381"/>
        </w:tabs>
        <w:ind w:left="2381" w:hanging="595"/>
      </w:pPr>
    </w:lvl>
    <w:lvl w:ilvl="4">
      <w:start w:val="1"/>
      <w:numFmt w:val="decimal"/>
      <w:pStyle w:val="BodyText3"/>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7" w15:restartNumberingAfterBreak="0">
    <w:nsid w:val="16CC4B94"/>
    <w:multiLevelType w:val="hybridMultilevel"/>
    <w:tmpl w:val="41EA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952A2"/>
    <w:multiLevelType w:val="multilevel"/>
    <w:tmpl w:val="912CC526"/>
    <w:lvl w:ilvl="0">
      <w:start w:val="1"/>
      <w:numFmt w:val="lowerLetter"/>
      <w:lvlText w:val="%1)"/>
      <w:lvlJc w:val="left"/>
      <w:pPr>
        <w:tabs>
          <w:tab w:val="num" w:pos="1440"/>
        </w:tabs>
        <w:ind w:left="144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4434A4B"/>
    <w:multiLevelType w:val="multilevel"/>
    <w:tmpl w:val="28AA6C80"/>
    <w:lvl w:ilvl="0">
      <w:start w:val="1"/>
      <w:numFmt w:val="decimal"/>
      <w:lvlText w:val="%1."/>
      <w:lvlJc w:val="left"/>
      <w:pPr>
        <w:tabs>
          <w:tab w:val="num" w:pos="1440"/>
        </w:tabs>
        <w:ind w:left="1440" w:hanging="720"/>
      </w:pPr>
      <w:rPr>
        <w:rFonts w:hint="default"/>
      </w:rPr>
    </w:lvl>
    <w:lvl w:ilvl="1">
      <w:start w:val="1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7DF5122"/>
    <w:multiLevelType w:val="hybridMultilevel"/>
    <w:tmpl w:val="22F2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0C0137"/>
    <w:multiLevelType w:val="hybridMultilevel"/>
    <w:tmpl w:val="7D2A5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611AC"/>
    <w:multiLevelType w:val="multilevel"/>
    <w:tmpl w:val="1FF0BBE4"/>
    <w:lvl w:ilvl="0">
      <w:start w:val="10"/>
      <w:numFmt w:val="decimal"/>
      <w:pStyle w:val="Heading9"/>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EEF52B4"/>
    <w:multiLevelType w:val="multilevel"/>
    <w:tmpl w:val="540011A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E02231"/>
    <w:multiLevelType w:val="hybridMultilevel"/>
    <w:tmpl w:val="C51C77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30C36"/>
    <w:multiLevelType w:val="hybridMultilevel"/>
    <w:tmpl w:val="02EEC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A0FE9"/>
    <w:multiLevelType w:val="multilevel"/>
    <w:tmpl w:val="27BE0BD2"/>
    <w:lvl w:ilvl="0">
      <w:start w:val="2"/>
      <w:numFmt w:val="decimal"/>
      <w:pStyle w:val="ListBullet"/>
      <w:lvlText w:val="%1"/>
      <w:lvlJc w:val="left"/>
      <w:pPr>
        <w:ind w:left="360" w:hanging="360"/>
      </w:pPr>
      <w:rPr>
        <w:rFonts w:hint="default"/>
      </w:rPr>
    </w:lvl>
    <w:lvl w:ilvl="1">
      <w:start w:val="3"/>
      <w:numFmt w:val="decimal"/>
      <w:pStyle w:val="ListBullet2"/>
      <w:lvlText w:val="%1.%2"/>
      <w:lvlJc w:val="left"/>
      <w:pPr>
        <w:ind w:left="360" w:hanging="360"/>
      </w:pPr>
      <w:rPr>
        <w:rFonts w:hint="default"/>
      </w:rPr>
    </w:lvl>
    <w:lvl w:ilvl="2">
      <w:start w:val="1"/>
      <w:numFmt w:val="decimal"/>
      <w:pStyle w:val="ListNumber3"/>
      <w:lvlText w:val="%1.%2.%3"/>
      <w:lvlJc w:val="left"/>
      <w:pPr>
        <w:ind w:left="720" w:hanging="720"/>
      </w:pPr>
      <w:rPr>
        <w:rFonts w:hint="default"/>
      </w:rPr>
    </w:lvl>
    <w:lvl w:ilvl="3">
      <w:start w:val="1"/>
      <w:numFmt w:val="decimal"/>
      <w:pStyle w:val="ListNumber4"/>
      <w:lvlText w:val="%1.%2.%3.%4"/>
      <w:lvlJc w:val="left"/>
      <w:pPr>
        <w:ind w:left="1080" w:hanging="1080"/>
      </w:pPr>
      <w:rPr>
        <w:rFonts w:hint="default"/>
      </w:rPr>
    </w:lvl>
    <w:lvl w:ilvl="4">
      <w:start w:val="1"/>
      <w:numFmt w:val="decimal"/>
      <w:pStyle w:val="ListNumber5"/>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7D3BAF"/>
    <w:multiLevelType w:val="hybridMultilevel"/>
    <w:tmpl w:val="C17A1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558A4"/>
    <w:multiLevelType w:val="multilevel"/>
    <w:tmpl w:val="6C22DC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FB3674"/>
    <w:multiLevelType w:val="multilevel"/>
    <w:tmpl w:val="96B4F730"/>
    <w:lvl w:ilvl="0">
      <w:start w:val="1"/>
      <w:numFmt w:val="lowerLetter"/>
      <w:lvlText w:val="%1)"/>
      <w:lvlJc w:val="left"/>
      <w:pPr>
        <w:tabs>
          <w:tab w:val="num" w:pos="1440"/>
        </w:tabs>
        <w:ind w:left="1440"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64E73AD"/>
    <w:multiLevelType w:val="multilevel"/>
    <w:tmpl w:val="0BEEF91E"/>
    <w:lvl w:ilvl="0">
      <w:start w:val="6"/>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EE25DF"/>
    <w:multiLevelType w:val="hybridMultilevel"/>
    <w:tmpl w:val="32DC7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98C4083"/>
    <w:multiLevelType w:val="hybridMultilevel"/>
    <w:tmpl w:val="B4C8F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291730"/>
    <w:multiLevelType w:val="hybridMultilevel"/>
    <w:tmpl w:val="6F9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1545E"/>
    <w:multiLevelType w:val="multilevel"/>
    <w:tmpl w:val="A60CC3A8"/>
    <w:lvl w:ilvl="0">
      <w:start w:val="1"/>
      <w:numFmt w:val="decimal"/>
      <w:lvlText w:val="%1."/>
      <w:lvlJc w:val="left"/>
      <w:pPr>
        <w:tabs>
          <w:tab w:val="num" w:pos="1440"/>
        </w:tabs>
        <w:ind w:left="1440" w:hanging="72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94A391A"/>
    <w:multiLevelType w:val="multilevel"/>
    <w:tmpl w:val="A29225C8"/>
    <w:lvl w:ilvl="0">
      <w:start w:val="1"/>
      <w:numFmt w:val="decimal"/>
      <w:lvlText w:val="%1."/>
      <w:lvlJc w:val="left"/>
      <w:pPr>
        <w:tabs>
          <w:tab w:val="num" w:pos="1440"/>
        </w:tabs>
        <w:ind w:left="1440" w:hanging="72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9CC3A1B"/>
    <w:multiLevelType w:val="multilevel"/>
    <w:tmpl w:val="AC5A7EF8"/>
    <w:lvl w:ilvl="0">
      <w:start w:val="2"/>
      <w:numFmt w:val="decimal"/>
      <w:lvlText w:val="%1.10"/>
      <w:lvlJc w:val="left"/>
      <w:pPr>
        <w:ind w:left="360" w:hanging="360"/>
      </w:pPr>
      <w:rPr>
        <w:rFonts w:hint="default"/>
      </w:rPr>
    </w:lvl>
    <w:lvl w:ilvl="1">
      <w:start w:val="3"/>
      <w:numFmt w:val="none"/>
      <w:lvlText w:val="2.10"/>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pStyle w:val="ListNumber6"/>
      <w:lvlText w:val="%1.%2.%3.%4.%5.%6.%7"/>
      <w:lvlJc w:val="left"/>
      <w:pPr>
        <w:ind w:left="1440" w:hanging="1440"/>
      </w:pPr>
      <w:rPr>
        <w:rFonts w:hint="default"/>
      </w:rPr>
    </w:lvl>
    <w:lvl w:ilvl="7">
      <w:start w:val="1"/>
      <w:numFmt w:val="decimal"/>
      <w:pStyle w:val="ListNumber7"/>
      <w:lvlText w:val="%1.%2.%3.%4.%5.%6.%7.%8"/>
      <w:lvlJc w:val="left"/>
      <w:pPr>
        <w:ind w:left="1800" w:hanging="1800"/>
      </w:pPr>
      <w:rPr>
        <w:rFonts w:hint="default"/>
      </w:rPr>
    </w:lvl>
    <w:lvl w:ilvl="8">
      <w:start w:val="1"/>
      <w:numFmt w:val="decimal"/>
      <w:pStyle w:val="ListNumber8"/>
      <w:lvlText w:val="%1.%2.%3.%4.%5.%6.%7.%8.%9"/>
      <w:lvlJc w:val="left"/>
      <w:pPr>
        <w:ind w:left="1800" w:hanging="1800"/>
      </w:pPr>
      <w:rPr>
        <w:rFonts w:hint="default"/>
      </w:rPr>
    </w:lvl>
  </w:abstractNum>
  <w:abstractNum w:abstractNumId="27" w15:restartNumberingAfterBreak="0">
    <w:nsid w:val="5AFD57CD"/>
    <w:multiLevelType w:val="hybridMultilevel"/>
    <w:tmpl w:val="4F3AB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C050169"/>
    <w:multiLevelType w:val="hybridMultilevel"/>
    <w:tmpl w:val="B028A1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D972F48"/>
    <w:multiLevelType w:val="multilevel"/>
    <w:tmpl w:val="82B4D338"/>
    <w:lvl w:ilvl="0">
      <w:start w:val="1"/>
      <w:numFmt w:val="decimal"/>
      <w:lvlText w:val="%1."/>
      <w:lvlJc w:val="left"/>
      <w:pPr>
        <w:tabs>
          <w:tab w:val="num" w:pos="1440"/>
        </w:tabs>
        <w:ind w:left="1440" w:hanging="72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F811250"/>
    <w:multiLevelType w:val="multilevel"/>
    <w:tmpl w:val="837C9334"/>
    <w:lvl w:ilvl="0">
      <w:start w:val="1"/>
      <w:numFmt w:val="decimal"/>
      <w:pStyle w:val="Bullet"/>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C9591E"/>
    <w:multiLevelType w:val="multilevel"/>
    <w:tmpl w:val="3C26D4C0"/>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2052513"/>
    <w:multiLevelType w:val="hybridMultilevel"/>
    <w:tmpl w:val="004815CC"/>
    <w:lvl w:ilvl="0" w:tplc="C21EA628">
      <w:start w:val="1"/>
      <w:numFmt w:val="decimal"/>
      <w:lvlText w:val="%1."/>
      <w:lvlJc w:val="left"/>
      <w:pPr>
        <w:ind w:left="1043" w:hanging="6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963AB2"/>
    <w:multiLevelType w:val="hybridMultilevel"/>
    <w:tmpl w:val="F0B6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F720F"/>
    <w:multiLevelType w:val="hybridMultilevel"/>
    <w:tmpl w:val="00C2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C4018"/>
    <w:multiLevelType w:val="multilevel"/>
    <w:tmpl w:val="444C643E"/>
    <w:lvl w:ilvl="0">
      <w:start w:val="1"/>
      <w:numFmt w:val="decimal"/>
      <w:lvlText w:val="%1."/>
      <w:lvlJc w:val="left"/>
      <w:pPr>
        <w:tabs>
          <w:tab w:val="num" w:pos="1440"/>
        </w:tabs>
        <w:ind w:left="1440" w:hanging="72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75976AB4"/>
    <w:multiLevelType w:val="hybridMultilevel"/>
    <w:tmpl w:val="757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14EBA"/>
    <w:multiLevelType w:val="multilevel"/>
    <w:tmpl w:val="0824A0F2"/>
    <w:lvl w:ilvl="0">
      <w:start w:val="1"/>
      <w:numFmt w:val="decimal"/>
      <w:lvlText w:val="%1."/>
      <w:lvlJc w:val="left"/>
      <w:pPr>
        <w:tabs>
          <w:tab w:val="num" w:pos="1440"/>
        </w:tabs>
        <w:ind w:left="1440" w:hanging="720"/>
      </w:pPr>
      <w:rPr>
        <w:rFonts w:hint="default"/>
      </w:rPr>
    </w:lvl>
    <w:lvl w:ilvl="1">
      <w:start w:val="10"/>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77ED1C9B"/>
    <w:multiLevelType w:val="multilevel"/>
    <w:tmpl w:val="772663F0"/>
    <w:name w:val="PwCBulletListTemplate"/>
    <w:lvl w:ilvl="0">
      <w:start w:val="1"/>
      <w:numFmt w:val="bullet"/>
      <w:pStyle w:val="Closing"/>
      <w:lvlText w:val=""/>
      <w:lvlJc w:val="left"/>
      <w:pPr>
        <w:tabs>
          <w:tab w:val="num" w:pos="425"/>
        </w:tabs>
        <w:ind w:left="425" w:hanging="425"/>
      </w:pPr>
      <w:rPr>
        <w:rFonts w:ascii="Symbol" w:hAnsi="Symbol" w:hint="default"/>
        <w:sz w:val="20"/>
      </w:rPr>
    </w:lvl>
    <w:lvl w:ilvl="1">
      <w:start w:val="1"/>
      <w:numFmt w:val="bullet"/>
      <w:pStyle w:val="Outline"/>
      <w:lvlText w:val="-"/>
      <w:lvlJc w:val="left"/>
      <w:pPr>
        <w:tabs>
          <w:tab w:val="num" w:pos="851"/>
        </w:tabs>
        <w:ind w:left="851" w:hanging="426"/>
      </w:pPr>
      <w:rPr>
        <w:rFonts w:ascii="Symbol" w:hAnsi="Symbol" w:hint="default"/>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96C65C3"/>
    <w:multiLevelType w:val="hybridMultilevel"/>
    <w:tmpl w:val="5A84D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050226">
    <w:abstractNumId w:val="17"/>
  </w:num>
  <w:num w:numId="2" w16cid:durableId="930620177">
    <w:abstractNumId w:val="16"/>
  </w:num>
  <w:num w:numId="3" w16cid:durableId="115492748">
    <w:abstractNumId w:val="26"/>
  </w:num>
  <w:num w:numId="4" w16cid:durableId="2025551568">
    <w:abstractNumId w:val="30"/>
    <w:lvlOverride w:ilvl="0">
      <w:lvl w:ilvl="0">
        <w:start w:val="1"/>
        <w:numFmt w:val="decimal"/>
        <w:pStyle w:val="Bullet"/>
        <w:lvlText w:val="%1."/>
        <w:lvlJc w:val="left"/>
        <w:pPr>
          <w:ind w:left="360" w:hanging="360"/>
        </w:pPr>
        <w:rPr>
          <w:rFonts w:hint="default"/>
        </w:rPr>
      </w:lvl>
    </w:lvlOverride>
    <w:lvlOverride w:ilvl="1">
      <w:lvl w:ilvl="1">
        <w:start w:val="1"/>
        <w:numFmt w:val="none"/>
        <w:lvlText w:val="2.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313561526">
    <w:abstractNumId w:val="35"/>
  </w:num>
  <w:num w:numId="6" w16cid:durableId="506556584">
    <w:abstractNumId w:val="12"/>
  </w:num>
  <w:num w:numId="7" w16cid:durableId="504249894">
    <w:abstractNumId w:val="38"/>
  </w:num>
  <w:num w:numId="8" w16cid:durableId="186791780">
    <w:abstractNumId w:val="6"/>
  </w:num>
  <w:num w:numId="9" w16cid:durableId="693700017">
    <w:abstractNumId w:val="1"/>
  </w:num>
  <w:num w:numId="10" w16cid:durableId="418989044">
    <w:abstractNumId w:val="4"/>
  </w:num>
  <w:num w:numId="11" w16cid:durableId="921842295">
    <w:abstractNumId w:val="2"/>
  </w:num>
  <w:num w:numId="12" w16cid:durableId="725028807">
    <w:abstractNumId w:val="34"/>
  </w:num>
  <w:num w:numId="13" w16cid:durableId="99450223">
    <w:abstractNumId w:val="28"/>
  </w:num>
  <w:num w:numId="14" w16cid:durableId="1666472169">
    <w:abstractNumId w:val="33"/>
  </w:num>
  <w:num w:numId="15" w16cid:durableId="690107598">
    <w:abstractNumId w:val="8"/>
  </w:num>
  <w:num w:numId="16" w16cid:durableId="1780513">
    <w:abstractNumId w:val="19"/>
  </w:num>
  <w:num w:numId="17" w16cid:durableId="1431773724">
    <w:abstractNumId w:val="27"/>
  </w:num>
  <w:num w:numId="18" w16cid:durableId="1021931000">
    <w:abstractNumId w:val="0"/>
  </w:num>
  <w:num w:numId="19" w16cid:durableId="390731768">
    <w:abstractNumId w:val="39"/>
  </w:num>
  <w:num w:numId="20" w16cid:durableId="1283461844">
    <w:abstractNumId w:val="24"/>
  </w:num>
  <w:num w:numId="21" w16cid:durableId="290945853">
    <w:abstractNumId w:val="29"/>
  </w:num>
  <w:num w:numId="22" w16cid:durableId="641157252">
    <w:abstractNumId w:val="25"/>
  </w:num>
  <w:num w:numId="23" w16cid:durableId="916326833">
    <w:abstractNumId w:val="20"/>
  </w:num>
  <w:num w:numId="24" w16cid:durableId="1983921923">
    <w:abstractNumId w:val="14"/>
  </w:num>
  <w:num w:numId="25" w16cid:durableId="127431438">
    <w:abstractNumId w:val="7"/>
  </w:num>
  <w:num w:numId="26" w16cid:durableId="1096948869">
    <w:abstractNumId w:val="13"/>
  </w:num>
  <w:num w:numId="27" w16cid:durableId="1481460203">
    <w:abstractNumId w:val="31"/>
  </w:num>
  <w:num w:numId="28" w16cid:durableId="214899898">
    <w:abstractNumId w:val="3"/>
  </w:num>
  <w:num w:numId="29" w16cid:durableId="1354959834">
    <w:abstractNumId w:val="15"/>
  </w:num>
  <w:num w:numId="30" w16cid:durableId="1581601730">
    <w:abstractNumId w:val="18"/>
  </w:num>
  <w:num w:numId="31" w16cid:durableId="1951278718">
    <w:abstractNumId w:val="22"/>
  </w:num>
  <w:num w:numId="32" w16cid:durableId="1600679960">
    <w:abstractNumId w:val="32"/>
  </w:num>
  <w:num w:numId="33" w16cid:durableId="576786722">
    <w:abstractNumId w:val="23"/>
  </w:num>
  <w:num w:numId="34" w16cid:durableId="1786192036">
    <w:abstractNumId w:val="37"/>
  </w:num>
  <w:num w:numId="35" w16cid:durableId="2115900483">
    <w:abstractNumId w:val="9"/>
  </w:num>
  <w:num w:numId="36" w16cid:durableId="237978360">
    <w:abstractNumId w:val="36"/>
  </w:num>
  <w:num w:numId="37" w16cid:durableId="1963532354">
    <w:abstractNumId w:val="11"/>
  </w:num>
  <w:num w:numId="38" w16cid:durableId="1067336621">
    <w:abstractNumId w:val="21"/>
  </w:num>
  <w:num w:numId="39" w16cid:durableId="116486814">
    <w:abstractNumId w:val="5"/>
  </w:num>
  <w:num w:numId="40" w16cid:durableId="158271696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60"/>
    <w:rsid w:val="00000C17"/>
    <w:rsid w:val="0000194F"/>
    <w:rsid w:val="00003EFB"/>
    <w:rsid w:val="00006DFB"/>
    <w:rsid w:val="0001019B"/>
    <w:rsid w:val="00011454"/>
    <w:rsid w:val="00011C99"/>
    <w:rsid w:val="00012AB9"/>
    <w:rsid w:val="0001421B"/>
    <w:rsid w:val="00016798"/>
    <w:rsid w:val="000169B6"/>
    <w:rsid w:val="00022D0C"/>
    <w:rsid w:val="00025474"/>
    <w:rsid w:val="00025A1E"/>
    <w:rsid w:val="00026786"/>
    <w:rsid w:val="0003123E"/>
    <w:rsid w:val="00031356"/>
    <w:rsid w:val="00032310"/>
    <w:rsid w:val="00033C5B"/>
    <w:rsid w:val="00034653"/>
    <w:rsid w:val="00034D65"/>
    <w:rsid w:val="000408B1"/>
    <w:rsid w:val="00045913"/>
    <w:rsid w:val="00046674"/>
    <w:rsid w:val="0005086A"/>
    <w:rsid w:val="00052A7E"/>
    <w:rsid w:val="0005672C"/>
    <w:rsid w:val="00062B26"/>
    <w:rsid w:val="000637DA"/>
    <w:rsid w:val="0006417E"/>
    <w:rsid w:val="00064239"/>
    <w:rsid w:val="00064A5A"/>
    <w:rsid w:val="00064FD0"/>
    <w:rsid w:val="00065143"/>
    <w:rsid w:val="00067401"/>
    <w:rsid w:val="00070F13"/>
    <w:rsid w:val="000712E8"/>
    <w:rsid w:val="000719A9"/>
    <w:rsid w:val="00083C0C"/>
    <w:rsid w:val="00086C8C"/>
    <w:rsid w:val="00091DAE"/>
    <w:rsid w:val="000926C0"/>
    <w:rsid w:val="00095119"/>
    <w:rsid w:val="000967A4"/>
    <w:rsid w:val="000A0255"/>
    <w:rsid w:val="000A0D97"/>
    <w:rsid w:val="000A2AFA"/>
    <w:rsid w:val="000A4B10"/>
    <w:rsid w:val="000A65AF"/>
    <w:rsid w:val="000A6DE5"/>
    <w:rsid w:val="000A735F"/>
    <w:rsid w:val="000B0B9A"/>
    <w:rsid w:val="000B116B"/>
    <w:rsid w:val="000B1540"/>
    <w:rsid w:val="000B1F7D"/>
    <w:rsid w:val="000B2C60"/>
    <w:rsid w:val="000B404C"/>
    <w:rsid w:val="000B488C"/>
    <w:rsid w:val="000C394C"/>
    <w:rsid w:val="000C62AA"/>
    <w:rsid w:val="000D4321"/>
    <w:rsid w:val="000D6FD5"/>
    <w:rsid w:val="000E29A7"/>
    <w:rsid w:val="000E6360"/>
    <w:rsid w:val="000E7CF3"/>
    <w:rsid w:val="000F3019"/>
    <w:rsid w:val="000F7A02"/>
    <w:rsid w:val="00100173"/>
    <w:rsid w:val="00100F65"/>
    <w:rsid w:val="00102A12"/>
    <w:rsid w:val="001031BF"/>
    <w:rsid w:val="00105100"/>
    <w:rsid w:val="0010774A"/>
    <w:rsid w:val="0011071B"/>
    <w:rsid w:val="00114C2F"/>
    <w:rsid w:val="00115B05"/>
    <w:rsid w:val="001161A2"/>
    <w:rsid w:val="001173EA"/>
    <w:rsid w:val="00122D3F"/>
    <w:rsid w:val="001242BD"/>
    <w:rsid w:val="00124879"/>
    <w:rsid w:val="00124EA5"/>
    <w:rsid w:val="001255BC"/>
    <w:rsid w:val="00130A22"/>
    <w:rsid w:val="00130CF6"/>
    <w:rsid w:val="0013393C"/>
    <w:rsid w:val="001353BF"/>
    <w:rsid w:val="00135A27"/>
    <w:rsid w:val="00141162"/>
    <w:rsid w:val="00145862"/>
    <w:rsid w:val="0014785E"/>
    <w:rsid w:val="00150CFE"/>
    <w:rsid w:val="00151442"/>
    <w:rsid w:val="00151812"/>
    <w:rsid w:val="00152989"/>
    <w:rsid w:val="00160010"/>
    <w:rsid w:val="00161DAE"/>
    <w:rsid w:val="00163BEF"/>
    <w:rsid w:val="0016593B"/>
    <w:rsid w:val="00165D3E"/>
    <w:rsid w:val="001674B9"/>
    <w:rsid w:val="001677A4"/>
    <w:rsid w:val="00167822"/>
    <w:rsid w:val="00180896"/>
    <w:rsid w:val="00182E7D"/>
    <w:rsid w:val="00190D13"/>
    <w:rsid w:val="001948C9"/>
    <w:rsid w:val="00196580"/>
    <w:rsid w:val="001A0CB9"/>
    <w:rsid w:val="001A3E65"/>
    <w:rsid w:val="001A55BB"/>
    <w:rsid w:val="001A61DB"/>
    <w:rsid w:val="001A799D"/>
    <w:rsid w:val="001B0391"/>
    <w:rsid w:val="001B0C82"/>
    <w:rsid w:val="001B34AC"/>
    <w:rsid w:val="001B4118"/>
    <w:rsid w:val="001B5853"/>
    <w:rsid w:val="001B7D9B"/>
    <w:rsid w:val="001C0C6D"/>
    <w:rsid w:val="001C50B5"/>
    <w:rsid w:val="001C752C"/>
    <w:rsid w:val="001D0855"/>
    <w:rsid w:val="001D0C57"/>
    <w:rsid w:val="001D121A"/>
    <w:rsid w:val="001D2EF5"/>
    <w:rsid w:val="001D677D"/>
    <w:rsid w:val="001E1C5C"/>
    <w:rsid w:val="001E1DB9"/>
    <w:rsid w:val="001E4141"/>
    <w:rsid w:val="001E48DA"/>
    <w:rsid w:val="001F0FBB"/>
    <w:rsid w:val="001F2142"/>
    <w:rsid w:val="001F21D0"/>
    <w:rsid w:val="001F3CF0"/>
    <w:rsid w:val="001F556A"/>
    <w:rsid w:val="00200405"/>
    <w:rsid w:val="002024C7"/>
    <w:rsid w:val="00210A6E"/>
    <w:rsid w:val="002125A1"/>
    <w:rsid w:val="0021633C"/>
    <w:rsid w:val="002203C3"/>
    <w:rsid w:val="002218D4"/>
    <w:rsid w:val="00222EA2"/>
    <w:rsid w:val="002250E5"/>
    <w:rsid w:val="002252DF"/>
    <w:rsid w:val="00227CA7"/>
    <w:rsid w:val="00233E4B"/>
    <w:rsid w:val="00237688"/>
    <w:rsid w:val="0024013E"/>
    <w:rsid w:val="00240FCC"/>
    <w:rsid w:val="00243420"/>
    <w:rsid w:val="00246C18"/>
    <w:rsid w:val="002478FA"/>
    <w:rsid w:val="00250390"/>
    <w:rsid w:val="002513DD"/>
    <w:rsid w:val="00251C9A"/>
    <w:rsid w:val="00251DF2"/>
    <w:rsid w:val="00252075"/>
    <w:rsid w:val="00252248"/>
    <w:rsid w:val="002564B3"/>
    <w:rsid w:val="00261C52"/>
    <w:rsid w:val="002701FD"/>
    <w:rsid w:val="00273954"/>
    <w:rsid w:val="00285F1B"/>
    <w:rsid w:val="00286807"/>
    <w:rsid w:val="002925DE"/>
    <w:rsid w:val="00293B43"/>
    <w:rsid w:val="00294AE0"/>
    <w:rsid w:val="0029537D"/>
    <w:rsid w:val="002A06D6"/>
    <w:rsid w:val="002A149C"/>
    <w:rsid w:val="002A4AFA"/>
    <w:rsid w:val="002A5964"/>
    <w:rsid w:val="002A696A"/>
    <w:rsid w:val="002B0B1B"/>
    <w:rsid w:val="002C0F61"/>
    <w:rsid w:val="002C141A"/>
    <w:rsid w:val="002C2C8B"/>
    <w:rsid w:val="002C4677"/>
    <w:rsid w:val="002C7DC9"/>
    <w:rsid w:val="002C7F1C"/>
    <w:rsid w:val="002D3FF5"/>
    <w:rsid w:val="002D47E5"/>
    <w:rsid w:val="002D483E"/>
    <w:rsid w:val="002F0091"/>
    <w:rsid w:val="002F0F77"/>
    <w:rsid w:val="002F12FC"/>
    <w:rsid w:val="002F4096"/>
    <w:rsid w:val="002F73D6"/>
    <w:rsid w:val="002F73E1"/>
    <w:rsid w:val="003003CC"/>
    <w:rsid w:val="00302534"/>
    <w:rsid w:val="003111B9"/>
    <w:rsid w:val="00315DA7"/>
    <w:rsid w:val="00317CCD"/>
    <w:rsid w:val="00320226"/>
    <w:rsid w:val="00320F54"/>
    <w:rsid w:val="0032287A"/>
    <w:rsid w:val="00323B4C"/>
    <w:rsid w:val="00324D44"/>
    <w:rsid w:val="00331413"/>
    <w:rsid w:val="00332C87"/>
    <w:rsid w:val="003330F5"/>
    <w:rsid w:val="00333C9A"/>
    <w:rsid w:val="00334FD6"/>
    <w:rsid w:val="0034166C"/>
    <w:rsid w:val="0034180A"/>
    <w:rsid w:val="00345CE7"/>
    <w:rsid w:val="003470B1"/>
    <w:rsid w:val="003475FA"/>
    <w:rsid w:val="003546DD"/>
    <w:rsid w:val="003576FF"/>
    <w:rsid w:val="0036096B"/>
    <w:rsid w:val="00361B8F"/>
    <w:rsid w:val="00363024"/>
    <w:rsid w:val="00363AAD"/>
    <w:rsid w:val="00366E20"/>
    <w:rsid w:val="003673EB"/>
    <w:rsid w:val="003702E2"/>
    <w:rsid w:val="00373A8A"/>
    <w:rsid w:val="00373F9E"/>
    <w:rsid w:val="0037531D"/>
    <w:rsid w:val="00375D1C"/>
    <w:rsid w:val="003802A4"/>
    <w:rsid w:val="0038034B"/>
    <w:rsid w:val="00382CF2"/>
    <w:rsid w:val="00383FBD"/>
    <w:rsid w:val="003867D1"/>
    <w:rsid w:val="00392368"/>
    <w:rsid w:val="003947A4"/>
    <w:rsid w:val="003A1AF1"/>
    <w:rsid w:val="003A2264"/>
    <w:rsid w:val="003A6AF7"/>
    <w:rsid w:val="003A73D9"/>
    <w:rsid w:val="003A743D"/>
    <w:rsid w:val="003A758C"/>
    <w:rsid w:val="003C1BA0"/>
    <w:rsid w:val="003D1110"/>
    <w:rsid w:val="003D156F"/>
    <w:rsid w:val="003D1B64"/>
    <w:rsid w:val="003D7CC7"/>
    <w:rsid w:val="003E0686"/>
    <w:rsid w:val="003E406B"/>
    <w:rsid w:val="003E5285"/>
    <w:rsid w:val="003F3E69"/>
    <w:rsid w:val="003F48EA"/>
    <w:rsid w:val="003F59CE"/>
    <w:rsid w:val="0040262D"/>
    <w:rsid w:val="00402CD8"/>
    <w:rsid w:val="0040343E"/>
    <w:rsid w:val="00403C5F"/>
    <w:rsid w:val="00405B89"/>
    <w:rsid w:val="00406A25"/>
    <w:rsid w:val="00407745"/>
    <w:rsid w:val="004078B0"/>
    <w:rsid w:val="00412EC2"/>
    <w:rsid w:val="0041305F"/>
    <w:rsid w:val="0041436B"/>
    <w:rsid w:val="00414CE6"/>
    <w:rsid w:val="00414EF5"/>
    <w:rsid w:val="00414EF9"/>
    <w:rsid w:val="00417BE2"/>
    <w:rsid w:val="00417F5C"/>
    <w:rsid w:val="004250AD"/>
    <w:rsid w:val="004277FA"/>
    <w:rsid w:val="00441F81"/>
    <w:rsid w:val="0044226B"/>
    <w:rsid w:val="00443114"/>
    <w:rsid w:val="00445140"/>
    <w:rsid w:val="0044714E"/>
    <w:rsid w:val="00451A96"/>
    <w:rsid w:val="00453C6C"/>
    <w:rsid w:val="00457C73"/>
    <w:rsid w:val="00461492"/>
    <w:rsid w:val="0046231E"/>
    <w:rsid w:val="0046568F"/>
    <w:rsid w:val="00474596"/>
    <w:rsid w:val="004818D0"/>
    <w:rsid w:val="00486B61"/>
    <w:rsid w:val="004876C8"/>
    <w:rsid w:val="004904AD"/>
    <w:rsid w:val="004905D3"/>
    <w:rsid w:val="00490686"/>
    <w:rsid w:val="004927E3"/>
    <w:rsid w:val="00496AEB"/>
    <w:rsid w:val="004A2645"/>
    <w:rsid w:val="004A317D"/>
    <w:rsid w:val="004A72B4"/>
    <w:rsid w:val="004B0B4B"/>
    <w:rsid w:val="004B1660"/>
    <w:rsid w:val="004B6B39"/>
    <w:rsid w:val="004B6C98"/>
    <w:rsid w:val="004B7D73"/>
    <w:rsid w:val="004C1646"/>
    <w:rsid w:val="004C3040"/>
    <w:rsid w:val="004C5CFD"/>
    <w:rsid w:val="004D66AD"/>
    <w:rsid w:val="004D6CCF"/>
    <w:rsid w:val="004D7050"/>
    <w:rsid w:val="004D73CE"/>
    <w:rsid w:val="004E0499"/>
    <w:rsid w:val="004E234F"/>
    <w:rsid w:val="004E38AA"/>
    <w:rsid w:val="004E3EE8"/>
    <w:rsid w:val="004E70F1"/>
    <w:rsid w:val="004F2422"/>
    <w:rsid w:val="004F26E2"/>
    <w:rsid w:val="004F4533"/>
    <w:rsid w:val="004F47DA"/>
    <w:rsid w:val="004F6253"/>
    <w:rsid w:val="004F68DE"/>
    <w:rsid w:val="004F6F29"/>
    <w:rsid w:val="004F706C"/>
    <w:rsid w:val="00500332"/>
    <w:rsid w:val="0050373F"/>
    <w:rsid w:val="00503E75"/>
    <w:rsid w:val="00505059"/>
    <w:rsid w:val="00505D6A"/>
    <w:rsid w:val="00507B8E"/>
    <w:rsid w:val="005125E3"/>
    <w:rsid w:val="00512B1C"/>
    <w:rsid w:val="00520064"/>
    <w:rsid w:val="00522253"/>
    <w:rsid w:val="005241F9"/>
    <w:rsid w:val="00526E53"/>
    <w:rsid w:val="0052798C"/>
    <w:rsid w:val="00530498"/>
    <w:rsid w:val="00531495"/>
    <w:rsid w:val="005327FE"/>
    <w:rsid w:val="00533B8B"/>
    <w:rsid w:val="00534B4A"/>
    <w:rsid w:val="00537B0A"/>
    <w:rsid w:val="00541B85"/>
    <w:rsid w:val="005421AD"/>
    <w:rsid w:val="00542D27"/>
    <w:rsid w:val="0054420C"/>
    <w:rsid w:val="005443D2"/>
    <w:rsid w:val="00544C1C"/>
    <w:rsid w:val="005536E2"/>
    <w:rsid w:val="005569B7"/>
    <w:rsid w:val="00557892"/>
    <w:rsid w:val="0056423E"/>
    <w:rsid w:val="00566507"/>
    <w:rsid w:val="00566E0E"/>
    <w:rsid w:val="00566F78"/>
    <w:rsid w:val="005714CB"/>
    <w:rsid w:val="00577891"/>
    <w:rsid w:val="00580C62"/>
    <w:rsid w:val="005817E4"/>
    <w:rsid w:val="005867A3"/>
    <w:rsid w:val="00586C1A"/>
    <w:rsid w:val="00586FDD"/>
    <w:rsid w:val="0059065B"/>
    <w:rsid w:val="00592EA3"/>
    <w:rsid w:val="0059365E"/>
    <w:rsid w:val="005936B2"/>
    <w:rsid w:val="00596300"/>
    <w:rsid w:val="005A4E44"/>
    <w:rsid w:val="005A50D3"/>
    <w:rsid w:val="005A62A2"/>
    <w:rsid w:val="005A6501"/>
    <w:rsid w:val="005B245D"/>
    <w:rsid w:val="005B608E"/>
    <w:rsid w:val="005B6AAD"/>
    <w:rsid w:val="005B74F3"/>
    <w:rsid w:val="005C0315"/>
    <w:rsid w:val="005C0444"/>
    <w:rsid w:val="005C072E"/>
    <w:rsid w:val="005C3EDD"/>
    <w:rsid w:val="005C5046"/>
    <w:rsid w:val="005C7A5F"/>
    <w:rsid w:val="005C7D2D"/>
    <w:rsid w:val="005E11B0"/>
    <w:rsid w:val="005E7034"/>
    <w:rsid w:val="005F10D3"/>
    <w:rsid w:val="005F207E"/>
    <w:rsid w:val="005F4FB5"/>
    <w:rsid w:val="005F507C"/>
    <w:rsid w:val="005F50B2"/>
    <w:rsid w:val="005F5EA8"/>
    <w:rsid w:val="006005F0"/>
    <w:rsid w:val="00600662"/>
    <w:rsid w:val="00603066"/>
    <w:rsid w:val="00604D7F"/>
    <w:rsid w:val="00605738"/>
    <w:rsid w:val="006057E7"/>
    <w:rsid w:val="00606A2D"/>
    <w:rsid w:val="0060756C"/>
    <w:rsid w:val="006104FA"/>
    <w:rsid w:val="0061136B"/>
    <w:rsid w:val="006134F1"/>
    <w:rsid w:val="006138C0"/>
    <w:rsid w:val="00613ED4"/>
    <w:rsid w:val="006144D1"/>
    <w:rsid w:val="0061496F"/>
    <w:rsid w:val="00616321"/>
    <w:rsid w:val="00622272"/>
    <w:rsid w:val="006238EA"/>
    <w:rsid w:val="00624AAB"/>
    <w:rsid w:val="00626D80"/>
    <w:rsid w:val="0063018E"/>
    <w:rsid w:val="006371E3"/>
    <w:rsid w:val="006434F1"/>
    <w:rsid w:val="006439FF"/>
    <w:rsid w:val="006445E3"/>
    <w:rsid w:val="00644CC0"/>
    <w:rsid w:val="00646F29"/>
    <w:rsid w:val="00650DD0"/>
    <w:rsid w:val="00652B8C"/>
    <w:rsid w:val="00654107"/>
    <w:rsid w:val="00656B00"/>
    <w:rsid w:val="00657518"/>
    <w:rsid w:val="00661D0A"/>
    <w:rsid w:val="00663516"/>
    <w:rsid w:val="0066353A"/>
    <w:rsid w:val="006644F3"/>
    <w:rsid w:val="006664A5"/>
    <w:rsid w:val="00671D32"/>
    <w:rsid w:val="00672184"/>
    <w:rsid w:val="00673F95"/>
    <w:rsid w:val="00675231"/>
    <w:rsid w:val="00675C29"/>
    <w:rsid w:val="0068184B"/>
    <w:rsid w:val="00681B11"/>
    <w:rsid w:val="00690F7D"/>
    <w:rsid w:val="00693661"/>
    <w:rsid w:val="00694C42"/>
    <w:rsid w:val="00694DD5"/>
    <w:rsid w:val="006A14BB"/>
    <w:rsid w:val="006A3505"/>
    <w:rsid w:val="006A7CC6"/>
    <w:rsid w:val="006B0E84"/>
    <w:rsid w:val="006B29F3"/>
    <w:rsid w:val="006B56E1"/>
    <w:rsid w:val="006B63D6"/>
    <w:rsid w:val="006C02B5"/>
    <w:rsid w:val="006C1485"/>
    <w:rsid w:val="006C2592"/>
    <w:rsid w:val="006D013C"/>
    <w:rsid w:val="006D1861"/>
    <w:rsid w:val="006D217B"/>
    <w:rsid w:val="006D25B0"/>
    <w:rsid w:val="006D3A46"/>
    <w:rsid w:val="006D5DB7"/>
    <w:rsid w:val="006D65B8"/>
    <w:rsid w:val="006E65A6"/>
    <w:rsid w:val="006E72B0"/>
    <w:rsid w:val="006F29B0"/>
    <w:rsid w:val="006F2D49"/>
    <w:rsid w:val="006F6D17"/>
    <w:rsid w:val="006F72EC"/>
    <w:rsid w:val="007017AD"/>
    <w:rsid w:val="00701B72"/>
    <w:rsid w:val="00703CD4"/>
    <w:rsid w:val="00704BC1"/>
    <w:rsid w:val="007054E8"/>
    <w:rsid w:val="00706B21"/>
    <w:rsid w:val="007136BE"/>
    <w:rsid w:val="00716DD0"/>
    <w:rsid w:val="00716FCE"/>
    <w:rsid w:val="00717FF3"/>
    <w:rsid w:val="00721F6A"/>
    <w:rsid w:val="0072239A"/>
    <w:rsid w:val="007259EC"/>
    <w:rsid w:val="0072709B"/>
    <w:rsid w:val="00727561"/>
    <w:rsid w:val="00730D60"/>
    <w:rsid w:val="0073225D"/>
    <w:rsid w:val="00732E4B"/>
    <w:rsid w:val="007332AB"/>
    <w:rsid w:val="0073366E"/>
    <w:rsid w:val="007337AF"/>
    <w:rsid w:val="00736EA5"/>
    <w:rsid w:val="00736FFD"/>
    <w:rsid w:val="00742570"/>
    <w:rsid w:val="00742D47"/>
    <w:rsid w:val="00744DAD"/>
    <w:rsid w:val="00745341"/>
    <w:rsid w:val="00747F22"/>
    <w:rsid w:val="007502E9"/>
    <w:rsid w:val="0075051A"/>
    <w:rsid w:val="00752EAB"/>
    <w:rsid w:val="00760A08"/>
    <w:rsid w:val="00760F69"/>
    <w:rsid w:val="007640EE"/>
    <w:rsid w:val="0076415D"/>
    <w:rsid w:val="0077418B"/>
    <w:rsid w:val="007758B8"/>
    <w:rsid w:val="00775CCD"/>
    <w:rsid w:val="007804E7"/>
    <w:rsid w:val="00780D79"/>
    <w:rsid w:val="007819F0"/>
    <w:rsid w:val="0078386A"/>
    <w:rsid w:val="00785601"/>
    <w:rsid w:val="00785C6E"/>
    <w:rsid w:val="00786F4A"/>
    <w:rsid w:val="00787C4C"/>
    <w:rsid w:val="00790DE6"/>
    <w:rsid w:val="007913D9"/>
    <w:rsid w:val="00791585"/>
    <w:rsid w:val="007922FF"/>
    <w:rsid w:val="00793318"/>
    <w:rsid w:val="007A0FF5"/>
    <w:rsid w:val="007A1A0D"/>
    <w:rsid w:val="007A1CE7"/>
    <w:rsid w:val="007A6D02"/>
    <w:rsid w:val="007A7D7F"/>
    <w:rsid w:val="007B0918"/>
    <w:rsid w:val="007B125F"/>
    <w:rsid w:val="007B23CF"/>
    <w:rsid w:val="007B3784"/>
    <w:rsid w:val="007B79FE"/>
    <w:rsid w:val="007C088C"/>
    <w:rsid w:val="007C5193"/>
    <w:rsid w:val="007C54F5"/>
    <w:rsid w:val="007D366A"/>
    <w:rsid w:val="007D3C3F"/>
    <w:rsid w:val="007D429B"/>
    <w:rsid w:val="007D470C"/>
    <w:rsid w:val="007D5302"/>
    <w:rsid w:val="007E2D11"/>
    <w:rsid w:val="007E4474"/>
    <w:rsid w:val="007E4F60"/>
    <w:rsid w:val="007F0CBB"/>
    <w:rsid w:val="007F16D6"/>
    <w:rsid w:val="007F1DB7"/>
    <w:rsid w:val="007F3354"/>
    <w:rsid w:val="007F455C"/>
    <w:rsid w:val="007F52EB"/>
    <w:rsid w:val="007F6158"/>
    <w:rsid w:val="007F61F0"/>
    <w:rsid w:val="007F642E"/>
    <w:rsid w:val="00800763"/>
    <w:rsid w:val="008009EE"/>
    <w:rsid w:val="00801619"/>
    <w:rsid w:val="00801B2E"/>
    <w:rsid w:val="00801C71"/>
    <w:rsid w:val="00804FFC"/>
    <w:rsid w:val="0081036D"/>
    <w:rsid w:val="00811F75"/>
    <w:rsid w:val="00813070"/>
    <w:rsid w:val="0081323D"/>
    <w:rsid w:val="00815C41"/>
    <w:rsid w:val="00815CDB"/>
    <w:rsid w:val="0081679F"/>
    <w:rsid w:val="008172FB"/>
    <w:rsid w:val="008211D3"/>
    <w:rsid w:val="008214CD"/>
    <w:rsid w:val="00826D07"/>
    <w:rsid w:val="00827AAD"/>
    <w:rsid w:val="0083186B"/>
    <w:rsid w:val="0083586C"/>
    <w:rsid w:val="008379CD"/>
    <w:rsid w:val="00842575"/>
    <w:rsid w:val="00842C75"/>
    <w:rsid w:val="00844D6A"/>
    <w:rsid w:val="00850E07"/>
    <w:rsid w:val="00852143"/>
    <w:rsid w:val="008640C5"/>
    <w:rsid w:val="008648BF"/>
    <w:rsid w:val="00865AA1"/>
    <w:rsid w:val="00870064"/>
    <w:rsid w:val="008732C3"/>
    <w:rsid w:val="008748D3"/>
    <w:rsid w:val="0088081B"/>
    <w:rsid w:val="008809A7"/>
    <w:rsid w:val="00880A32"/>
    <w:rsid w:val="0088187C"/>
    <w:rsid w:val="00881E78"/>
    <w:rsid w:val="008849B2"/>
    <w:rsid w:val="00886605"/>
    <w:rsid w:val="008872C4"/>
    <w:rsid w:val="00890020"/>
    <w:rsid w:val="00890938"/>
    <w:rsid w:val="00891684"/>
    <w:rsid w:val="008920F0"/>
    <w:rsid w:val="0089252A"/>
    <w:rsid w:val="008946E3"/>
    <w:rsid w:val="00895B16"/>
    <w:rsid w:val="008963D7"/>
    <w:rsid w:val="008A0605"/>
    <w:rsid w:val="008A0B23"/>
    <w:rsid w:val="008A10C4"/>
    <w:rsid w:val="008A29FB"/>
    <w:rsid w:val="008A7D13"/>
    <w:rsid w:val="008B05E6"/>
    <w:rsid w:val="008B07A6"/>
    <w:rsid w:val="008B5547"/>
    <w:rsid w:val="008B5E1A"/>
    <w:rsid w:val="008B753A"/>
    <w:rsid w:val="008B7FC1"/>
    <w:rsid w:val="008C0D09"/>
    <w:rsid w:val="008C456E"/>
    <w:rsid w:val="008C59C2"/>
    <w:rsid w:val="008D2E11"/>
    <w:rsid w:val="008D5695"/>
    <w:rsid w:val="008E1735"/>
    <w:rsid w:val="008E2851"/>
    <w:rsid w:val="008E4ACB"/>
    <w:rsid w:val="008E6A4B"/>
    <w:rsid w:val="008F0D89"/>
    <w:rsid w:val="008F371B"/>
    <w:rsid w:val="008F6D33"/>
    <w:rsid w:val="008F7FC8"/>
    <w:rsid w:val="00905743"/>
    <w:rsid w:val="0091499C"/>
    <w:rsid w:val="00915235"/>
    <w:rsid w:val="00915457"/>
    <w:rsid w:val="00915C07"/>
    <w:rsid w:val="0091632D"/>
    <w:rsid w:val="009165F5"/>
    <w:rsid w:val="00920375"/>
    <w:rsid w:val="0092081D"/>
    <w:rsid w:val="00921751"/>
    <w:rsid w:val="00922359"/>
    <w:rsid w:val="00922E81"/>
    <w:rsid w:val="0092636E"/>
    <w:rsid w:val="009304F6"/>
    <w:rsid w:val="00933202"/>
    <w:rsid w:val="00933C34"/>
    <w:rsid w:val="00934853"/>
    <w:rsid w:val="00934C71"/>
    <w:rsid w:val="00935257"/>
    <w:rsid w:val="00936505"/>
    <w:rsid w:val="00937E91"/>
    <w:rsid w:val="00941188"/>
    <w:rsid w:val="00942A7D"/>
    <w:rsid w:val="00943768"/>
    <w:rsid w:val="009458B5"/>
    <w:rsid w:val="009523DF"/>
    <w:rsid w:val="00955B43"/>
    <w:rsid w:val="00955D1F"/>
    <w:rsid w:val="00957424"/>
    <w:rsid w:val="00962E0D"/>
    <w:rsid w:val="00963C37"/>
    <w:rsid w:val="00964BCF"/>
    <w:rsid w:val="00964D15"/>
    <w:rsid w:val="00972D2B"/>
    <w:rsid w:val="00972F61"/>
    <w:rsid w:val="0097315B"/>
    <w:rsid w:val="00973760"/>
    <w:rsid w:val="00973D55"/>
    <w:rsid w:val="00974593"/>
    <w:rsid w:val="00974868"/>
    <w:rsid w:val="00975198"/>
    <w:rsid w:val="00977B56"/>
    <w:rsid w:val="009803AF"/>
    <w:rsid w:val="00980984"/>
    <w:rsid w:val="00981919"/>
    <w:rsid w:val="00981E3D"/>
    <w:rsid w:val="00981FE7"/>
    <w:rsid w:val="009837A5"/>
    <w:rsid w:val="00983AA1"/>
    <w:rsid w:val="00983B61"/>
    <w:rsid w:val="00984AFC"/>
    <w:rsid w:val="00984DC7"/>
    <w:rsid w:val="009872D7"/>
    <w:rsid w:val="00987315"/>
    <w:rsid w:val="0099020F"/>
    <w:rsid w:val="0099021A"/>
    <w:rsid w:val="00994F86"/>
    <w:rsid w:val="00995BED"/>
    <w:rsid w:val="00996CF8"/>
    <w:rsid w:val="009A1F8B"/>
    <w:rsid w:val="009A24CA"/>
    <w:rsid w:val="009A5F2E"/>
    <w:rsid w:val="009A773B"/>
    <w:rsid w:val="009B4FDD"/>
    <w:rsid w:val="009B5C15"/>
    <w:rsid w:val="009C1D34"/>
    <w:rsid w:val="009C255E"/>
    <w:rsid w:val="009C5337"/>
    <w:rsid w:val="009D239F"/>
    <w:rsid w:val="009D3314"/>
    <w:rsid w:val="009D7271"/>
    <w:rsid w:val="009E25DD"/>
    <w:rsid w:val="009E75CC"/>
    <w:rsid w:val="009F027B"/>
    <w:rsid w:val="00A00EE5"/>
    <w:rsid w:val="00A01413"/>
    <w:rsid w:val="00A02615"/>
    <w:rsid w:val="00A03663"/>
    <w:rsid w:val="00A10C8D"/>
    <w:rsid w:val="00A14285"/>
    <w:rsid w:val="00A162BB"/>
    <w:rsid w:val="00A21167"/>
    <w:rsid w:val="00A23424"/>
    <w:rsid w:val="00A25805"/>
    <w:rsid w:val="00A2723C"/>
    <w:rsid w:val="00A31A30"/>
    <w:rsid w:val="00A33133"/>
    <w:rsid w:val="00A335A7"/>
    <w:rsid w:val="00A34C87"/>
    <w:rsid w:val="00A35F80"/>
    <w:rsid w:val="00A36626"/>
    <w:rsid w:val="00A37F58"/>
    <w:rsid w:val="00A40B6D"/>
    <w:rsid w:val="00A416C5"/>
    <w:rsid w:val="00A43D95"/>
    <w:rsid w:val="00A45A5B"/>
    <w:rsid w:val="00A47C72"/>
    <w:rsid w:val="00A518C1"/>
    <w:rsid w:val="00A5228C"/>
    <w:rsid w:val="00A52849"/>
    <w:rsid w:val="00A549D1"/>
    <w:rsid w:val="00A54BA2"/>
    <w:rsid w:val="00A55B6F"/>
    <w:rsid w:val="00A623C7"/>
    <w:rsid w:val="00A6270E"/>
    <w:rsid w:val="00A62B80"/>
    <w:rsid w:val="00A67833"/>
    <w:rsid w:val="00A725DF"/>
    <w:rsid w:val="00A73552"/>
    <w:rsid w:val="00A8179F"/>
    <w:rsid w:val="00A8193E"/>
    <w:rsid w:val="00A85C00"/>
    <w:rsid w:val="00A86597"/>
    <w:rsid w:val="00A876B2"/>
    <w:rsid w:val="00A91AEA"/>
    <w:rsid w:val="00A9245C"/>
    <w:rsid w:val="00A9355B"/>
    <w:rsid w:val="00A94687"/>
    <w:rsid w:val="00A94E60"/>
    <w:rsid w:val="00A9659F"/>
    <w:rsid w:val="00A97092"/>
    <w:rsid w:val="00A977C3"/>
    <w:rsid w:val="00A97A08"/>
    <w:rsid w:val="00AA60E8"/>
    <w:rsid w:val="00AA7031"/>
    <w:rsid w:val="00AA732E"/>
    <w:rsid w:val="00AB3D55"/>
    <w:rsid w:val="00AB3F40"/>
    <w:rsid w:val="00AB4DFD"/>
    <w:rsid w:val="00AB5004"/>
    <w:rsid w:val="00AB68B1"/>
    <w:rsid w:val="00AC0208"/>
    <w:rsid w:val="00AC173E"/>
    <w:rsid w:val="00AC2003"/>
    <w:rsid w:val="00AC30F8"/>
    <w:rsid w:val="00AC3501"/>
    <w:rsid w:val="00AC3796"/>
    <w:rsid w:val="00AC4538"/>
    <w:rsid w:val="00AC4865"/>
    <w:rsid w:val="00AC4E7B"/>
    <w:rsid w:val="00AC5065"/>
    <w:rsid w:val="00AC5A83"/>
    <w:rsid w:val="00AC5C46"/>
    <w:rsid w:val="00AC62B1"/>
    <w:rsid w:val="00AC6F86"/>
    <w:rsid w:val="00AD238A"/>
    <w:rsid w:val="00AD596B"/>
    <w:rsid w:val="00AD6232"/>
    <w:rsid w:val="00AD76C7"/>
    <w:rsid w:val="00AE1037"/>
    <w:rsid w:val="00AE21C4"/>
    <w:rsid w:val="00AF01CA"/>
    <w:rsid w:val="00AF12F0"/>
    <w:rsid w:val="00AF233F"/>
    <w:rsid w:val="00AF236F"/>
    <w:rsid w:val="00AF3D09"/>
    <w:rsid w:val="00AF7810"/>
    <w:rsid w:val="00B00C42"/>
    <w:rsid w:val="00B035B0"/>
    <w:rsid w:val="00B07F02"/>
    <w:rsid w:val="00B11DA3"/>
    <w:rsid w:val="00B163C2"/>
    <w:rsid w:val="00B168E6"/>
    <w:rsid w:val="00B16D6B"/>
    <w:rsid w:val="00B20F4C"/>
    <w:rsid w:val="00B249D6"/>
    <w:rsid w:val="00B265C5"/>
    <w:rsid w:val="00B27214"/>
    <w:rsid w:val="00B273D8"/>
    <w:rsid w:val="00B31360"/>
    <w:rsid w:val="00B3734A"/>
    <w:rsid w:val="00B46671"/>
    <w:rsid w:val="00B53267"/>
    <w:rsid w:val="00B53F8D"/>
    <w:rsid w:val="00B54122"/>
    <w:rsid w:val="00B552F1"/>
    <w:rsid w:val="00B553F9"/>
    <w:rsid w:val="00B6563B"/>
    <w:rsid w:val="00B67F9B"/>
    <w:rsid w:val="00B73D96"/>
    <w:rsid w:val="00B73F1C"/>
    <w:rsid w:val="00B74646"/>
    <w:rsid w:val="00B74DE8"/>
    <w:rsid w:val="00B842B2"/>
    <w:rsid w:val="00B84B21"/>
    <w:rsid w:val="00B86455"/>
    <w:rsid w:val="00B90D6C"/>
    <w:rsid w:val="00B92694"/>
    <w:rsid w:val="00BA027F"/>
    <w:rsid w:val="00BA042F"/>
    <w:rsid w:val="00BA0DC0"/>
    <w:rsid w:val="00BA3675"/>
    <w:rsid w:val="00BA6A9F"/>
    <w:rsid w:val="00BA728B"/>
    <w:rsid w:val="00BB1E38"/>
    <w:rsid w:val="00BB383E"/>
    <w:rsid w:val="00BB47EB"/>
    <w:rsid w:val="00BB5067"/>
    <w:rsid w:val="00BB654C"/>
    <w:rsid w:val="00BB6CB1"/>
    <w:rsid w:val="00BC03CE"/>
    <w:rsid w:val="00BC0789"/>
    <w:rsid w:val="00BC4756"/>
    <w:rsid w:val="00BC4CC4"/>
    <w:rsid w:val="00BD1F74"/>
    <w:rsid w:val="00BD3A7C"/>
    <w:rsid w:val="00BD6A17"/>
    <w:rsid w:val="00BE0496"/>
    <w:rsid w:val="00BE083B"/>
    <w:rsid w:val="00BE0E5D"/>
    <w:rsid w:val="00BE77C7"/>
    <w:rsid w:val="00BF045E"/>
    <w:rsid w:val="00BF3BF5"/>
    <w:rsid w:val="00C05FCC"/>
    <w:rsid w:val="00C063FD"/>
    <w:rsid w:val="00C125E9"/>
    <w:rsid w:val="00C12EA9"/>
    <w:rsid w:val="00C12FBE"/>
    <w:rsid w:val="00C13627"/>
    <w:rsid w:val="00C1376A"/>
    <w:rsid w:val="00C138B1"/>
    <w:rsid w:val="00C179FC"/>
    <w:rsid w:val="00C25883"/>
    <w:rsid w:val="00C2620B"/>
    <w:rsid w:val="00C3280A"/>
    <w:rsid w:val="00C334D0"/>
    <w:rsid w:val="00C34643"/>
    <w:rsid w:val="00C35520"/>
    <w:rsid w:val="00C36520"/>
    <w:rsid w:val="00C40EA5"/>
    <w:rsid w:val="00C4137F"/>
    <w:rsid w:val="00C4187B"/>
    <w:rsid w:val="00C41EA0"/>
    <w:rsid w:val="00C42B97"/>
    <w:rsid w:val="00C436FC"/>
    <w:rsid w:val="00C442AB"/>
    <w:rsid w:val="00C443B1"/>
    <w:rsid w:val="00C4466A"/>
    <w:rsid w:val="00C44B8A"/>
    <w:rsid w:val="00C47F6B"/>
    <w:rsid w:val="00C5266B"/>
    <w:rsid w:val="00C54A8D"/>
    <w:rsid w:val="00C57623"/>
    <w:rsid w:val="00C610D6"/>
    <w:rsid w:val="00C63F34"/>
    <w:rsid w:val="00C65EE3"/>
    <w:rsid w:val="00C70E3E"/>
    <w:rsid w:val="00C70E75"/>
    <w:rsid w:val="00C71009"/>
    <w:rsid w:val="00C738D9"/>
    <w:rsid w:val="00C751AD"/>
    <w:rsid w:val="00C76AA2"/>
    <w:rsid w:val="00C76FCA"/>
    <w:rsid w:val="00C80C90"/>
    <w:rsid w:val="00C833B0"/>
    <w:rsid w:val="00C84D89"/>
    <w:rsid w:val="00C85334"/>
    <w:rsid w:val="00C8543D"/>
    <w:rsid w:val="00C85BB3"/>
    <w:rsid w:val="00C85F10"/>
    <w:rsid w:val="00C876C8"/>
    <w:rsid w:val="00C90C2A"/>
    <w:rsid w:val="00C9346C"/>
    <w:rsid w:val="00C9687E"/>
    <w:rsid w:val="00C9725F"/>
    <w:rsid w:val="00CA06F6"/>
    <w:rsid w:val="00CA4BCF"/>
    <w:rsid w:val="00CA5414"/>
    <w:rsid w:val="00CB3A02"/>
    <w:rsid w:val="00CB5ACE"/>
    <w:rsid w:val="00CB6CEB"/>
    <w:rsid w:val="00CC2654"/>
    <w:rsid w:val="00CC375A"/>
    <w:rsid w:val="00CC6DC7"/>
    <w:rsid w:val="00CD17E5"/>
    <w:rsid w:val="00CD2161"/>
    <w:rsid w:val="00CD5E43"/>
    <w:rsid w:val="00CE1749"/>
    <w:rsid w:val="00CE3936"/>
    <w:rsid w:val="00CE3C8F"/>
    <w:rsid w:val="00CE487F"/>
    <w:rsid w:val="00CE6081"/>
    <w:rsid w:val="00CE6999"/>
    <w:rsid w:val="00CE6AD4"/>
    <w:rsid w:val="00CF5213"/>
    <w:rsid w:val="00D007C8"/>
    <w:rsid w:val="00D024D8"/>
    <w:rsid w:val="00D05EF0"/>
    <w:rsid w:val="00D06238"/>
    <w:rsid w:val="00D10B23"/>
    <w:rsid w:val="00D11867"/>
    <w:rsid w:val="00D11A64"/>
    <w:rsid w:val="00D1310E"/>
    <w:rsid w:val="00D13CEF"/>
    <w:rsid w:val="00D146AE"/>
    <w:rsid w:val="00D158D9"/>
    <w:rsid w:val="00D1663B"/>
    <w:rsid w:val="00D22F65"/>
    <w:rsid w:val="00D302D9"/>
    <w:rsid w:val="00D31FBF"/>
    <w:rsid w:val="00D3228B"/>
    <w:rsid w:val="00D322FB"/>
    <w:rsid w:val="00D324BE"/>
    <w:rsid w:val="00D338F1"/>
    <w:rsid w:val="00D35134"/>
    <w:rsid w:val="00D37D7C"/>
    <w:rsid w:val="00D405C8"/>
    <w:rsid w:val="00D40A04"/>
    <w:rsid w:val="00D427AD"/>
    <w:rsid w:val="00D43B6E"/>
    <w:rsid w:val="00D515FB"/>
    <w:rsid w:val="00D53345"/>
    <w:rsid w:val="00D5653B"/>
    <w:rsid w:val="00D566C9"/>
    <w:rsid w:val="00D566F4"/>
    <w:rsid w:val="00D57A04"/>
    <w:rsid w:val="00D60827"/>
    <w:rsid w:val="00D6224D"/>
    <w:rsid w:val="00D6347A"/>
    <w:rsid w:val="00D661E5"/>
    <w:rsid w:val="00D72907"/>
    <w:rsid w:val="00D73A62"/>
    <w:rsid w:val="00D91A0D"/>
    <w:rsid w:val="00D9300C"/>
    <w:rsid w:val="00D93B77"/>
    <w:rsid w:val="00D94400"/>
    <w:rsid w:val="00D95DF2"/>
    <w:rsid w:val="00DA2A99"/>
    <w:rsid w:val="00DB08E0"/>
    <w:rsid w:val="00DB1CD4"/>
    <w:rsid w:val="00DB2021"/>
    <w:rsid w:val="00DB6D75"/>
    <w:rsid w:val="00DC1DE7"/>
    <w:rsid w:val="00DC78C6"/>
    <w:rsid w:val="00DD06FD"/>
    <w:rsid w:val="00DD258D"/>
    <w:rsid w:val="00DE2378"/>
    <w:rsid w:val="00DE3ACF"/>
    <w:rsid w:val="00DE49C0"/>
    <w:rsid w:val="00DE51FF"/>
    <w:rsid w:val="00DE5BDC"/>
    <w:rsid w:val="00DE617B"/>
    <w:rsid w:val="00DE7238"/>
    <w:rsid w:val="00DF22CD"/>
    <w:rsid w:val="00DF5BD7"/>
    <w:rsid w:val="00DF7C80"/>
    <w:rsid w:val="00E0057A"/>
    <w:rsid w:val="00E01EFE"/>
    <w:rsid w:val="00E02B4A"/>
    <w:rsid w:val="00E05088"/>
    <w:rsid w:val="00E05E60"/>
    <w:rsid w:val="00E106B1"/>
    <w:rsid w:val="00E12D90"/>
    <w:rsid w:val="00E13B50"/>
    <w:rsid w:val="00E14DF2"/>
    <w:rsid w:val="00E168CF"/>
    <w:rsid w:val="00E16B59"/>
    <w:rsid w:val="00E16F0B"/>
    <w:rsid w:val="00E245B6"/>
    <w:rsid w:val="00E24ADE"/>
    <w:rsid w:val="00E27704"/>
    <w:rsid w:val="00E3312E"/>
    <w:rsid w:val="00E37C10"/>
    <w:rsid w:val="00E42950"/>
    <w:rsid w:val="00E43F68"/>
    <w:rsid w:val="00E447E0"/>
    <w:rsid w:val="00E5236F"/>
    <w:rsid w:val="00E53A36"/>
    <w:rsid w:val="00E54E05"/>
    <w:rsid w:val="00E600B7"/>
    <w:rsid w:val="00E6078D"/>
    <w:rsid w:val="00E65CAF"/>
    <w:rsid w:val="00E67233"/>
    <w:rsid w:val="00E72293"/>
    <w:rsid w:val="00E73C1E"/>
    <w:rsid w:val="00E76C92"/>
    <w:rsid w:val="00E803CC"/>
    <w:rsid w:val="00E80CE2"/>
    <w:rsid w:val="00E83641"/>
    <w:rsid w:val="00E85687"/>
    <w:rsid w:val="00E91068"/>
    <w:rsid w:val="00E916A4"/>
    <w:rsid w:val="00E931E5"/>
    <w:rsid w:val="00E941D4"/>
    <w:rsid w:val="00E95729"/>
    <w:rsid w:val="00EA2E40"/>
    <w:rsid w:val="00EA553B"/>
    <w:rsid w:val="00EA5B9F"/>
    <w:rsid w:val="00EB018D"/>
    <w:rsid w:val="00EB0B23"/>
    <w:rsid w:val="00EB61AA"/>
    <w:rsid w:val="00EC069F"/>
    <w:rsid w:val="00EC07D0"/>
    <w:rsid w:val="00EC209C"/>
    <w:rsid w:val="00EC5659"/>
    <w:rsid w:val="00EC5A50"/>
    <w:rsid w:val="00EC77F0"/>
    <w:rsid w:val="00EC7E35"/>
    <w:rsid w:val="00ED17A1"/>
    <w:rsid w:val="00ED3B1F"/>
    <w:rsid w:val="00ED6A55"/>
    <w:rsid w:val="00ED7FB9"/>
    <w:rsid w:val="00EE08CD"/>
    <w:rsid w:val="00EE2839"/>
    <w:rsid w:val="00EE3733"/>
    <w:rsid w:val="00EE3A27"/>
    <w:rsid w:val="00EE4D8E"/>
    <w:rsid w:val="00EF1750"/>
    <w:rsid w:val="00EF4147"/>
    <w:rsid w:val="00EF5B94"/>
    <w:rsid w:val="00EF65B6"/>
    <w:rsid w:val="00EF725F"/>
    <w:rsid w:val="00EF766A"/>
    <w:rsid w:val="00F04C2D"/>
    <w:rsid w:val="00F06BA7"/>
    <w:rsid w:val="00F076C8"/>
    <w:rsid w:val="00F10488"/>
    <w:rsid w:val="00F11238"/>
    <w:rsid w:val="00F12ABA"/>
    <w:rsid w:val="00F136ED"/>
    <w:rsid w:val="00F13E32"/>
    <w:rsid w:val="00F15034"/>
    <w:rsid w:val="00F23665"/>
    <w:rsid w:val="00F23AB8"/>
    <w:rsid w:val="00F27FCB"/>
    <w:rsid w:val="00F30BA8"/>
    <w:rsid w:val="00F32821"/>
    <w:rsid w:val="00F337C4"/>
    <w:rsid w:val="00F3422D"/>
    <w:rsid w:val="00F348BB"/>
    <w:rsid w:val="00F35CDD"/>
    <w:rsid w:val="00F3770D"/>
    <w:rsid w:val="00F40B52"/>
    <w:rsid w:val="00F4237A"/>
    <w:rsid w:val="00F42974"/>
    <w:rsid w:val="00F43576"/>
    <w:rsid w:val="00F456BA"/>
    <w:rsid w:val="00F459B5"/>
    <w:rsid w:val="00F52482"/>
    <w:rsid w:val="00F53C6A"/>
    <w:rsid w:val="00F53F97"/>
    <w:rsid w:val="00F5409D"/>
    <w:rsid w:val="00F55D7A"/>
    <w:rsid w:val="00F56390"/>
    <w:rsid w:val="00F63533"/>
    <w:rsid w:val="00F64C8F"/>
    <w:rsid w:val="00F66B32"/>
    <w:rsid w:val="00F67DDC"/>
    <w:rsid w:val="00F70186"/>
    <w:rsid w:val="00F7085D"/>
    <w:rsid w:val="00F72FCB"/>
    <w:rsid w:val="00F74080"/>
    <w:rsid w:val="00F749AA"/>
    <w:rsid w:val="00F75F1E"/>
    <w:rsid w:val="00F77FF2"/>
    <w:rsid w:val="00F8146A"/>
    <w:rsid w:val="00F8758A"/>
    <w:rsid w:val="00F8777C"/>
    <w:rsid w:val="00F915E8"/>
    <w:rsid w:val="00F968FA"/>
    <w:rsid w:val="00FA1011"/>
    <w:rsid w:val="00FA1DAE"/>
    <w:rsid w:val="00FA2011"/>
    <w:rsid w:val="00FA26F5"/>
    <w:rsid w:val="00FA337D"/>
    <w:rsid w:val="00FA5314"/>
    <w:rsid w:val="00FA5D8B"/>
    <w:rsid w:val="00FA6D83"/>
    <w:rsid w:val="00FA75D9"/>
    <w:rsid w:val="00FA77BE"/>
    <w:rsid w:val="00FB0656"/>
    <w:rsid w:val="00FB2141"/>
    <w:rsid w:val="00FB4AC4"/>
    <w:rsid w:val="00FB5827"/>
    <w:rsid w:val="00FB6797"/>
    <w:rsid w:val="00FB6DE3"/>
    <w:rsid w:val="00FB7048"/>
    <w:rsid w:val="00FC3D6C"/>
    <w:rsid w:val="00FC43F0"/>
    <w:rsid w:val="00FC56A0"/>
    <w:rsid w:val="00FC5872"/>
    <w:rsid w:val="00FC6B60"/>
    <w:rsid w:val="00FD010C"/>
    <w:rsid w:val="00FD0231"/>
    <w:rsid w:val="00FD1515"/>
    <w:rsid w:val="00FD1559"/>
    <w:rsid w:val="00FE29B7"/>
    <w:rsid w:val="00FE3BED"/>
    <w:rsid w:val="00FE453A"/>
    <w:rsid w:val="00FE4609"/>
    <w:rsid w:val="00FE5127"/>
    <w:rsid w:val="00FE6E9B"/>
    <w:rsid w:val="00FF41F2"/>
    <w:rsid w:val="00FF4F14"/>
    <w:rsid w:val="00FF5C74"/>
    <w:rsid w:val="00FF62F4"/>
    <w:rsid w:val="00FF6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6BF6B"/>
  <w15:chartTrackingRefBased/>
  <w15:docId w15:val="{1211FD34-BE80-6642-9630-C47D857C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aliases w:val="Section,Section Heading"/>
    <w:basedOn w:val="Normal"/>
    <w:next w:val="Normal"/>
    <w:qFormat/>
    <w:pPr>
      <w:keepNext/>
      <w:outlineLvl w:val="0"/>
    </w:pPr>
    <w:rPr>
      <w:rFonts w:ascii="Helvetica" w:hAnsi="Helvetica" w:cs="Helvetica"/>
      <w:b/>
      <w:bCs/>
      <w:sz w:val="84"/>
      <w:szCs w:val="84"/>
    </w:rPr>
  </w:style>
  <w:style w:type="paragraph" w:styleId="Heading2">
    <w:name w:val="heading 2"/>
    <w:basedOn w:val="Normal"/>
    <w:next w:val="Normal"/>
    <w:qFormat/>
    <w:pPr>
      <w:keepNext/>
      <w:outlineLvl w:val="1"/>
    </w:pPr>
    <w:rPr>
      <w:rFonts w:ascii="Helvetica" w:hAnsi="Helvetica" w:cs="Helvetica"/>
      <w:sz w:val="36"/>
      <w:szCs w:val="36"/>
    </w:rPr>
  </w:style>
  <w:style w:type="paragraph" w:styleId="Heading3">
    <w:name w:val="heading 3"/>
    <w:aliases w:val="Major14"/>
    <w:basedOn w:val="Normal"/>
    <w:next w:val="Normal"/>
    <w:qFormat/>
    <w:pPr>
      <w:keepNext/>
      <w:jc w:val="center"/>
      <w:outlineLvl w:val="2"/>
    </w:pPr>
    <w:rPr>
      <w:b/>
      <w:bCs/>
      <w:sz w:val="24"/>
      <w:szCs w:val="24"/>
    </w:rPr>
  </w:style>
  <w:style w:type="paragraph" w:styleId="Heading4">
    <w:name w:val="heading 4"/>
    <w:basedOn w:val="Normal"/>
    <w:next w:val="Normal"/>
    <w:link w:val="Heading4Char"/>
    <w:qFormat/>
    <w:rsid w:val="00E43F68"/>
    <w:pPr>
      <w:keepNext/>
      <w:outlineLvl w:val="3"/>
    </w:pPr>
    <w:rPr>
      <w:rFonts w:cs="Times New Roman"/>
      <w:b/>
      <w:snapToGrid w:val="0"/>
      <w:color w:val="000000"/>
      <w:sz w:val="20"/>
      <w:szCs w:val="20"/>
      <w:u w:val="single"/>
    </w:rPr>
  </w:style>
  <w:style w:type="paragraph" w:styleId="Heading5">
    <w:name w:val="heading 5"/>
    <w:basedOn w:val="Normal"/>
    <w:next w:val="Normal"/>
    <w:link w:val="Heading5Char"/>
    <w:qFormat/>
    <w:rsid w:val="00804FFC"/>
    <w:pPr>
      <w:spacing w:before="240" w:after="60"/>
      <w:outlineLvl w:val="4"/>
    </w:pPr>
    <w:rPr>
      <w:b/>
      <w:bCs/>
      <w:i/>
      <w:iCs/>
      <w:sz w:val="26"/>
      <w:szCs w:val="26"/>
    </w:rPr>
  </w:style>
  <w:style w:type="paragraph" w:styleId="Heading6">
    <w:name w:val="heading 6"/>
    <w:basedOn w:val="Normal"/>
    <w:next w:val="BodyText"/>
    <w:link w:val="Heading6Char"/>
    <w:qFormat/>
    <w:rsid w:val="00E43F68"/>
    <w:pPr>
      <w:keepNext/>
      <w:spacing w:line="240" w:lineRule="atLeast"/>
      <w:outlineLvl w:val="5"/>
    </w:pPr>
    <w:rPr>
      <w:rFonts w:ascii="Times New Roman" w:hAnsi="Times New Roman" w:cs="Times New Roman"/>
      <w:sz w:val="24"/>
      <w:szCs w:val="20"/>
      <w:lang w:eastAsia="en-GB"/>
    </w:rPr>
  </w:style>
  <w:style w:type="paragraph" w:styleId="Heading8">
    <w:name w:val="heading 8"/>
    <w:basedOn w:val="Normal"/>
    <w:next w:val="Normal"/>
    <w:link w:val="Heading8Char"/>
    <w:qFormat/>
    <w:rsid w:val="00E43F68"/>
    <w:pPr>
      <w:keepNext/>
      <w:tabs>
        <w:tab w:val="left" w:pos="-720"/>
      </w:tabs>
      <w:suppressAutoHyphens/>
      <w:jc w:val="center"/>
      <w:outlineLvl w:val="7"/>
    </w:pPr>
    <w:rPr>
      <w:rFonts w:cs="Times New Roman"/>
      <w:b/>
      <w:sz w:val="24"/>
      <w:szCs w:val="20"/>
      <w:lang w:eastAsia="en-GB"/>
    </w:rPr>
  </w:style>
  <w:style w:type="paragraph" w:styleId="Heading9">
    <w:name w:val="heading 9"/>
    <w:basedOn w:val="Normal"/>
    <w:next w:val="Normal"/>
    <w:link w:val="Heading9Char"/>
    <w:qFormat/>
    <w:rsid w:val="00E43F68"/>
    <w:pPr>
      <w:keepNext/>
      <w:numPr>
        <w:numId w:val="6"/>
      </w:numPr>
      <w:tabs>
        <w:tab w:val="left" w:pos="-720"/>
      </w:tabs>
      <w:suppressAutoHyphens/>
      <w:outlineLvl w:val="8"/>
    </w:pPr>
    <w:rPr>
      <w:rFonts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PlainText">
    <w:name w:val="Plain Text"/>
    <w:basedOn w:val="Normal"/>
    <w:rPr>
      <w:rFonts w:ascii="Courier New" w:hAnsi="Courier New" w:cs="Courier New"/>
      <w:sz w:val="20"/>
      <w:szCs w:val="20"/>
    </w:rPr>
  </w:style>
  <w:style w:type="paragraph" w:styleId="BodyTextIndent2">
    <w:name w:val="Body Text Indent 2"/>
    <w:basedOn w:val="Normal"/>
    <w:link w:val="BodyTextIndent2Char"/>
    <w:rsid w:val="00804FFC"/>
    <w:pPr>
      <w:ind w:left="720"/>
      <w:jc w:val="both"/>
    </w:pPr>
  </w:style>
  <w:style w:type="paragraph" w:styleId="BodyText">
    <w:name w:val="Body Text"/>
    <w:basedOn w:val="Normal"/>
    <w:rsid w:val="00804FFC"/>
    <w:pPr>
      <w:spacing w:after="120"/>
    </w:pPr>
  </w:style>
  <w:style w:type="paragraph" w:styleId="BodyTextIndent">
    <w:name w:val="Body Text Indent"/>
    <w:basedOn w:val="Normal"/>
    <w:link w:val="BodyTextIndentChar"/>
    <w:rsid w:val="00804FFC"/>
    <w:pPr>
      <w:spacing w:after="120"/>
      <w:ind w:left="283"/>
    </w:pPr>
  </w:style>
  <w:style w:type="paragraph" w:styleId="BodyTextIndent3">
    <w:name w:val="Body Text Indent 3"/>
    <w:basedOn w:val="Normal"/>
    <w:rsid w:val="00804FFC"/>
    <w:pPr>
      <w:spacing w:after="120"/>
      <w:ind w:left="283"/>
    </w:pPr>
    <w:rPr>
      <w:sz w:val="16"/>
      <w:szCs w:val="16"/>
    </w:rPr>
  </w:style>
  <w:style w:type="paragraph" w:customStyle="1" w:styleId="Style1">
    <w:name w:val="Style1"/>
    <w:basedOn w:val="Normal"/>
    <w:rsid w:val="00804FFC"/>
    <w:pPr>
      <w:spacing w:line="280" w:lineRule="atLeast"/>
      <w:jc w:val="both"/>
    </w:pPr>
    <w:rPr>
      <w:rFonts w:ascii="Times New Roman" w:hAnsi="Times New Roman" w:cs="Times New Roman"/>
      <w:kern w:val="28"/>
    </w:rPr>
  </w:style>
  <w:style w:type="table" w:styleId="TableGrid">
    <w:name w:val="Table Grid"/>
    <w:basedOn w:val="TableNormal"/>
    <w:uiPriority w:val="39"/>
    <w:rsid w:val="0080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3576"/>
    <w:rPr>
      <w:rFonts w:ascii="Tahoma" w:hAnsi="Tahoma"/>
      <w:sz w:val="16"/>
      <w:szCs w:val="16"/>
    </w:rPr>
  </w:style>
  <w:style w:type="character" w:styleId="Hyperlink">
    <w:name w:val="Hyperlink"/>
    <w:uiPriority w:val="99"/>
    <w:rsid w:val="00A43D95"/>
    <w:rPr>
      <w:color w:val="0000FF"/>
      <w:u w:val="single"/>
    </w:rPr>
  </w:style>
  <w:style w:type="paragraph" w:styleId="Title">
    <w:name w:val="Title"/>
    <w:basedOn w:val="Normal"/>
    <w:qFormat/>
    <w:rsid w:val="008809A7"/>
    <w:pPr>
      <w:tabs>
        <w:tab w:val="center" w:pos="4693"/>
      </w:tabs>
      <w:suppressAutoHyphens/>
      <w:jc w:val="center"/>
    </w:pPr>
    <w:rPr>
      <w:rFonts w:ascii="Times New Roman" w:hAnsi="Times New Roman" w:cs="Times New Roman"/>
      <w:b/>
      <w:spacing w:val="-2"/>
      <w:sz w:val="36"/>
      <w:szCs w:val="20"/>
      <w:u w:val="single"/>
      <w:lang w:eastAsia="en-GB"/>
    </w:rPr>
  </w:style>
  <w:style w:type="paragraph" w:customStyle="1" w:styleId="CharChar">
    <w:name w:val="Char Char"/>
    <w:basedOn w:val="Normal"/>
    <w:rsid w:val="006F29B0"/>
    <w:pPr>
      <w:spacing w:after="160" w:line="240" w:lineRule="exact"/>
    </w:pPr>
    <w:rPr>
      <w:rFonts w:ascii="Verdana" w:hAnsi="Verdana" w:cs="Times New Roman"/>
      <w:sz w:val="20"/>
      <w:szCs w:val="20"/>
      <w:lang w:val="en-US"/>
    </w:rPr>
  </w:style>
  <w:style w:type="paragraph" w:styleId="ListParagraph">
    <w:name w:val="List Paragraph"/>
    <w:basedOn w:val="Normal"/>
    <w:uiPriority w:val="34"/>
    <w:qFormat/>
    <w:rsid w:val="00AF3D09"/>
    <w:pPr>
      <w:ind w:left="720"/>
    </w:pPr>
  </w:style>
  <w:style w:type="paragraph" w:styleId="NoSpacing">
    <w:name w:val="No Spacing"/>
    <w:uiPriority w:val="1"/>
    <w:qFormat/>
    <w:rsid w:val="00AF3D09"/>
    <w:rPr>
      <w:rFonts w:ascii="Calibri" w:eastAsia="Calibri" w:hAnsi="Calibri"/>
      <w:sz w:val="22"/>
      <w:szCs w:val="22"/>
      <w:lang w:eastAsia="en-US"/>
    </w:rPr>
  </w:style>
  <w:style w:type="character" w:customStyle="1" w:styleId="HeaderChar">
    <w:name w:val="Header Char"/>
    <w:link w:val="Header"/>
    <w:uiPriority w:val="99"/>
    <w:rsid w:val="006A7CC6"/>
    <w:rPr>
      <w:rFonts w:ascii="Arial" w:hAnsi="Arial" w:cs="Arial"/>
      <w:sz w:val="22"/>
      <w:szCs w:val="22"/>
      <w:lang w:eastAsia="en-US"/>
    </w:rPr>
  </w:style>
  <w:style w:type="character" w:customStyle="1" w:styleId="FooterChar">
    <w:name w:val="Footer Char"/>
    <w:link w:val="Footer"/>
    <w:uiPriority w:val="99"/>
    <w:rsid w:val="006A7CC6"/>
    <w:rPr>
      <w:rFonts w:ascii="Arial" w:hAnsi="Arial" w:cs="Arial"/>
      <w:sz w:val="22"/>
      <w:szCs w:val="22"/>
      <w:lang w:eastAsia="en-US"/>
    </w:rPr>
  </w:style>
  <w:style w:type="character" w:customStyle="1" w:styleId="Heading4Char">
    <w:name w:val="Heading 4 Char"/>
    <w:link w:val="Heading4"/>
    <w:rsid w:val="00E43F68"/>
    <w:rPr>
      <w:rFonts w:ascii="Arial" w:hAnsi="Arial"/>
      <w:b/>
      <w:snapToGrid w:val="0"/>
      <w:color w:val="000000"/>
      <w:u w:val="single"/>
      <w:lang w:eastAsia="en-US"/>
    </w:rPr>
  </w:style>
  <w:style w:type="character" w:customStyle="1" w:styleId="Heading6Char">
    <w:name w:val="Heading 6 Char"/>
    <w:link w:val="Heading6"/>
    <w:rsid w:val="00E43F68"/>
    <w:rPr>
      <w:sz w:val="24"/>
    </w:rPr>
  </w:style>
  <w:style w:type="character" w:customStyle="1" w:styleId="Heading8Char">
    <w:name w:val="Heading 8 Char"/>
    <w:link w:val="Heading8"/>
    <w:rsid w:val="00E43F68"/>
    <w:rPr>
      <w:rFonts w:ascii="Arial" w:hAnsi="Arial"/>
      <w:b/>
      <w:sz w:val="24"/>
    </w:rPr>
  </w:style>
  <w:style w:type="character" w:customStyle="1" w:styleId="Heading9Char">
    <w:name w:val="Heading 9 Char"/>
    <w:link w:val="Heading9"/>
    <w:rsid w:val="00E43F68"/>
    <w:rPr>
      <w:rFonts w:ascii="Arial" w:hAnsi="Arial"/>
      <w:b/>
      <w:sz w:val="24"/>
    </w:rPr>
  </w:style>
  <w:style w:type="paragraph" w:customStyle="1" w:styleId="CharChar0">
    <w:name w:val="Char Char"/>
    <w:basedOn w:val="Normal"/>
    <w:rsid w:val="00E43F68"/>
    <w:pPr>
      <w:spacing w:after="160" w:line="240" w:lineRule="exact"/>
    </w:pPr>
    <w:rPr>
      <w:rFonts w:ascii="Verdana" w:hAnsi="Verdana" w:cs="Times New Roman"/>
      <w:sz w:val="20"/>
      <w:szCs w:val="20"/>
      <w:lang w:val="en-US"/>
    </w:rPr>
  </w:style>
  <w:style w:type="character" w:styleId="CommentReference">
    <w:name w:val="annotation reference"/>
    <w:rsid w:val="00E43F68"/>
    <w:rPr>
      <w:sz w:val="16"/>
      <w:szCs w:val="16"/>
    </w:rPr>
  </w:style>
  <w:style w:type="paragraph" w:styleId="CommentText">
    <w:name w:val="annotation text"/>
    <w:basedOn w:val="Normal"/>
    <w:link w:val="CommentTextChar"/>
    <w:rsid w:val="00E43F68"/>
    <w:rPr>
      <w:sz w:val="20"/>
      <w:szCs w:val="20"/>
    </w:rPr>
  </w:style>
  <w:style w:type="character" w:customStyle="1" w:styleId="CommentTextChar">
    <w:name w:val="Comment Text Char"/>
    <w:link w:val="CommentText"/>
    <w:rsid w:val="00E43F68"/>
    <w:rPr>
      <w:rFonts w:ascii="Arial" w:hAnsi="Arial" w:cs="Arial"/>
      <w:lang w:eastAsia="en-US"/>
    </w:rPr>
  </w:style>
  <w:style w:type="paragraph" w:styleId="CommentSubject">
    <w:name w:val="annotation subject"/>
    <w:basedOn w:val="CommentText"/>
    <w:next w:val="CommentText"/>
    <w:link w:val="CommentSubjectChar"/>
    <w:rsid w:val="00E43F68"/>
    <w:rPr>
      <w:b/>
      <w:bCs/>
    </w:rPr>
  </w:style>
  <w:style w:type="character" w:customStyle="1" w:styleId="CommentSubjectChar">
    <w:name w:val="Comment Subject Char"/>
    <w:link w:val="CommentSubject"/>
    <w:rsid w:val="00E43F68"/>
    <w:rPr>
      <w:rFonts w:ascii="Arial" w:hAnsi="Arial" w:cs="Arial"/>
      <w:b/>
      <w:bCs/>
      <w:lang w:eastAsia="en-US"/>
    </w:rPr>
  </w:style>
  <w:style w:type="paragraph" w:styleId="TOC6">
    <w:name w:val="toc 6"/>
    <w:basedOn w:val="Normal"/>
    <w:next w:val="Normal"/>
    <w:autoRedefine/>
    <w:rsid w:val="00E43F68"/>
    <w:pPr>
      <w:tabs>
        <w:tab w:val="right" w:pos="9360"/>
      </w:tabs>
      <w:suppressAutoHyphens/>
      <w:ind w:left="720" w:hanging="720"/>
    </w:pPr>
    <w:rPr>
      <w:rFonts w:ascii="Swiss" w:hAnsi="Swiss" w:cs="Times New Roman"/>
      <w:sz w:val="24"/>
      <w:szCs w:val="20"/>
      <w:lang w:val="en-US" w:eastAsia="en-GB"/>
    </w:rPr>
  </w:style>
  <w:style w:type="paragraph" w:styleId="Caption">
    <w:name w:val="caption"/>
    <w:basedOn w:val="Normal"/>
    <w:next w:val="Normal"/>
    <w:qFormat/>
    <w:rsid w:val="00E43F68"/>
    <w:pPr>
      <w:tabs>
        <w:tab w:val="left" w:pos="-720"/>
        <w:tab w:val="num" w:pos="1429"/>
      </w:tabs>
      <w:suppressAutoHyphens/>
      <w:jc w:val="right"/>
    </w:pPr>
    <w:rPr>
      <w:rFonts w:cs="Times New Roman"/>
      <w:b/>
      <w:szCs w:val="20"/>
      <w:lang w:eastAsia="en-GB"/>
    </w:rPr>
  </w:style>
  <w:style w:type="character" w:customStyle="1" w:styleId="EquationCaption">
    <w:name w:val="_Equation Caption"/>
    <w:rsid w:val="00E43F68"/>
  </w:style>
  <w:style w:type="paragraph" w:styleId="BodyText2">
    <w:name w:val="Body Text 2"/>
    <w:basedOn w:val="Normal"/>
    <w:link w:val="BodyText2Char"/>
    <w:rsid w:val="00E43F68"/>
    <w:pPr>
      <w:jc w:val="both"/>
    </w:pPr>
    <w:rPr>
      <w:rFonts w:cs="Times New Roman"/>
      <w:szCs w:val="20"/>
      <w:lang w:eastAsia="en-GB"/>
    </w:rPr>
  </w:style>
  <w:style w:type="character" w:customStyle="1" w:styleId="BodyText2Char">
    <w:name w:val="Body Text 2 Char"/>
    <w:link w:val="BodyText2"/>
    <w:rsid w:val="00E43F68"/>
    <w:rPr>
      <w:rFonts w:ascii="Arial" w:hAnsi="Arial"/>
      <w:sz w:val="22"/>
    </w:rPr>
  </w:style>
  <w:style w:type="paragraph" w:styleId="ListBullet">
    <w:name w:val="List Bullet"/>
    <w:basedOn w:val="Normal"/>
    <w:autoRedefine/>
    <w:rsid w:val="00E43F68"/>
    <w:pPr>
      <w:numPr>
        <w:numId w:val="2"/>
      </w:numPr>
      <w:spacing w:after="240" w:line="240" w:lineRule="atLeast"/>
    </w:pPr>
    <w:rPr>
      <w:rFonts w:ascii="Times New Roman" w:hAnsi="Times New Roman" w:cs="Times New Roman"/>
      <w:sz w:val="24"/>
      <w:szCs w:val="20"/>
      <w:lang w:eastAsia="en-GB"/>
    </w:rPr>
  </w:style>
  <w:style w:type="paragraph" w:styleId="ListBullet2">
    <w:name w:val="List Bullet 2"/>
    <w:basedOn w:val="Normal"/>
    <w:autoRedefine/>
    <w:rsid w:val="00E43F68"/>
    <w:pPr>
      <w:numPr>
        <w:ilvl w:val="1"/>
        <w:numId w:val="2"/>
      </w:numPr>
      <w:spacing w:after="240" w:line="240" w:lineRule="atLeast"/>
    </w:pPr>
    <w:rPr>
      <w:rFonts w:ascii="Times New Roman" w:hAnsi="Times New Roman" w:cs="Times New Roman"/>
      <w:sz w:val="24"/>
      <w:szCs w:val="20"/>
      <w:lang w:eastAsia="en-GB"/>
    </w:rPr>
  </w:style>
  <w:style w:type="paragraph" w:styleId="ListNumber">
    <w:name w:val="List Number"/>
    <w:basedOn w:val="Normal"/>
    <w:rsid w:val="00E43F68"/>
    <w:pPr>
      <w:spacing w:after="240" w:line="240" w:lineRule="atLeast"/>
      <w:ind w:left="360" w:hanging="360"/>
    </w:pPr>
    <w:rPr>
      <w:rFonts w:ascii="Times New Roman" w:hAnsi="Times New Roman" w:cs="Times New Roman"/>
      <w:sz w:val="24"/>
      <w:szCs w:val="20"/>
      <w:lang w:eastAsia="en-GB"/>
    </w:rPr>
  </w:style>
  <w:style w:type="paragraph" w:styleId="ListNumber2">
    <w:name w:val="List Number 2"/>
    <w:basedOn w:val="Normal"/>
    <w:rsid w:val="00E43F68"/>
    <w:pPr>
      <w:spacing w:after="240" w:line="240" w:lineRule="atLeast"/>
      <w:ind w:left="360" w:hanging="360"/>
    </w:pPr>
    <w:rPr>
      <w:rFonts w:ascii="Times New Roman" w:hAnsi="Times New Roman" w:cs="Times New Roman"/>
      <w:sz w:val="24"/>
      <w:szCs w:val="20"/>
      <w:lang w:eastAsia="en-GB"/>
    </w:rPr>
  </w:style>
  <w:style w:type="paragraph" w:styleId="ListNumber3">
    <w:name w:val="List Number 3"/>
    <w:basedOn w:val="Normal"/>
    <w:rsid w:val="00E43F68"/>
    <w:pPr>
      <w:numPr>
        <w:ilvl w:val="2"/>
        <w:numId w:val="2"/>
      </w:numPr>
      <w:spacing w:after="240" w:line="240" w:lineRule="atLeast"/>
    </w:pPr>
    <w:rPr>
      <w:rFonts w:ascii="Times New Roman" w:hAnsi="Times New Roman" w:cs="Times New Roman"/>
      <w:sz w:val="24"/>
      <w:szCs w:val="20"/>
      <w:lang w:eastAsia="en-GB"/>
    </w:rPr>
  </w:style>
  <w:style w:type="paragraph" w:styleId="ListNumber4">
    <w:name w:val="List Number 4"/>
    <w:basedOn w:val="Normal"/>
    <w:rsid w:val="00E43F68"/>
    <w:pPr>
      <w:numPr>
        <w:ilvl w:val="3"/>
        <w:numId w:val="2"/>
      </w:numPr>
      <w:spacing w:after="240" w:line="240" w:lineRule="atLeast"/>
    </w:pPr>
    <w:rPr>
      <w:rFonts w:ascii="Times New Roman" w:hAnsi="Times New Roman" w:cs="Times New Roman"/>
      <w:sz w:val="24"/>
      <w:szCs w:val="20"/>
      <w:lang w:eastAsia="en-GB"/>
    </w:rPr>
  </w:style>
  <w:style w:type="paragraph" w:styleId="ListNumber5">
    <w:name w:val="List Number 5"/>
    <w:basedOn w:val="Normal"/>
    <w:rsid w:val="00E43F68"/>
    <w:pPr>
      <w:numPr>
        <w:ilvl w:val="4"/>
        <w:numId w:val="2"/>
      </w:numPr>
      <w:spacing w:after="240" w:line="240" w:lineRule="atLeast"/>
    </w:pPr>
    <w:rPr>
      <w:rFonts w:ascii="Times New Roman" w:hAnsi="Times New Roman" w:cs="Times New Roman"/>
      <w:sz w:val="24"/>
      <w:szCs w:val="20"/>
      <w:lang w:eastAsia="en-GB"/>
    </w:rPr>
  </w:style>
  <w:style w:type="paragraph" w:customStyle="1" w:styleId="TableBullet">
    <w:name w:val="Table Bullet"/>
    <w:basedOn w:val="TableText"/>
    <w:rsid w:val="00E43F68"/>
    <w:pPr>
      <w:ind w:left="360" w:hanging="360"/>
    </w:pPr>
  </w:style>
  <w:style w:type="paragraph" w:customStyle="1" w:styleId="TableText">
    <w:name w:val="Table Text"/>
    <w:basedOn w:val="Normal"/>
    <w:rsid w:val="00E43F68"/>
    <w:pPr>
      <w:spacing w:before="120" w:after="170" w:line="260" w:lineRule="atLeast"/>
    </w:pPr>
    <w:rPr>
      <w:rFonts w:ascii="Times New Roman" w:hAnsi="Times New Roman" w:cs="Times New Roman"/>
      <w:sz w:val="24"/>
      <w:szCs w:val="20"/>
      <w:lang w:eastAsia="en-GB"/>
    </w:rPr>
  </w:style>
  <w:style w:type="paragraph" w:customStyle="1" w:styleId="TableListNumber">
    <w:name w:val="Table List Number"/>
    <w:basedOn w:val="TableText"/>
    <w:rsid w:val="00E43F68"/>
    <w:pPr>
      <w:tabs>
        <w:tab w:val="left" w:pos="298"/>
      </w:tabs>
      <w:ind w:left="360" w:hanging="360"/>
    </w:pPr>
  </w:style>
  <w:style w:type="paragraph" w:customStyle="1" w:styleId="ListNumber6">
    <w:name w:val="List Number 6"/>
    <w:basedOn w:val="Normal"/>
    <w:rsid w:val="00E43F68"/>
    <w:pPr>
      <w:numPr>
        <w:ilvl w:val="6"/>
        <w:numId w:val="3"/>
      </w:numPr>
      <w:tabs>
        <w:tab w:val="num" w:pos="360"/>
      </w:tabs>
      <w:spacing w:after="240" w:line="240" w:lineRule="atLeast"/>
      <w:ind w:left="0" w:firstLine="0"/>
    </w:pPr>
    <w:rPr>
      <w:rFonts w:ascii="Times New Roman" w:hAnsi="Times New Roman" w:cs="Times New Roman"/>
      <w:sz w:val="24"/>
      <w:szCs w:val="20"/>
      <w:lang w:eastAsia="en-GB"/>
    </w:rPr>
  </w:style>
  <w:style w:type="paragraph" w:customStyle="1" w:styleId="ListNumber7">
    <w:name w:val="List Number 7"/>
    <w:basedOn w:val="Normal"/>
    <w:rsid w:val="00E43F68"/>
    <w:pPr>
      <w:numPr>
        <w:ilvl w:val="7"/>
        <w:numId w:val="3"/>
      </w:numPr>
      <w:tabs>
        <w:tab w:val="num" w:pos="360"/>
      </w:tabs>
      <w:spacing w:after="240" w:line="240" w:lineRule="atLeast"/>
      <w:ind w:left="0" w:firstLine="0"/>
    </w:pPr>
    <w:rPr>
      <w:rFonts w:ascii="Times New Roman" w:hAnsi="Times New Roman" w:cs="Times New Roman"/>
      <w:sz w:val="24"/>
      <w:szCs w:val="20"/>
      <w:lang w:eastAsia="en-GB"/>
    </w:rPr>
  </w:style>
  <w:style w:type="paragraph" w:customStyle="1" w:styleId="ListNumber8">
    <w:name w:val="List Number 8"/>
    <w:basedOn w:val="Normal"/>
    <w:rsid w:val="00E43F68"/>
    <w:pPr>
      <w:numPr>
        <w:ilvl w:val="8"/>
        <w:numId w:val="3"/>
      </w:numPr>
      <w:tabs>
        <w:tab w:val="num" w:pos="360"/>
      </w:tabs>
      <w:spacing w:after="240" w:line="240" w:lineRule="atLeast"/>
      <w:ind w:left="0" w:firstLine="0"/>
    </w:pPr>
    <w:rPr>
      <w:rFonts w:ascii="Times New Roman" w:hAnsi="Times New Roman" w:cs="Times New Roman"/>
      <w:sz w:val="24"/>
      <w:szCs w:val="20"/>
      <w:lang w:eastAsia="en-GB"/>
    </w:rPr>
  </w:style>
  <w:style w:type="paragraph" w:customStyle="1" w:styleId="Bullet">
    <w:name w:val="Bullet"/>
    <w:basedOn w:val="Normal"/>
    <w:rsid w:val="00E43F68"/>
    <w:pPr>
      <w:numPr>
        <w:numId w:val="4"/>
      </w:numPr>
    </w:pPr>
    <w:rPr>
      <w:rFonts w:ascii="Times New Roman" w:hAnsi="Times New Roman" w:cs="Times New Roman"/>
      <w:sz w:val="24"/>
      <w:szCs w:val="20"/>
      <w:lang w:eastAsia="en-GB"/>
    </w:rPr>
  </w:style>
  <w:style w:type="paragraph" w:customStyle="1" w:styleId="Level1">
    <w:name w:val="Level 1"/>
    <w:basedOn w:val="BodyText"/>
    <w:rsid w:val="00E43F68"/>
    <w:pPr>
      <w:spacing w:after="240" w:line="240" w:lineRule="atLeast"/>
      <w:ind w:left="360" w:hanging="360"/>
    </w:pPr>
    <w:rPr>
      <w:rFonts w:ascii="Times New Roman" w:hAnsi="Times New Roman" w:cs="Times New Roman"/>
      <w:sz w:val="24"/>
      <w:szCs w:val="20"/>
      <w:lang w:eastAsia="en-GB"/>
    </w:rPr>
  </w:style>
  <w:style w:type="paragraph" w:styleId="Closing">
    <w:name w:val="Closing"/>
    <w:basedOn w:val="Normal"/>
    <w:link w:val="ClosingChar"/>
    <w:rsid w:val="00E43F68"/>
    <w:pPr>
      <w:numPr>
        <w:numId w:val="7"/>
      </w:numPr>
      <w:tabs>
        <w:tab w:val="clear" w:pos="425"/>
      </w:tabs>
      <w:spacing w:after="240" w:line="240" w:lineRule="atLeast"/>
      <w:ind w:left="0" w:firstLine="0"/>
    </w:pPr>
    <w:rPr>
      <w:rFonts w:ascii="Times New Roman" w:hAnsi="Times New Roman" w:cs="Times New Roman"/>
      <w:sz w:val="24"/>
      <w:szCs w:val="20"/>
      <w:lang w:eastAsia="en-GB"/>
    </w:rPr>
  </w:style>
  <w:style w:type="character" w:customStyle="1" w:styleId="ClosingChar">
    <w:name w:val="Closing Char"/>
    <w:link w:val="Closing"/>
    <w:rsid w:val="00E43F68"/>
    <w:rPr>
      <w:sz w:val="24"/>
    </w:rPr>
  </w:style>
  <w:style w:type="paragraph" w:customStyle="1" w:styleId="Outline">
    <w:name w:val="Outline"/>
    <w:basedOn w:val="Normal"/>
    <w:rsid w:val="00E43F68"/>
    <w:pPr>
      <w:numPr>
        <w:ilvl w:val="1"/>
        <w:numId w:val="7"/>
      </w:numPr>
      <w:tabs>
        <w:tab w:val="clear" w:pos="851"/>
        <w:tab w:val="right" w:pos="8789"/>
      </w:tabs>
      <w:spacing w:after="240" w:line="240" w:lineRule="atLeast"/>
      <w:ind w:left="0" w:firstLine="0"/>
    </w:pPr>
    <w:rPr>
      <w:rFonts w:cs="Times New Roman"/>
      <w:b/>
      <w:sz w:val="20"/>
      <w:szCs w:val="20"/>
      <w:lang w:eastAsia="en-GB"/>
    </w:rPr>
  </w:style>
  <w:style w:type="character" w:customStyle="1" w:styleId="a1BOLD10">
    <w:name w:val="a1 BOLD 10"/>
    <w:rsid w:val="00E43F68"/>
    <w:rPr>
      <w:rFonts w:ascii="Century Gothic" w:hAnsi="Century Gothic"/>
      <w:b/>
      <w:noProof w:val="0"/>
      <w:sz w:val="20"/>
      <w:lang w:val="en-US"/>
    </w:rPr>
  </w:style>
  <w:style w:type="character" w:styleId="PageNumber">
    <w:name w:val="page number"/>
    <w:rsid w:val="00E43F68"/>
  </w:style>
  <w:style w:type="paragraph" w:customStyle="1" w:styleId="Address">
    <w:name w:val="Address"/>
    <w:basedOn w:val="Normal"/>
    <w:rsid w:val="00E43F68"/>
    <w:pPr>
      <w:framePr w:w="3005" w:hSpace="181" w:vSpace="181" w:wrap="around" w:hAnchor="page" w:xAlign="right" w:yAlign="top" w:anchorLock="1"/>
      <w:numPr>
        <w:ilvl w:val="2"/>
        <w:numId w:val="8"/>
      </w:numPr>
      <w:pBdr>
        <w:left w:val="single" w:sz="4" w:space="9" w:color="auto"/>
      </w:pBdr>
      <w:tabs>
        <w:tab w:val="clear" w:pos="1786"/>
      </w:tabs>
      <w:spacing w:line="200" w:lineRule="exact"/>
      <w:ind w:left="0" w:firstLine="0"/>
    </w:pPr>
    <w:rPr>
      <w:rFonts w:ascii="Times New Roman" w:hAnsi="Times New Roman" w:cs="Times New Roman"/>
      <w:sz w:val="16"/>
      <w:szCs w:val="20"/>
      <w:lang w:eastAsia="en-GB"/>
    </w:rPr>
  </w:style>
  <w:style w:type="paragraph" w:customStyle="1" w:styleId="tab">
    <w:name w:val="tab"/>
    <w:basedOn w:val="Normal"/>
    <w:rsid w:val="00E43F68"/>
    <w:pPr>
      <w:numPr>
        <w:ilvl w:val="3"/>
        <w:numId w:val="8"/>
      </w:numPr>
      <w:tabs>
        <w:tab w:val="clear" w:pos="2381"/>
        <w:tab w:val="num" w:pos="720"/>
      </w:tabs>
      <w:spacing w:line="260" w:lineRule="atLeast"/>
      <w:ind w:left="720" w:hanging="360"/>
    </w:pPr>
    <w:rPr>
      <w:rFonts w:ascii="Times New Roman" w:hAnsi="Times New Roman" w:cs="Times New Roman"/>
      <w:sz w:val="20"/>
      <w:szCs w:val="20"/>
      <w:lang w:eastAsia="en-GB"/>
    </w:rPr>
  </w:style>
  <w:style w:type="paragraph" w:styleId="BodyText3">
    <w:name w:val="Body Text 3"/>
    <w:basedOn w:val="Normal"/>
    <w:link w:val="BodyText3Char"/>
    <w:rsid w:val="00E43F68"/>
    <w:pPr>
      <w:numPr>
        <w:ilvl w:val="4"/>
        <w:numId w:val="8"/>
      </w:numPr>
      <w:tabs>
        <w:tab w:val="clear" w:pos="2976"/>
      </w:tabs>
      <w:spacing w:after="220" w:line="220" w:lineRule="atLeast"/>
      <w:ind w:left="0" w:firstLine="0"/>
    </w:pPr>
    <w:rPr>
      <w:rFonts w:ascii="Times New Roman" w:hAnsi="Times New Roman" w:cs="Times New Roman"/>
      <w:sz w:val="16"/>
      <w:szCs w:val="20"/>
      <w:lang w:eastAsia="en-GB"/>
    </w:rPr>
  </w:style>
  <w:style w:type="character" w:customStyle="1" w:styleId="BodyText3Char">
    <w:name w:val="Body Text 3 Char"/>
    <w:link w:val="BodyText3"/>
    <w:rsid w:val="00E43F68"/>
    <w:rPr>
      <w:sz w:val="16"/>
    </w:rPr>
  </w:style>
  <w:style w:type="paragraph" w:customStyle="1" w:styleId="TableColumnHeader">
    <w:name w:val="Table Column Header"/>
    <w:basedOn w:val="TableText"/>
    <w:rsid w:val="00E43F68"/>
    <w:pPr>
      <w:numPr>
        <w:numId w:val="9"/>
      </w:numPr>
      <w:tabs>
        <w:tab w:val="clear" w:pos="298"/>
      </w:tabs>
      <w:ind w:left="0" w:firstLine="0"/>
    </w:pPr>
    <w:rPr>
      <w:b/>
    </w:rPr>
  </w:style>
  <w:style w:type="character" w:customStyle="1" w:styleId="threece1">
    <w:name w:val="threece1"/>
    <w:rsid w:val="00E43F68"/>
    <w:rPr>
      <w:rFonts w:ascii="Arial" w:hAnsi="Arial" w:cs="Arial" w:hint="default"/>
      <w:sz w:val="24"/>
      <w:szCs w:val="24"/>
    </w:rPr>
  </w:style>
  <w:style w:type="paragraph" w:customStyle="1" w:styleId="head1">
    <w:name w:val="head1"/>
    <w:basedOn w:val="Heading1"/>
    <w:next w:val="Normal"/>
    <w:rsid w:val="00E43F68"/>
    <w:pPr>
      <w:spacing w:after="240"/>
      <w:outlineLvl w:val="9"/>
    </w:pPr>
    <w:rPr>
      <w:rFonts w:ascii="Helvetica Bold" w:hAnsi="Helvetica Bold" w:cs="Times New Roman"/>
      <w:bCs w:val="0"/>
      <w:caps/>
      <w:kern w:val="28"/>
      <w:sz w:val="24"/>
      <w:szCs w:val="20"/>
      <w:u w:val="single"/>
      <w:lang w:eastAsia="en-GB"/>
    </w:rPr>
  </w:style>
  <w:style w:type="paragraph" w:customStyle="1" w:styleId="head2">
    <w:name w:val="head2"/>
    <w:basedOn w:val="head1"/>
    <w:next w:val="Normal"/>
    <w:rsid w:val="00E43F68"/>
    <w:pPr>
      <w:ind w:left="283" w:hanging="283"/>
    </w:pPr>
  </w:style>
  <w:style w:type="character" w:styleId="FollowedHyperlink">
    <w:name w:val="FollowedHyperlink"/>
    <w:uiPriority w:val="99"/>
    <w:rsid w:val="00E43F68"/>
    <w:rPr>
      <w:color w:val="800080"/>
      <w:u w:val="single"/>
    </w:rPr>
  </w:style>
  <w:style w:type="paragraph" w:customStyle="1" w:styleId="font5">
    <w:name w:val="font5"/>
    <w:basedOn w:val="Normal"/>
    <w:rsid w:val="00E43F68"/>
    <w:pPr>
      <w:spacing w:before="100" w:beforeAutospacing="1" w:after="100" w:afterAutospacing="1"/>
    </w:pPr>
    <w:rPr>
      <w:rFonts w:ascii="Tahoma" w:hAnsi="Tahoma" w:cs="Tahoma"/>
      <w:b/>
      <w:bCs/>
      <w:color w:val="000000"/>
      <w:sz w:val="16"/>
      <w:szCs w:val="16"/>
      <w:lang w:eastAsia="en-GB"/>
    </w:rPr>
  </w:style>
  <w:style w:type="paragraph" w:customStyle="1" w:styleId="font6">
    <w:name w:val="font6"/>
    <w:basedOn w:val="Normal"/>
    <w:rsid w:val="00E43F68"/>
    <w:pPr>
      <w:spacing w:before="100" w:beforeAutospacing="1" w:after="100" w:afterAutospacing="1"/>
    </w:pPr>
    <w:rPr>
      <w:rFonts w:ascii="Tahoma" w:hAnsi="Tahoma" w:cs="Tahoma"/>
      <w:color w:val="000000"/>
      <w:sz w:val="16"/>
      <w:szCs w:val="16"/>
      <w:lang w:eastAsia="en-GB"/>
    </w:rPr>
  </w:style>
  <w:style w:type="paragraph" w:customStyle="1" w:styleId="xl22">
    <w:name w:val="xl22"/>
    <w:basedOn w:val="Normal"/>
    <w:rsid w:val="00E43F68"/>
    <w:pPr>
      <w:spacing w:before="100" w:beforeAutospacing="1" w:after="100" w:afterAutospacing="1"/>
    </w:pPr>
    <w:rPr>
      <w:b/>
      <w:bCs/>
      <w:sz w:val="24"/>
      <w:szCs w:val="24"/>
      <w:lang w:eastAsia="en-GB"/>
    </w:rPr>
  </w:style>
  <w:style w:type="paragraph" w:customStyle="1" w:styleId="xl23">
    <w:name w:val="xl23"/>
    <w:basedOn w:val="Normal"/>
    <w:rsid w:val="00E43F68"/>
    <w:pPr>
      <w:spacing w:before="100" w:beforeAutospacing="1" w:after="100" w:afterAutospacing="1"/>
    </w:pPr>
    <w:rPr>
      <w:b/>
      <w:bCs/>
      <w:sz w:val="24"/>
      <w:szCs w:val="24"/>
      <w:lang w:eastAsia="en-GB"/>
    </w:rPr>
  </w:style>
  <w:style w:type="paragraph" w:customStyle="1" w:styleId="xl25">
    <w:name w:val="xl25"/>
    <w:basedOn w:val="Normal"/>
    <w:rsid w:val="00E43F68"/>
    <w:pPr>
      <w:spacing w:before="100" w:beforeAutospacing="1" w:after="100" w:afterAutospacing="1"/>
    </w:pPr>
    <w:rPr>
      <w:rFonts w:ascii="Times New Roman" w:hAnsi="Times New Roman" w:cs="Times New Roman"/>
      <w:sz w:val="24"/>
      <w:szCs w:val="24"/>
      <w:lang w:eastAsia="en-GB"/>
    </w:rPr>
  </w:style>
  <w:style w:type="paragraph" w:customStyle="1" w:styleId="xl26">
    <w:name w:val="xl26"/>
    <w:basedOn w:val="Normal"/>
    <w:rsid w:val="00E43F68"/>
    <w:pPr>
      <w:spacing w:before="100" w:beforeAutospacing="1" w:after="100" w:afterAutospacing="1"/>
    </w:pPr>
    <w:rPr>
      <w:sz w:val="24"/>
      <w:szCs w:val="24"/>
      <w:lang w:eastAsia="en-GB"/>
    </w:rPr>
  </w:style>
  <w:style w:type="paragraph" w:customStyle="1" w:styleId="xl27">
    <w:name w:val="xl27"/>
    <w:basedOn w:val="Normal"/>
    <w:rsid w:val="00E43F68"/>
    <w:pPr>
      <w:spacing w:before="100" w:beforeAutospacing="1" w:after="100" w:afterAutospacing="1"/>
    </w:pPr>
    <w:rPr>
      <w:sz w:val="24"/>
      <w:szCs w:val="24"/>
      <w:lang w:eastAsia="en-GB"/>
    </w:rPr>
  </w:style>
  <w:style w:type="paragraph" w:customStyle="1" w:styleId="xl28">
    <w:name w:val="xl28"/>
    <w:basedOn w:val="Normal"/>
    <w:rsid w:val="00E43F68"/>
    <w:pPr>
      <w:spacing w:before="100" w:beforeAutospacing="1" w:after="100" w:afterAutospacing="1"/>
    </w:pPr>
    <w:rPr>
      <w:sz w:val="24"/>
      <w:szCs w:val="24"/>
      <w:lang w:eastAsia="en-GB"/>
    </w:rPr>
  </w:style>
  <w:style w:type="paragraph" w:customStyle="1" w:styleId="xl29">
    <w:name w:val="xl29"/>
    <w:basedOn w:val="Normal"/>
    <w:rsid w:val="00E43F68"/>
    <w:pPr>
      <w:spacing w:before="100" w:beforeAutospacing="1" w:after="100" w:afterAutospacing="1"/>
    </w:pPr>
    <w:rPr>
      <w:sz w:val="24"/>
      <w:szCs w:val="24"/>
      <w:lang w:eastAsia="en-GB"/>
    </w:rPr>
  </w:style>
  <w:style w:type="paragraph" w:customStyle="1" w:styleId="xl30">
    <w:name w:val="xl30"/>
    <w:basedOn w:val="Normal"/>
    <w:rsid w:val="00E43F68"/>
    <w:pPr>
      <w:spacing w:before="100" w:beforeAutospacing="1" w:after="100" w:afterAutospacing="1"/>
      <w:jc w:val="right"/>
    </w:pPr>
    <w:rPr>
      <w:rFonts w:ascii="Times New Roman" w:hAnsi="Times New Roman" w:cs="Times New Roman"/>
      <w:sz w:val="24"/>
      <w:szCs w:val="24"/>
      <w:lang w:eastAsia="en-GB"/>
    </w:rPr>
  </w:style>
  <w:style w:type="paragraph" w:customStyle="1" w:styleId="xl31">
    <w:name w:val="xl31"/>
    <w:basedOn w:val="Normal"/>
    <w:rsid w:val="00E43F68"/>
    <w:pPr>
      <w:pBdr>
        <w:top w:val="single" w:sz="4" w:space="0" w:color="auto"/>
        <w:bottom w:val="single" w:sz="4" w:space="0" w:color="auto"/>
      </w:pBdr>
      <w:spacing w:before="100" w:beforeAutospacing="1" w:after="100" w:afterAutospacing="1"/>
    </w:pPr>
    <w:rPr>
      <w:b/>
      <w:bCs/>
      <w:sz w:val="24"/>
      <w:szCs w:val="24"/>
      <w:lang w:eastAsia="en-GB"/>
    </w:rPr>
  </w:style>
  <w:style w:type="paragraph" w:styleId="Revision">
    <w:name w:val="Revision"/>
    <w:hidden/>
    <w:uiPriority w:val="99"/>
    <w:semiHidden/>
    <w:rsid w:val="00E43F68"/>
  </w:style>
  <w:style w:type="character" w:customStyle="1" w:styleId="Heading5Char">
    <w:name w:val="Heading 5 Char"/>
    <w:link w:val="Heading5"/>
    <w:locked/>
    <w:rsid w:val="00E43F68"/>
    <w:rPr>
      <w:rFonts w:ascii="Arial" w:hAnsi="Arial" w:cs="Arial"/>
      <w:b/>
      <w:bCs/>
      <w:i/>
      <w:iCs/>
      <w:sz w:val="26"/>
      <w:szCs w:val="26"/>
      <w:lang w:eastAsia="en-US"/>
    </w:rPr>
  </w:style>
  <w:style w:type="character" w:customStyle="1" w:styleId="BodyTextIndent2Char">
    <w:name w:val="Body Text Indent 2 Char"/>
    <w:link w:val="BodyTextIndent2"/>
    <w:locked/>
    <w:rsid w:val="00E43F68"/>
    <w:rPr>
      <w:rFonts w:ascii="Arial" w:hAnsi="Arial" w:cs="Arial"/>
      <w:sz w:val="22"/>
      <w:szCs w:val="22"/>
      <w:lang w:eastAsia="en-US"/>
    </w:rPr>
  </w:style>
  <w:style w:type="character" w:customStyle="1" w:styleId="BodyTextIndentChar">
    <w:name w:val="Body Text Indent Char"/>
    <w:link w:val="BodyTextIndent"/>
    <w:locked/>
    <w:rsid w:val="00E43F68"/>
    <w:rPr>
      <w:rFonts w:ascii="Arial" w:hAnsi="Arial" w:cs="Arial"/>
      <w:sz w:val="22"/>
      <w:szCs w:val="22"/>
      <w:lang w:eastAsia="en-US"/>
    </w:rPr>
  </w:style>
  <w:style w:type="table" w:customStyle="1" w:styleId="TableGrid1">
    <w:name w:val="Table Grid1"/>
    <w:basedOn w:val="TableNormal"/>
    <w:next w:val="TableGrid"/>
    <w:uiPriority w:val="99"/>
    <w:rsid w:val="00E43F6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E43F6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3F68"/>
    <w:rPr>
      <w:color w:val="808080"/>
      <w:shd w:val="clear" w:color="auto" w:fill="E6E6E6"/>
    </w:rPr>
  </w:style>
  <w:style w:type="paragraph" w:customStyle="1" w:styleId="ChapterHeading">
    <w:name w:val="Chapter Heading"/>
    <w:basedOn w:val="Normal"/>
    <w:rsid w:val="00E43F68"/>
    <w:pPr>
      <w:numPr>
        <w:numId w:val="11"/>
      </w:numPr>
    </w:pPr>
  </w:style>
  <w:style w:type="paragraph" w:customStyle="1" w:styleId="Subheading">
    <w:name w:val="Subheading"/>
    <w:basedOn w:val="Normal"/>
    <w:rsid w:val="00E43F68"/>
    <w:pPr>
      <w:numPr>
        <w:ilvl w:val="1"/>
        <w:numId w:val="11"/>
      </w:numPr>
    </w:pPr>
  </w:style>
  <w:style w:type="table" w:customStyle="1" w:styleId="TableGrid3">
    <w:name w:val="Table Grid3"/>
    <w:basedOn w:val="TableNormal"/>
    <w:next w:val="TableGrid"/>
    <w:uiPriority w:val="99"/>
    <w:rsid w:val="00E43F6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3F68"/>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59065B"/>
    <w:pPr>
      <w:spacing w:before="100" w:beforeAutospacing="1" w:after="100" w:afterAutospacing="1"/>
    </w:pPr>
    <w:rPr>
      <w:rFonts w:ascii="Times New Roman" w:hAnsi="Times New Roman" w:cs="Times New Roman"/>
      <w:sz w:val="24"/>
      <w:szCs w:val="24"/>
      <w:lang w:eastAsia="en-GB"/>
    </w:rPr>
  </w:style>
  <w:style w:type="character" w:styleId="UnresolvedMention">
    <w:name w:val="Unresolved Mention"/>
    <w:uiPriority w:val="99"/>
    <w:semiHidden/>
    <w:unhideWhenUsed/>
    <w:rsid w:val="00F456BA"/>
    <w:rPr>
      <w:color w:val="605E5C"/>
      <w:shd w:val="clear" w:color="auto" w:fill="E1DFDD"/>
    </w:rPr>
  </w:style>
  <w:style w:type="numbering" w:customStyle="1" w:styleId="NoList1">
    <w:name w:val="No List1"/>
    <w:next w:val="NoList"/>
    <w:uiPriority w:val="99"/>
    <w:semiHidden/>
    <w:unhideWhenUsed/>
    <w:rsid w:val="00DB08E0"/>
  </w:style>
  <w:style w:type="table" w:customStyle="1" w:styleId="TableGrid4">
    <w:name w:val="Table Grid4"/>
    <w:basedOn w:val="TableNormal"/>
    <w:next w:val="TableGrid"/>
    <w:uiPriority w:val="39"/>
    <w:rsid w:val="00DB08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BodyText">
    <w:name w:val="Report Body Text"/>
    <w:basedOn w:val="Normal"/>
    <w:qFormat/>
    <w:rsid w:val="00DB08E0"/>
    <w:pPr>
      <w:ind w:left="1080" w:hanging="1080"/>
    </w:pPr>
    <w:rPr>
      <w:rFonts w:eastAsia="Calibri" w:cs="Times New Roman"/>
    </w:rPr>
  </w:style>
  <w:style w:type="table" w:customStyle="1" w:styleId="TableGrid11">
    <w:name w:val="Table Grid11"/>
    <w:basedOn w:val="TableNormal"/>
    <w:next w:val="TableGrid"/>
    <w:uiPriority w:val="99"/>
    <w:rsid w:val="00DB0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DB08E0"/>
    <w:rPr>
      <w:rFonts w:ascii="Tahoma" w:hAnsi="Tahoma" w:cs="Arial"/>
      <w:sz w:val="16"/>
      <w:szCs w:val="16"/>
      <w:lang w:eastAsia="en-US"/>
    </w:rPr>
  </w:style>
  <w:style w:type="paragraph" w:customStyle="1" w:styleId="msonormal0">
    <w:name w:val="msonormal"/>
    <w:basedOn w:val="Normal"/>
    <w:rsid w:val="008E2851"/>
    <w:pPr>
      <w:spacing w:before="100" w:beforeAutospacing="1" w:after="100" w:afterAutospacing="1"/>
    </w:pPr>
    <w:rPr>
      <w:rFonts w:ascii="Times New Roman" w:hAnsi="Times New Roman" w:cs="Times New Roman"/>
      <w:sz w:val="24"/>
      <w:szCs w:val="24"/>
      <w:lang w:eastAsia="en-GB"/>
    </w:rPr>
  </w:style>
  <w:style w:type="paragraph" w:customStyle="1" w:styleId="xl65">
    <w:name w:val="xl65"/>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66">
    <w:name w:val="xl66"/>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67">
    <w:name w:val="xl67"/>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68">
    <w:name w:val="xl68"/>
    <w:basedOn w:val="Normal"/>
    <w:rsid w:val="008E28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cs="Times New Roman"/>
      <w:sz w:val="18"/>
      <w:szCs w:val="18"/>
      <w:lang w:eastAsia="en-GB"/>
    </w:rPr>
  </w:style>
  <w:style w:type="paragraph" w:customStyle="1" w:styleId="xl69">
    <w:name w:val="xl69"/>
    <w:basedOn w:val="Normal"/>
    <w:rsid w:val="008E28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Times New Roman" w:hAnsi="Times New Roman" w:cs="Times New Roman"/>
      <w:b/>
      <w:bCs/>
      <w:sz w:val="18"/>
      <w:szCs w:val="18"/>
      <w:lang w:eastAsia="en-GB"/>
    </w:rPr>
  </w:style>
  <w:style w:type="paragraph" w:customStyle="1" w:styleId="xl70">
    <w:name w:val="xl70"/>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71">
    <w:name w:val="xl71"/>
    <w:basedOn w:val="Normal"/>
    <w:rsid w:val="008E2851"/>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pPr>
    <w:rPr>
      <w:rFonts w:ascii="Times New Roman" w:hAnsi="Times New Roman" w:cs="Times New Roman"/>
      <w:b/>
      <w:bCs/>
      <w:sz w:val="18"/>
      <w:szCs w:val="18"/>
      <w:lang w:eastAsia="en-GB"/>
    </w:rPr>
  </w:style>
  <w:style w:type="paragraph" w:customStyle="1" w:styleId="xl72">
    <w:name w:val="xl72"/>
    <w:basedOn w:val="Normal"/>
    <w:rsid w:val="008E2851"/>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73">
    <w:name w:val="xl73"/>
    <w:basedOn w:val="Normal"/>
    <w:rsid w:val="008E2851"/>
    <w:pPr>
      <w:pBdr>
        <w:top w:val="single" w:sz="4" w:space="0" w:color="auto"/>
        <w:bottom w:val="double" w:sz="6" w:space="0" w:color="auto"/>
      </w:pBdr>
      <w:spacing w:before="100" w:beforeAutospacing="1" w:after="100" w:afterAutospacing="1"/>
    </w:pPr>
    <w:rPr>
      <w:rFonts w:ascii="Times New Roman" w:hAnsi="Times New Roman" w:cs="Times New Roman"/>
      <w:b/>
      <w:bCs/>
      <w:sz w:val="24"/>
      <w:szCs w:val="24"/>
      <w:lang w:eastAsia="en-GB"/>
    </w:rPr>
  </w:style>
  <w:style w:type="paragraph" w:customStyle="1" w:styleId="xl74">
    <w:name w:val="xl74"/>
    <w:basedOn w:val="Normal"/>
    <w:rsid w:val="008E2851"/>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b/>
      <w:bCs/>
      <w:sz w:val="18"/>
      <w:szCs w:val="18"/>
      <w:lang w:eastAsia="en-GB"/>
    </w:rPr>
  </w:style>
  <w:style w:type="paragraph" w:customStyle="1" w:styleId="xl75">
    <w:name w:val="xl75"/>
    <w:basedOn w:val="Normal"/>
    <w:rsid w:val="008E2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en-GB"/>
    </w:rPr>
  </w:style>
  <w:style w:type="paragraph" w:customStyle="1" w:styleId="xl76">
    <w:name w:val="xl76"/>
    <w:basedOn w:val="Normal"/>
    <w:rsid w:val="008E2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8"/>
      <w:szCs w:val="18"/>
      <w:lang w:eastAsia="en-GB"/>
    </w:rPr>
  </w:style>
  <w:style w:type="paragraph" w:customStyle="1" w:styleId="xl77">
    <w:name w:val="xl77"/>
    <w:basedOn w:val="Normal"/>
    <w:rsid w:val="008E2851"/>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Calibri"/>
      <w:sz w:val="18"/>
      <w:szCs w:val="18"/>
      <w:lang w:eastAsia="en-GB"/>
    </w:rPr>
  </w:style>
  <w:style w:type="paragraph" w:customStyle="1" w:styleId="xl78">
    <w:name w:val="xl78"/>
    <w:basedOn w:val="Normal"/>
    <w:rsid w:val="008E2851"/>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lang w:eastAsia="en-GB"/>
    </w:rPr>
  </w:style>
  <w:style w:type="paragraph" w:customStyle="1" w:styleId="xl80">
    <w:name w:val="xl80"/>
    <w:basedOn w:val="Normal"/>
    <w:rsid w:val="008E2851"/>
    <w:pPr>
      <w:spacing w:before="100" w:beforeAutospacing="1" w:after="100" w:afterAutospacing="1"/>
    </w:pPr>
    <w:rPr>
      <w:rFonts w:ascii="Times New Roman" w:hAnsi="Times New Roman" w:cs="Times New Roman"/>
      <w:sz w:val="18"/>
      <w:szCs w:val="18"/>
      <w:lang w:eastAsia="en-GB"/>
    </w:rPr>
  </w:style>
  <w:style w:type="paragraph" w:customStyle="1" w:styleId="xl81">
    <w:name w:val="xl81"/>
    <w:basedOn w:val="Normal"/>
    <w:rsid w:val="008E2851"/>
    <w:pPr>
      <w:pBdr>
        <w:top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82">
    <w:name w:val="xl82"/>
    <w:basedOn w:val="Normal"/>
    <w:rsid w:val="008E2851"/>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83">
    <w:name w:val="xl83"/>
    <w:basedOn w:val="Normal"/>
    <w:rsid w:val="008E2851"/>
    <w:pPr>
      <w:pBdr>
        <w:top w:val="single" w:sz="4" w:space="0" w:color="auto"/>
        <w:left w:val="single" w:sz="4" w:space="0" w:color="auto"/>
        <w:bottom w:val="single" w:sz="4" w:space="0" w:color="auto"/>
      </w:pBdr>
      <w:shd w:val="clear" w:color="000000" w:fill="BFBFBF"/>
      <w:spacing w:before="100" w:beforeAutospacing="1" w:after="100" w:afterAutospacing="1"/>
    </w:pPr>
    <w:rPr>
      <w:rFonts w:ascii="Times New Roman" w:hAnsi="Times New Roman" w:cs="Times New Roman"/>
      <w:b/>
      <w:bCs/>
      <w:sz w:val="18"/>
      <w:szCs w:val="18"/>
      <w:lang w:eastAsia="en-GB"/>
    </w:rPr>
  </w:style>
  <w:style w:type="paragraph" w:customStyle="1" w:styleId="xl84">
    <w:name w:val="xl84"/>
    <w:basedOn w:val="Normal"/>
    <w:rsid w:val="008E2851"/>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cs="Times New Roman"/>
      <w:sz w:val="18"/>
      <w:szCs w:val="18"/>
      <w:lang w:eastAsia="en-GB"/>
    </w:rPr>
  </w:style>
  <w:style w:type="paragraph" w:customStyle="1" w:styleId="xl85">
    <w:name w:val="xl85"/>
    <w:basedOn w:val="Normal"/>
    <w:rsid w:val="008E2851"/>
    <w:pPr>
      <w:pBdr>
        <w:top w:val="single" w:sz="4" w:space="0" w:color="auto"/>
        <w:left w:val="single" w:sz="4" w:space="0" w:color="auto"/>
        <w:bottom w:val="single" w:sz="8" w:space="0" w:color="auto"/>
      </w:pBdr>
      <w:shd w:val="clear" w:color="000000" w:fill="BFBFBF"/>
      <w:spacing w:before="100" w:beforeAutospacing="1" w:after="100" w:afterAutospacing="1"/>
    </w:pPr>
    <w:rPr>
      <w:rFonts w:ascii="Times New Roman" w:hAnsi="Times New Roman" w:cs="Times New Roman"/>
      <w:b/>
      <w:bCs/>
      <w:sz w:val="18"/>
      <w:szCs w:val="18"/>
      <w:lang w:eastAsia="en-GB"/>
    </w:rPr>
  </w:style>
  <w:style w:type="paragraph" w:customStyle="1" w:styleId="xl86">
    <w:name w:val="xl86"/>
    <w:basedOn w:val="Normal"/>
    <w:rsid w:val="008E2851"/>
    <w:pPr>
      <w:pBdr>
        <w:top w:val="single" w:sz="4" w:space="0" w:color="auto"/>
        <w:left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87">
    <w:name w:val="xl87"/>
    <w:basedOn w:val="Normal"/>
    <w:rsid w:val="008E28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18"/>
      <w:szCs w:val="18"/>
      <w:lang w:eastAsia="en-GB"/>
    </w:rPr>
  </w:style>
  <w:style w:type="paragraph" w:customStyle="1" w:styleId="xl88">
    <w:name w:val="xl88"/>
    <w:basedOn w:val="Normal"/>
    <w:rsid w:val="008E28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18"/>
      <w:szCs w:val="18"/>
      <w:lang w:eastAsia="en-GB"/>
    </w:rPr>
  </w:style>
  <w:style w:type="paragraph" w:customStyle="1" w:styleId="xl89">
    <w:name w:val="xl89"/>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eastAsia="en-GB"/>
    </w:rPr>
  </w:style>
  <w:style w:type="paragraph" w:customStyle="1" w:styleId="xl90">
    <w:name w:val="xl90"/>
    <w:basedOn w:val="Normal"/>
    <w:rsid w:val="008E28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lang w:eastAsia="en-GB"/>
    </w:rPr>
  </w:style>
  <w:style w:type="paragraph" w:customStyle="1" w:styleId="xl91">
    <w:name w:val="xl91"/>
    <w:basedOn w:val="Normal"/>
    <w:rsid w:val="008E2851"/>
    <w:pPr>
      <w:pBdr>
        <w:top w:val="single" w:sz="4" w:space="0" w:color="auto"/>
        <w:left w:val="single" w:sz="4" w:space="0" w:color="auto"/>
      </w:pBdr>
      <w:shd w:val="clear" w:color="000000" w:fill="FFFFFF"/>
      <w:spacing w:before="100" w:beforeAutospacing="1" w:after="100" w:afterAutospacing="1"/>
    </w:pPr>
    <w:rPr>
      <w:rFonts w:ascii="Times New Roman" w:hAnsi="Times New Roman" w:cs="Times New Roman"/>
      <w:sz w:val="18"/>
      <w:szCs w:val="18"/>
      <w:lang w:eastAsia="en-GB"/>
    </w:rPr>
  </w:style>
  <w:style w:type="paragraph" w:customStyle="1" w:styleId="xl92">
    <w:name w:val="xl92"/>
    <w:basedOn w:val="Normal"/>
    <w:rsid w:val="008E2851"/>
    <w:pPr>
      <w:shd w:val="clear" w:color="000000" w:fill="FFE699"/>
      <w:spacing w:before="100" w:beforeAutospacing="1" w:after="100" w:afterAutospacing="1"/>
    </w:pPr>
    <w:rPr>
      <w:rFonts w:ascii="Times New Roman" w:hAnsi="Times New Roman" w:cs="Times New Roman"/>
      <w:sz w:val="24"/>
      <w:szCs w:val="24"/>
      <w:lang w:eastAsia="en-GB"/>
    </w:rPr>
  </w:style>
  <w:style w:type="paragraph" w:customStyle="1" w:styleId="xl93">
    <w:name w:val="xl93"/>
    <w:basedOn w:val="Normal"/>
    <w:rsid w:val="008E2851"/>
    <w:pPr>
      <w:pBdr>
        <w:top w:val="single" w:sz="4" w:space="0" w:color="auto"/>
        <w:bottom w:val="double" w:sz="6" w:space="0" w:color="auto"/>
      </w:pBdr>
      <w:shd w:val="clear" w:color="000000" w:fill="FFFFFF"/>
      <w:spacing w:before="100" w:beforeAutospacing="1" w:after="100" w:afterAutospacing="1"/>
    </w:pPr>
    <w:rPr>
      <w:rFonts w:ascii="Times New Roman" w:hAnsi="Times New Roman" w:cs="Times New Roman"/>
      <w:b/>
      <w:bCs/>
      <w:sz w:val="24"/>
      <w:szCs w:val="24"/>
      <w:lang w:eastAsia="en-GB"/>
    </w:rPr>
  </w:style>
  <w:style w:type="paragraph" w:customStyle="1" w:styleId="xl94">
    <w:name w:val="xl94"/>
    <w:basedOn w:val="Normal"/>
    <w:rsid w:val="008E2851"/>
    <w:pPr>
      <w:spacing w:before="100" w:beforeAutospacing="1" w:after="100" w:afterAutospacing="1"/>
    </w:pPr>
    <w:rPr>
      <w:rFonts w:ascii="Times New Roman" w:hAnsi="Times New Roman" w:cs="Times New Roman"/>
      <w:b/>
      <w:bCs/>
      <w:sz w:val="24"/>
      <w:szCs w:val="24"/>
      <w:lang w:eastAsia="en-GB"/>
    </w:rPr>
  </w:style>
  <w:style w:type="paragraph" w:customStyle="1" w:styleId="xl95">
    <w:name w:val="xl95"/>
    <w:basedOn w:val="Normal"/>
    <w:rsid w:val="008E2851"/>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rFonts w:ascii="Times New Roman" w:hAnsi="Times New Roman" w:cs="Times New Roman"/>
      <w:sz w:val="18"/>
      <w:szCs w:val="18"/>
      <w:lang w:eastAsia="en-GB"/>
    </w:rPr>
  </w:style>
  <w:style w:type="paragraph" w:customStyle="1" w:styleId="xl96">
    <w:name w:val="xl96"/>
    <w:basedOn w:val="Normal"/>
    <w:rsid w:val="008E285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97">
    <w:name w:val="xl97"/>
    <w:basedOn w:val="Normal"/>
    <w:rsid w:val="008E2851"/>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98">
    <w:name w:val="xl98"/>
    <w:basedOn w:val="Normal"/>
    <w:rsid w:val="008E2851"/>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99">
    <w:name w:val="xl99"/>
    <w:basedOn w:val="Normal"/>
    <w:rsid w:val="008E2851"/>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lang w:eastAsia="en-GB"/>
    </w:rPr>
  </w:style>
  <w:style w:type="paragraph" w:customStyle="1" w:styleId="xl100">
    <w:name w:val="xl100"/>
    <w:basedOn w:val="Normal"/>
    <w:rsid w:val="008E2851"/>
    <w:pPr>
      <w:pBdr>
        <w:top w:val="single" w:sz="4" w:space="0" w:color="auto"/>
        <w:left w:val="single" w:sz="4" w:space="0" w:color="auto"/>
      </w:pBdr>
      <w:shd w:val="clear" w:color="000000" w:fill="FFFFFF"/>
      <w:spacing w:before="100" w:beforeAutospacing="1" w:after="100" w:afterAutospacing="1"/>
    </w:pPr>
    <w:rPr>
      <w:rFonts w:ascii="Calibri" w:hAnsi="Calibri" w:cs="Calibri"/>
      <w:sz w:val="18"/>
      <w:szCs w:val="18"/>
      <w:lang w:eastAsia="en-GB"/>
    </w:rPr>
  </w:style>
  <w:style w:type="paragraph" w:customStyle="1" w:styleId="xl101">
    <w:name w:val="xl101"/>
    <w:basedOn w:val="Normal"/>
    <w:rsid w:val="008E2851"/>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hAnsi="Calibri" w:cs="Calibri"/>
      <w:sz w:val="18"/>
      <w:szCs w:val="18"/>
      <w:lang w:eastAsia="en-GB"/>
    </w:rPr>
  </w:style>
  <w:style w:type="paragraph" w:customStyle="1" w:styleId="xl102">
    <w:name w:val="xl102"/>
    <w:basedOn w:val="Normal"/>
    <w:rsid w:val="008E2851"/>
    <w:pPr>
      <w:pBdr>
        <w:top w:val="single" w:sz="4" w:space="0" w:color="auto"/>
        <w:left w:val="single" w:sz="4" w:space="0" w:color="auto"/>
      </w:pBdr>
      <w:spacing w:before="100" w:beforeAutospacing="1" w:after="100" w:afterAutospacing="1"/>
    </w:pPr>
    <w:rPr>
      <w:rFonts w:ascii="Times New Roman" w:hAnsi="Times New Roman" w:cs="Times New Roman"/>
      <w:b/>
      <w:bCs/>
      <w:sz w:val="18"/>
      <w:szCs w:val="18"/>
      <w:lang w:eastAsia="en-GB"/>
    </w:rPr>
  </w:style>
  <w:style w:type="paragraph" w:customStyle="1" w:styleId="xl103">
    <w:name w:val="xl103"/>
    <w:basedOn w:val="Normal"/>
    <w:rsid w:val="008E2851"/>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104">
    <w:name w:val="xl104"/>
    <w:basedOn w:val="Normal"/>
    <w:rsid w:val="008E2851"/>
    <w:pPr>
      <w:pBdr>
        <w:left w:val="single" w:sz="4" w:space="0" w:color="auto"/>
        <w:right w:val="single" w:sz="4" w:space="0" w:color="auto"/>
      </w:pBdr>
      <w:spacing w:before="100" w:beforeAutospacing="1" w:after="100" w:afterAutospacing="1"/>
    </w:pPr>
    <w:rPr>
      <w:rFonts w:ascii="Times New Roman" w:hAnsi="Times New Roman" w:cs="Times New Roman"/>
      <w:sz w:val="24"/>
      <w:szCs w:val="24"/>
      <w:lang w:eastAsia="en-GB"/>
    </w:rPr>
  </w:style>
  <w:style w:type="paragraph" w:customStyle="1" w:styleId="xl105">
    <w:name w:val="xl105"/>
    <w:basedOn w:val="Normal"/>
    <w:rsid w:val="008E2851"/>
    <w:pPr>
      <w:pBdr>
        <w:left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24"/>
      <w:szCs w:val="24"/>
      <w:lang w:eastAsia="en-GB"/>
    </w:rPr>
  </w:style>
  <w:style w:type="paragraph" w:customStyle="1" w:styleId="xl106">
    <w:name w:val="xl106"/>
    <w:basedOn w:val="Normal"/>
    <w:rsid w:val="008E2851"/>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18"/>
      <w:szCs w:val="18"/>
      <w:lang w:eastAsia="en-GB"/>
    </w:rPr>
  </w:style>
  <w:style w:type="paragraph" w:customStyle="1" w:styleId="xl107">
    <w:name w:val="xl107"/>
    <w:basedOn w:val="Normal"/>
    <w:rsid w:val="008E2851"/>
    <w:pPr>
      <w:spacing w:before="100" w:beforeAutospacing="1" w:after="100" w:afterAutospacing="1"/>
    </w:pPr>
    <w:rPr>
      <w:rFonts w:ascii="Times New Roman" w:hAnsi="Times New Roman" w:cs="Times New Roman"/>
      <w:b/>
      <w:bCs/>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2989">
      <w:bodyDiv w:val="1"/>
      <w:marLeft w:val="0"/>
      <w:marRight w:val="0"/>
      <w:marTop w:val="0"/>
      <w:marBottom w:val="0"/>
      <w:divBdr>
        <w:top w:val="none" w:sz="0" w:space="0" w:color="auto"/>
        <w:left w:val="none" w:sz="0" w:space="0" w:color="auto"/>
        <w:bottom w:val="none" w:sz="0" w:space="0" w:color="auto"/>
        <w:right w:val="none" w:sz="0" w:space="0" w:color="auto"/>
      </w:divBdr>
    </w:div>
    <w:div w:id="177083092">
      <w:bodyDiv w:val="1"/>
      <w:marLeft w:val="0"/>
      <w:marRight w:val="0"/>
      <w:marTop w:val="0"/>
      <w:marBottom w:val="0"/>
      <w:divBdr>
        <w:top w:val="none" w:sz="0" w:space="0" w:color="auto"/>
        <w:left w:val="none" w:sz="0" w:space="0" w:color="auto"/>
        <w:bottom w:val="none" w:sz="0" w:space="0" w:color="auto"/>
        <w:right w:val="none" w:sz="0" w:space="0" w:color="auto"/>
      </w:divBdr>
    </w:div>
    <w:div w:id="183176179">
      <w:bodyDiv w:val="1"/>
      <w:marLeft w:val="0"/>
      <w:marRight w:val="0"/>
      <w:marTop w:val="0"/>
      <w:marBottom w:val="0"/>
      <w:divBdr>
        <w:top w:val="none" w:sz="0" w:space="0" w:color="auto"/>
        <w:left w:val="none" w:sz="0" w:space="0" w:color="auto"/>
        <w:bottom w:val="none" w:sz="0" w:space="0" w:color="auto"/>
        <w:right w:val="none" w:sz="0" w:space="0" w:color="auto"/>
      </w:divBdr>
    </w:div>
    <w:div w:id="195504990">
      <w:bodyDiv w:val="1"/>
      <w:marLeft w:val="0"/>
      <w:marRight w:val="0"/>
      <w:marTop w:val="0"/>
      <w:marBottom w:val="0"/>
      <w:divBdr>
        <w:top w:val="none" w:sz="0" w:space="0" w:color="auto"/>
        <w:left w:val="none" w:sz="0" w:space="0" w:color="auto"/>
        <w:bottom w:val="none" w:sz="0" w:space="0" w:color="auto"/>
        <w:right w:val="none" w:sz="0" w:space="0" w:color="auto"/>
      </w:divBdr>
    </w:div>
    <w:div w:id="304820446">
      <w:bodyDiv w:val="1"/>
      <w:marLeft w:val="0"/>
      <w:marRight w:val="0"/>
      <w:marTop w:val="0"/>
      <w:marBottom w:val="0"/>
      <w:divBdr>
        <w:top w:val="none" w:sz="0" w:space="0" w:color="auto"/>
        <w:left w:val="none" w:sz="0" w:space="0" w:color="auto"/>
        <w:bottom w:val="none" w:sz="0" w:space="0" w:color="auto"/>
        <w:right w:val="none" w:sz="0" w:space="0" w:color="auto"/>
      </w:divBdr>
    </w:div>
    <w:div w:id="378091359">
      <w:bodyDiv w:val="1"/>
      <w:marLeft w:val="0"/>
      <w:marRight w:val="0"/>
      <w:marTop w:val="0"/>
      <w:marBottom w:val="0"/>
      <w:divBdr>
        <w:top w:val="none" w:sz="0" w:space="0" w:color="auto"/>
        <w:left w:val="none" w:sz="0" w:space="0" w:color="auto"/>
        <w:bottom w:val="none" w:sz="0" w:space="0" w:color="auto"/>
        <w:right w:val="none" w:sz="0" w:space="0" w:color="auto"/>
      </w:divBdr>
    </w:div>
    <w:div w:id="404031034">
      <w:bodyDiv w:val="1"/>
      <w:marLeft w:val="0"/>
      <w:marRight w:val="0"/>
      <w:marTop w:val="0"/>
      <w:marBottom w:val="0"/>
      <w:divBdr>
        <w:top w:val="none" w:sz="0" w:space="0" w:color="auto"/>
        <w:left w:val="none" w:sz="0" w:space="0" w:color="auto"/>
        <w:bottom w:val="none" w:sz="0" w:space="0" w:color="auto"/>
        <w:right w:val="none" w:sz="0" w:space="0" w:color="auto"/>
      </w:divBdr>
    </w:div>
    <w:div w:id="446003492">
      <w:bodyDiv w:val="1"/>
      <w:marLeft w:val="0"/>
      <w:marRight w:val="0"/>
      <w:marTop w:val="0"/>
      <w:marBottom w:val="0"/>
      <w:divBdr>
        <w:top w:val="none" w:sz="0" w:space="0" w:color="auto"/>
        <w:left w:val="none" w:sz="0" w:space="0" w:color="auto"/>
        <w:bottom w:val="none" w:sz="0" w:space="0" w:color="auto"/>
        <w:right w:val="none" w:sz="0" w:space="0" w:color="auto"/>
      </w:divBdr>
    </w:div>
    <w:div w:id="619529947">
      <w:bodyDiv w:val="1"/>
      <w:marLeft w:val="0"/>
      <w:marRight w:val="0"/>
      <w:marTop w:val="0"/>
      <w:marBottom w:val="0"/>
      <w:divBdr>
        <w:top w:val="none" w:sz="0" w:space="0" w:color="auto"/>
        <w:left w:val="none" w:sz="0" w:space="0" w:color="auto"/>
        <w:bottom w:val="none" w:sz="0" w:space="0" w:color="auto"/>
        <w:right w:val="none" w:sz="0" w:space="0" w:color="auto"/>
      </w:divBdr>
    </w:div>
    <w:div w:id="748355894">
      <w:bodyDiv w:val="1"/>
      <w:marLeft w:val="0"/>
      <w:marRight w:val="0"/>
      <w:marTop w:val="0"/>
      <w:marBottom w:val="0"/>
      <w:divBdr>
        <w:top w:val="none" w:sz="0" w:space="0" w:color="auto"/>
        <w:left w:val="none" w:sz="0" w:space="0" w:color="auto"/>
        <w:bottom w:val="none" w:sz="0" w:space="0" w:color="auto"/>
        <w:right w:val="none" w:sz="0" w:space="0" w:color="auto"/>
      </w:divBdr>
    </w:div>
    <w:div w:id="790054776">
      <w:bodyDiv w:val="1"/>
      <w:marLeft w:val="0"/>
      <w:marRight w:val="0"/>
      <w:marTop w:val="0"/>
      <w:marBottom w:val="0"/>
      <w:divBdr>
        <w:top w:val="none" w:sz="0" w:space="0" w:color="auto"/>
        <w:left w:val="none" w:sz="0" w:space="0" w:color="auto"/>
        <w:bottom w:val="none" w:sz="0" w:space="0" w:color="auto"/>
        <w:right w:val="none" w:sz="0" w:space="0" w:color="auto"/>
      </w:divBdr>
    </w:div>
    <w:div w:id="806318844">
      <w:bodyDiv w:val="1"/>
      <w:marLeft w:val="0"/>
      <w:marRight w:val="0"/>
      <w:marTop w:val="0"/>
      <w:marBottom w:val="0"/>
      <w:divBdr>
        <w:top w:val="none" w:sz="0" w:space="0" w:color="auto"/>
        <w:left w:val="none" w:sz="0" w:space="0" w:color="auto"/>
        <w:bottom w:val="none" w:sz="0" w:space="0" w:color="auto"/>
        <w:right w:val="none" w:sz="0" w:space="0" w:color="auto"/>
      </w:divBdr>
    </w:div>
    <w:div w:id="823669875">
      <w:bodyDiv w:val="1"/>
      <w:marLeft w:val="0"/>
      <w:marRight w:val="0"/>
      <w:marTop w:val="0"/>
      <w:marBottom w:val="0"/>
      <w:divBdr>
        <w:top w:val="none" w:sz="0" w:space="0" w:color="auto"/>
        <w:left w:val="none" w:sz="0" w:space="0" w:color="auto"/>
        <w:bottom w:val="none" w:sz="0" w:space="0" w:color="auto"/>
        <w:right w:val="none" w:sz="0" w:space="0" w:color="auto"/>
      </w:divBdr>
    </w:div>
    <w:div w:id="849101976">
      <w:bodyDiv w:val="1"/>
      <w:marLeft w:val="0"/>
      <w:marRight w:val="0"/>
      <w:marTop w:val="0"/>
      <w:marBottom w:val="0"/>
      <w:divBdr>
        <w:top w:val="none" w:sz="0" w:space="0" w:color="auto"/>
        <w:left w:val="none" w:sz="0" w:space="0" w:color="auto"/>
        <w:bottom w:val="none" w:sz="0" w:space="0" w:color="auto"/>
        <w:right w:val="none" w:sz="0" w:space="0" w:color="auto"/>
      </w:divBdr>
    </w:div>
    <w:div w:id="856505214">
      <w:bodyDiv w:val="1"/>
      <w:marLeft w:val="0"/>
      <w:marRight w:val="0"/>
      <w:marTop w:val="0"/>
      <w:marBottom w:val="0"/>
      <w:divBdr>
        <w:top w:val="none" w:sz="0" w:space="0" w:color="auto"/>
        <w:left w:val="none" w:sz="0" w:space="0" w:color="auto"/>
        <w:bottom w:val="none" w:sz="0" w:space="0" w:color="auto"/>
        <w:right w:val="none" w:sz="0" w:space="0" w:color="auto"/>
      </w:divBdr>
    </w:div>
    <w:div w:id="952059190">
      <w:bodyDiv w:val="1"/>
      <w:marLeft w:val="0"/>
      <w:marRight w:val="0"/>
      <w:marTop w:val="0"/>
      <w:marBottom w:val="0"/>
      <w:divBdr>
        <w:top w:val="none" w:sz="0" w:space="0" w:color="auto"/>
        <w:left w:val="none" w:sz="0" w:space="0" w:color="auto"/>
        <w:bottom w:val="none" w:sz="0" w:space="0" w:color="auto"/>
        <w:right w:val="none" w:sz="0" w:space="0" w:color="auto"/>
      </w:divBdr>
    </w:div>
    <w:div w:id="1199928599">
      <w:bodyDiv w:val="1"/>
      <w:marLeft w:val="0"/>
      <w:marRight w:val="0"/>
      <w:marTop w:val="0"/>
      <w:marBottom w:val="0"/>
      <w:divBdr>
        <w:top w:val="none" w:sz="0" w:space="0" w:color="auto"/>
        <w:left w:val="none" w:sz="0" w:space="0" w:color="auto"/>
        <w:bottom w:val="none" w:sz="0" w:space="0" w:color="auto"/>
        <w:right w:val="none" w:sz="0" w:space="0" w:color="auto"/>
      </w:divBdr>
    </w:div>
    <w:div w:id="1236861388">
      <w:bodyDiv w:val="1"/>
      <w:marLeft w:val="0"/>
      <w:marRight w:val="0"/>
      <w:marTop w:val="0"/>
      <w:marBottom w:val="0"/>
      <w:divBdr>
        <w:top w:val="none" w:sz="0" w:space="0" w:color="auto"/>
        <w:left w:val="none" w:sz="0" w:space="0" w:color="auto"/>
        <w:bottom w:val="none" w:sz="0" w:space="0" w:color="auto"/>
        <w:right w:val="none" w:sz="0" w:space="0" w:color="auto"/>
      </w:divBdr>
    </w:div>
    <w:div w:id="1251622064">
      <w:bodyDiv w:val="1"/>
      <w:marLeft w:val="0"/>
      <w:marRight w:val="0"/>
      <w:marTop w:val="0"/>
      <w:marBottom w:val="0"/>
      <w:divBdr>
        <w:top w:val="none" w:sz="0" w:space="0" w:color="auto"/>
        <w:left w:val="none" w:sz="0" w:space="0" w:color="auto"/>
        <w:bottom w:val="none" w:sz="0" w:space="0" w:color="auto"/>
        <w:right w:val="none" w:sz="0" w:space="0" w:color="auto"/>
      </w:divBdr>
    </w:div>
    <w:div w:id="1342854491">
      <w:bodyDiv w:val="1"/>
      <w:marLeft w:val="0"/>
      <w:marRight w:val="0"/>
      <w:marTop w:val="0"/>
      <w:marBottom w:val="0"/>
      <w:divBdr>
        <w:top w:val="none" w:sz="0" w:space="0" w:color="auto"/>
        <w:left w:val="none" w:sz="0" w:space="0" w:color="auto"/>
        <w:bottom w:val="none" w:sz="0" w:space="0" w:color="auto"/>
        <w:right w:val="none" w:sz="0" w:space="0" w:color="auto"/>
      </w:divBdr>
    </w:div>
    <w:div w:id="1351642913">
      <w:bodyDiv w:val="1"/>
      <w:marLeft w:val="0"/>
      <w:marRight w:val="0"/>
      <w:marTop w:val="0"/>
      <w:marBottom w:val="0"/>
      <w:divBdr>
        <w:top w:val="none" w:sz="0" w:space="0" w:color="auto"/>
        <w:left w:val="none" w:sz="0" w:space="0" w:color="auto"/>
        <w:bottom w:val="none" w:sz="0" w:space="0" w:color="auto"/>
        <w:right w:val="none" w:sz="0" w:space="0" w:color="auto"/>
      </w:divBdr>
    </w:div>
    <w:div w:id="1397164816">
      <w:bodyDiv w:val="1"/>
      <w:marLeft w:val="0"/>
      <w:marRight w:val="0"/>
      <w:marTop w:val="0"/>
      <w:marBottom w:val="0"/>
      <w:divBdr>
        <w:top w:val="none" w:sz="0" w:space="0" w:color="auto"/>
        <w:left w:val="none" w:sz="0" w:space="0" w:color="auto"/>
        <w:bottom w:val="none" w:sz="0" w:space="0" w:color="auto"/>
        <w:right w:val="none" w:sz="0" w:space="0" w:color="auto"/>
      </w:divBdr>
    </w:div>
    <w:div w:id="1434091356">
      <w:bodyDiv w:val="1"/>
      <w:marLeft w:val="0"/>
      <w:marRight w:val="0"/>
      <w:marTop w:val="0"/>
      <w:marBottom w:val="0"/>
      <w:divBdr>
        <w:top w:val="none" w:sz="0" w:space="0" w:color="auto"/>
        <w:left w:val="none" w:sz="0" w:space="0" w:color="auto"/>
        <w:bottom w:val="none" w:sz="0" w:space="0" w:color="auto"/>
        <w:right w:val="none" w:sz="0" w:space="0" w:color="auto"/>
      </w:divBdr>
    </w:div>
    <w:div w:id="1484076837">
      <w:bodyDiv w:val="1"/>
      <w:marLeft w:val="0"/>
      <w:marRight w:val="0"/>
      <w:marTop w:val="0"/>
      <w:marBottom w:val="0"/>
      <w:divBdr>
        <w:top w:val="none" w:sz="0" w:space="0" w:color="auto"/>
        <w:left w:val="none" w:sz="0" w:space="0" w:color="auto"/>
        <w:bottom w:val="none" w:sz="0" w:space="0" w:color="auto"/>
        <w:right w:val="none" w:sz="0" w:space="0" w:color="auto"/>
      </w:divBdr>
    </w:div>
    <w:div w:id="1521777168">
      <w:bodyDiv w:val="1"/>
      <w:marLeft w:val="0"/>
      <w:marRight w:val="0"/>
      <w:marTop w:val="0"/>
      <w:marBottom w:val="0"/>
      <w:divBdr>
        <w:top w:val="none" w:sz="0" w:space="0" w:color="auto"/>
        <w:left w:val="none" w:sz="0" w:space="0" w:color="auto"/>
        <w:bottom w:val="none" w:sz="0" w:space="0" w:color="auto"/>
        <w:right w:val="none" w:sz="0" w:space="0" w:color="auto"/>
      </w:divBdr>
    </w:div>
    <w:div w:id="1572540857">
      <w:bodyDiv w:val="1"/>
      <w:marLeft w:val="0"/>
      <w:marRight w:val="0"/>
      <w:marTop w:val="0"/>
      <w:marBottom w:val="0"/>
      <w:divBdr>
        <w:top w:val="none" w:sz="0" w:space="0" w:color="auto"/>
        <w:left w:val="none" w:sz="0" w:space="0" w:color="auto"/>
        <w:bottom w:val="none" w:sz="0" w:space="0" w:color="auto"/>
        <w:right w:val="none" w:sz="0" w:space="0" w:color="auto"/>
      </w:divBdr>
    </w:div>
    <w:div w:id="1617372853">
      <w:bodyDiv w:val="1"/>
      <w:marLeft w:val="0"/>
      <w:marRight w:val="0"/>
      <w:marTop w:val="0"/>
      <w:marBottom w:val="0"/>
      <w:divBdr>
        <w:top w:val="none" w:sz="0" w:space="0" w:color="auto"/>
        <w:left w:val="none" w:sz="0" w:space="0" w:color="auto"/>
        <w:bottom w:val="none" w:sz="0" w:space="0" w:color="auto"/>
        <w:right w:val="none" w:sz="0" w:space="0" w:color="auto"/>
      </w:divBdr>
    </w:div>
    <w:div w:id="1748573525">
      <w:bodyDiv w:val="1"/>
      <w:marLeft w:val="0"/>
      <w:marRight w:val="0"/>
      <w:marTop w:val="0"/>
      <w:marBottom w:val="0"/>
      <w:divBdr>
        <w:top w:val="none" w:sz="0" w:space="0" w:color="auto"/>
        <w:left w:val="none" w:sz="0" w:space="0" w:color="auto"/>
        <w:bottom w:val="none" w:sz="0" w:space="0" w:color="auto"/>
        <w:right w:val="none" w:sz="0" w:space="0" w:color="auto"/>
      </w:divBdr>
    </w:div>
    <w:div w:id="1893421301">
      <w:bodyDiv w:val="1"/>
      <w:marLeft w:val="0"/>
      <w:marRight w:val="0"/>
      <w:marTop w:val="0"/>
      <w:marBottom w:val="0"/>
      <w:divBdr>
        <w:top w:val="none" w:sz="0" w:space="0" w:color="auto"/>
        <w:left w:val="none" w:sz="0" w:space="0" w:color="auto"/>
        <w:bottom w:val="none" w:sz="0" w:space="0" w:color="auto"/>
        <w:right w:val="none" w:sz="0" w:space="0" w:color="auto"/>
      </w:divBdr>
    </w:div>
    <w:div w:id="1962490590">
      <w:bodyDiv w:val="1"/>
      <w:marLeft w:val="0"/>
      <w:marRight w:val="0"/>
      <w:marTop w:val="0"/>
      <w:marBottom w:val="0"/>
      <w:divBdr>
        <w:top w:val="none" w:sz="0" w:space="0" w:color="auto"/>
        <w:left w:val="none" w:sz="0" w:space="0" w:color="auto"/>
        <w:bottom w:val="none" w:sz="0" w:space="0" w:color="auto"/>
        <w:right w:val="none" w:sz="0" w:space="0" w:color="auto"/>
      </w:divBdr>
    </w:div>
    <w:div w:id="1979535231">
      <w:bodyDiv w:val="1"/>
      <w:marLeft w:val="0"/>
      <w:marRight w:val="0"/>
      <w:marTop w:val="0"/>
      <w:marBottom w:val="0"/>
      <w:divBdr>
        <w:top w:val="none" w:sz="0" w:space="0" w:color="auto"/>
        <w:left w:val="none" w:sz="0" w:space="0" w:color="auto"/>
        <w:bottom w:val="none" w:sz="0" w:space="0" w:color="auto"/>
        <w:right w:val="none" w:sz="0" w:space="0" w:color="auto"/>
      </w:divBdr>
    </w:div>
    <w:div w:id="21114673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F687793853074797BACB4BFFD5DEB2" ma:contentTypeVersion="5" ma:contentTypeDescription="Create a new document." ma:contentTypeScope="" ma:versionID="bfda4dd393df7f897b328c34b6243b78">
  <xsd:schema xmlns:xsd="http://www.w3.org/2001/XMLSchema" xmlns:xs="http://www.w3.org/2001/XMLSchema" xmlns:p="http://schemas.microsoft.com/office/2006/metadata/properties" xmlns:ns2="5c2267a0-b276-4793-ad28-178335e90c66" xmlns:ns3="13381105-23b4-482c-b26e-38f114abedda" targetNamespace="http://schemas.microsoft.com/office/2006/metadata/properties" ma:root="true" ma:fieldsID="95a03ebf19219d1d9655eb2034ba9ee0" ns2:_="" ns3:_="">
    <xsd:import namespace="5c2267a0-b276-4793-ad28-178335e90c66"/>
    <xsd:import namespace="13381105-23b4-482c-b26e-38f114abedda"/>
    <xsd:element name="properties">
      <xsd:complexType>
        <xsd:sequence>
          <xsd:element name="documentManagement">
            <xsd:complexType>
              <xsd:all>
                <xsd:element ref="ns2:_dlc_DocId" minOccurs="0"/>
                <xsd:element ref="ns2:_dlc_DocIdUrl" minOccurs="0"/>
                <xsd:element ref="ns2:_dlc_DocIdPersistId" minOccurs="0"/>
                <xsd:element ref="ns3:Document_x0020_Type"/>
                <xsd:element ref="ns3:Meeting"/>
                <xsd:element ref="ns3:Run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267a0-b276-4793-ad28-178335e90c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3381105-23b4-482c-b26e-38f114abedda" elementFormDefault="qualified">
    <xsd:import namespace="http://schemas.microsoft.com/office/2006/documentManagement/types"/>
    <xsd:import namespace="http://schemas.microsoft.com/office/infopath/2007/PartnerControls"/>
    <xsd:element name="Document_x0020_Type" ma:index="11" ma:displayName="Document Type" ma:format="Dropdown" ma:internalName="Document_x0020_Type">
      <xsd:simpleType>
        <xsd:restriction base="dms:Choice">
          <xsd:enumeration value="Archive"/>
          <xsd:enumeration value="Working Documents"/>
          <xsd:enumeration value="Forward Planning"/>
        </xsd:restriction>
      </xsd:simpleType>
    </xsd:element>
    <xsd:element name="Meeting" ma:index="12" ma:displayName="Meeting" ma:format="Dropdown" ma:internalName="Meeting">
      <xsd:simpleType>
        <xsd:restriction base="dms:Choice">
          <xsd:enumeration value="Community Safety Committee"/>
          <xsd:enumeration value="Finance and Resources Committee"/>
          <xsd:enumeration value="Full Fire Authority"/>
          <xsd:enumeration value="Human Resources Committee"/>
          <xsd:enumeration value="Policy and Strategy Committee"/>
        </xsd:restriction>
      </xsd:simpleType>
    </xsd:element>
    <xsd:element name="RunWF" ma:index="14" nillable="true" ma:displayName="RunWF" ma:internalName="RunW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DEBBCF-4AFF-4AA7-A5C0-3F69B7972018}">
  <ds:schemaRefs>
    <ds:schemaRef ds:uri="http://schemas.microsoft.com/office/2006/metadata/longProperties"/>
  </ds:schemaRefs>
</ds:datastoreItem>
</file>

<file path=customXml/itemProps2.xml><?xml version="1.0" encoding="utf-8"?>
<ds:datastoreItem xmlns:ds="http://schemas.openxmlformats.org/officeDocument/2006/customXml" ds:itemID="{0B7E4DC0-C3DA-4F16-BB52-DD453D55339C}">
  <ds:schemaRefs>
    <ds:schemaRef ds:uri="http://schemas.openxmlformats.org/officeDocument/2006/bibliography"/>
  </ds:schemaRefs>
</ds:datastoreItem>
</file>

<file path=customXml/itemProps3.xml><?xml version="1.0" encoding="utf-8"?>
<ds:datastoreItem xmlns:ds="http://schemas.openxmlformats.org/officeDocument/2006/customXml" ds:itemID="{5072A8A3-B991-408D-BD3E-3DF4959F2473}">
  <ds:schemaRefs>
    <ds:schemaRef ds:uri="http://schemas.microsoft.com/sharepoint/events"/>
  </ds:schemaRefs>
</ds:datastoreItem>
</file>

<file path=customXml/itemProps4.xml><?xml version="1.0" encoding="utf-8"?>
<ds:datastoreItem xmlns:ds="http://schemas.openxmlformats.org/officeDocument/2006/customXml" ds:itemID="{3B10B577-43D0-4655-A844-0EE4595EDFD7}">
  <ds:schemaRefs>
    <ds:schemaRef ds:uri="http://schemas.microsoft.com/sharepoint/v3/contenttype/forms"/>
  </ds:schemaRefs>
</ds:datastoreItem>
</file>

<file path=customXml/itemProps5.xml><?xml version="1.0" encoding="utf-8"?>
<ds:datastoreItem xmlns:ds="http://schemas.openxmlformats.org/officeDocument/2006/customXml" ds:itemID="{141444E7-510A-47F4-A3E0-BAD53FA94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2267a0-b276-4793-ad28-178335e90c66"/>
    <ds:schemaRef ds:uri="13381105-23b4-482c-b26e-38f114ab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51</Pages>
  <Words>14118</Words>
  <Characters>80478</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Full Authority Report___please &amp;#39;Save As&amp;#39;</vt:lpstr>
    </vt:vector>
  </TitlesOfParts>
  <Company>Notts Fire &amp; Rescue Service</Company>
  <LinksUpToDate>false</LinksUpToDate>
  <CharactersWithSpaces>94408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Authority Report___please &amp;#39;Save As&amp;#39;</dc:title>
  <dc:subject/>
  <dc:creator>Template User</dc:creator>
  <cp:keywords/>
  <dc:description/>
  <cp:lastModifiedBy>Alexander Skennerton</cp:lastModifiedBy>
  <cp:revision>3</cp:revision>
  <cp:lastPrinted>2023-11-13T13:59:00Z</cp:lastPrinted>
  <dcterms:created xsi:type="dcterms:W3CDTF">2023-12-19T11:14:00Z</dcterms:created>
  <dcterms:modified xsi:type="dcterms:W3CDTF">2023-12-19T11:19:00Z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NY6PE7AEHJ6E-13-695</vt:lpwstr>
  </property>
  <property fmtid="{D5CDD505-2E9C-101B-9397-08002B2CF9AE}" pid="3" name="_dlc_DocIdItemGuid">
    <vt:lpwstr>33202983-514f-4148-81b7-7092b8dfa207</vt:lpwstr>
  </property>
  <property fmtid="{D5CDD505-2E9C-101B-9397-08002B2CF9AE}" pid="4" name="_dlc_DocIdUrl">
    <vt:lpwstr>http://intranet/sites/EDTSLT/_layouts/DocIdRedir.aspx?ID=NY6PE7AEHJ6E-13-695, NY6PE7AEHJ6E-13-695</vt:lpwstr>
  </property>
  <property fmtid="{D5CDD505-2E9C-101B-9397-08002B2CF9AE}" pid="5" name="RunWF">
    <vt:lpwstr/>
  </property>
  <property fmtid="{D5CDD505-2E9C-101B-9397-08002B2CF9AE}" pid="6" name="Document Type">
    <vt:lpwstr>Working Documents</vt:lpwstr>
  </property>
  <property fmtid="{D5CDD505-2E9C-101B-9397-08002B2CF9AE}" pid="7" name="Meeting">
    <vt:lpwstr>Full Fire Authority</vt:lpwstr>
  </property>
  <property fmtid="{D5CDD505-2E9C-101B-9397-08002B2CF9AE}" pid="8" name="WorkflowChangePath">
    <vt:lpwstr>7542c0d7-97cd-4b54-a50d-d9f998c25d78,4;</vt:lpwstr>
  </property>
</Properties>
</file>