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64A06" w14:textId="77777777" w:rsidR="00911017" w:rsidRDefault="0027365C" w:rsidP="00165A04">
      <w:pPr>
        <w:spacing w:before="100" w:beforeAutospacing="1" w:after="100" w:afterAutospacing="1"/>
        <w:rPr>
          <w:sz w:val="48"/>
          <w:szCs w:val="48"/>
        </w:rPr>
      </w:pPr>
      <w:r>
        <w:rPr>
          <w:noProof/>
          <w:sz w:val="48"/>
          <w:szCs w:val="48"/>
          <w:lang w:eastAsia="en-GB"/>
        </w:rPr>
        <w:drawing>
          <wp:anchor distT="0" distB="0" distL="114300" distR="114300" simplePos="0" relativeHeight="251658240" behindDoc="1" locked="0" layoutInCell="1" allowOverlap="1" wp14:anchorId="2DF2912A" wp14:editId="4DB7C98E">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942BB7E" w14:textId="77777777" w:rsidR="00911017" w:rsidRDefault="00911017" w:rsidP="00BE1CB8">
      <w:pPr>
        <w:spacing w:before="100" w:beforeAutospacing="1" w:after="100" w:afterAutospacing="1"/>
        <w:ind w:hanging="700"/>
        <w:rPr>
          <w:sz w:val="48"/>
          <w:szCs w:val="48"/>
        </w:rPr>
      </w:pPr>
    </w:p>
    <w:p w14:paraId="701FBF84" w14:textId="77777777" w:rsidR="00911017" w:rsidRDefault="00911017" w:rsidP="00BE1CB8">
      <w:pPr>
        <w:spacing w:before="100" w:beforeAutospacing="1" w:after="100" w:afterAutospacing="1"/>
        <w:ind w:hanging="700"/>
        <w:rPr>
          <w:sz w:val="48"/>
          <w:szCs w:val="48"/>
        </w:rPr>
      </w:pPr>
    </w:p>
    <w:p w14:paraId="0D0316A1" w14:textId="77777777" w:rsidR="00911017" w:rsidRDefault="00911017" w:rsidP="00BE1CB8">
      <w:pPr>
        <w:spacing w:before="100" w:beforeAutospacing="1" w:after="100" w:afterAutospacing="1"/>
        <w:ind w:hanging="700"/>
        <w:rPr>
          <w:sz w:val="48"/>
          <w:szCs w:val="48"/>
        </w:rPr>
      </w:pPr>
    </w:p>
    <w:p w14:paraId="4A87D2B7" w14:textId="77777777" w:rsidR="00911017" w:rsidRDefault="00911017" w:rsidP="00BE1CB8">
      <w:pPr>
        <w:spacing w:before="100" w:beforeAutospacing="1" w:after="100" w:afterAutospacing="1"/>
        <w:ind w:hanging="700"/>
        <w:rPr>
          <w:sz w:val="48"/>
          <w:szCs w:val="48"/>
        </w:rPr>
      </w:pPr>
    </w:p>
    <w:p w14:paraId="57AB811C" w14:textId="77777777" w:rsidR="00911017" w:rsidRDefault="00911017" w:rsidP="00BE1CB8">
      <w:pPr>
        <w:spacing w:before="100" w:beforeAutospacing="1" w:after="100" w:afterAutospacing="1"/>
        <w:ind w:hanging="700"/>
        <w:rPr>
          <w:sz w:val="48"/>
          <w:szCs w:val="48"/>
        </w:rPr>
      </w:pPr>
    </w:p>
    <w:p w14:paraId="6984E5B6" w14:textId="77777777" w:rsidR="00911017" w:rsidRDefault="00911017" w:rsidP="00BE1CB8">
      <w:pPr>
        <w:spacing w:before="100" w:beforeAutospacing="1" w:after="100" w:afterAutospacing="1"/>
        <w:ind w:hanging="700"/>
        <w:rPr>
          <w:sz w:val="48"/>
          <w:szCs w:val="48"/>
        </w:rPr>
      </w:pPr>
    </w:p>
    <w:p w14:paraId="2A6D6F74" w14:textId="6FDEDA08" w:rsidR="00755317" w:rsidRDefault="005F6F1D" w:rsidP="00755317">
      <w:pPr>
        <w:spacing w:before="100" w:beforeAutospacing="1" w:after="100" w:afterAutospacing="1"/>
        <w:ind w:hanging="700"/>
        <w:rPr>
          <w:sz w:val="48"/>
          <w:szCs w:val="48"/>
        </w:rPr>
      </w:pPr>
      <w:r>
        <w:rPr>
          <w:sz w:val="48"/>
          <w:szCs w:val="48"/>
        </w:rPr>
        <w:t xml:space="preserve"> </w:t>
      </w:r>
      <w:r w:rsidR="002C24D4">
        <w:rPr>
          <w:sz w:val="48"/>
          <w:szCs w:val="48"/>
        </w:rPr>
        <w:t xml:space="preserve"> </w:t>
      </w:r>
      <w:r w:rsidR="00AA21ED">
        <w:rPr>
          <w:sz w:val="48"/>
          <w:szCs w:val="48"/>
        </w:rPr>
        <w:t>November 2024</w:t>
      </w:r>
    </w:p>
    <w:p w14:paraId="4359840A" w14:textId="77777777" w:rsidR="00911017" w:rsidRDefault="005F6F1D" w:rsidP="00BE1CB8">
      <w:pPr>
        <w:spacing w:before="100" w:beforeAutospacing="1" w:after="100" w:afterAutospacing="1"/>
        <w:ind w:hanging="700"/>
        <w:rPr>
          <w:sz w:val="48"/>
          <w:szCs w:val="48"/>
        </w:rPr>
      </w:pPr>
      <w:r>
        <w:rPr>
          <w:noProof/>
          <w:sz w:val="48"/>
          <w:szCs w:val="48"/>
          <w:lang w:eastAsia="en-GB"/>
        </w:rPr>
        <w:t xml:space="preserve">  </w:t>
      </w:r>
      <w:r w:rsidR="00915C6E">
        <w:rPr>
          <w:noProof/>
          <w:sz w:val="48"/>
          <w:szCs w:val="48"/>
          <w:lang w:eastAsia="en-GB"/>
        </w:rPr>
        <w:t>Nottinghamshire</w:t>
      </w:r>
      <w:r w:rsidR="00831979">
        <w:rPr>
          <w:sz w:val="48"/>
          <w:szCs w:val="48"/>
        </w:rPr>
        <w:t xml:space="preserve"> Fire Authority</w:t>
      </w:r>
    </w:p>
    <w:p w14:paraId="5C2B57BC" w14:textId="77777777" w:rsidR="00911017" w:rsidRDefault="00911017">
      <w:pPr>
        <w:rPr>
          <w:sz w:val="48"/>
          <w:szCs w:val="48"/>
        </w:rPr>
      </w:pPr>
      <w:r>
        <w:rPr>
          <w:sz w:val="48"/>
          <w:szCs w:val="48"/>
        </w:rPr>
        <w:br w:type="page"/>
      </w:r>
    </w:p>
    <w:p w14:paraId="05D1BAEA" w14:textId="77777777" w:rsidR="00543B77" w:rsidRPr="00543B77" w:rsidRDefault="00543B77" w:rsidP="00543B77">
      <w:pPr>
        <w:spacing w:after="0"/>
      </w:pPr>
      <w:r w:rsidRPr="00543B77">
        <w:lastRenderedPageBreak/>
        <w:t>Prepared by:</w:t>
      </w:r>
    </w:p>
    <w:p w14:paraId="59FC60E6" w14:textId="77777777" w:rsidR="00543B77" w:rsidRPr="00543B77" w:rsidRDefault="00543B77" w:rsidP="00543B77">
      <w:pPr>
        <w:spacing w:after="0"/>
      </w:pPr>
    </w:p>
    <w:p w14:paraId="421E32BE" w14:textId="77777777" w:rsidR="00197734" w:rsidRDefault="00197734" w:rsidP="00197734">
      <w:pPr>
        <w:spacing w:after="0"/>
        <w:rPr>
          <w:b/>
          <w:sz w:val="28"/>
          <w:szCs w:val="28"/>
        </w:rPr>
      </w:pPr>
      <w:r>
        <w:rPr>
          <w:b/>
          <w:sz w:val="28"/>
          <w:szCs w:val="28"/>
        </w:rPr>
        <w:t>Matt Mott</w:t>
      </w:r>
    </w:p>
    <w:p w14:paraId="1B8D7F0A" w14:textId="77777777" w:rsidR="00197734" w:rsidRDefault="00197734" w:rsidP="00197734">
      <w:pPr>
        <w:spacing w:after="0"/>
      </w:pPr>
      <w:r>
        <w:t>Governance and Business Development Manager</w:t>
      </w:r>
    </w:p>
    <w:p w14:paraId="1E4F5835" w14:textId="77777777" w:rsidR="00197734" w:rsidRDefault="00197734" w:rsidP="00197734">
      <w:pPr>
        <w:spacing w:after="0"/>
      </w:pPr>
      <w:r>
        <w:t>Mobile: 07815 476877</w:t>
      </w:r>
    </w:p>
    <w:p w14:paraId="64F7BE38" w14:textId="77777777" w:rsidR="00197734" w:rsidRDefault="00197734" w:rsidP="00197734">
      <w:pPr>
        <w:spacing w:after="0"/>
      </w:pPr>
      <w:r>
        <w:t>Email:  matt.mott@wypf.org.uk</w:t>
      </w:r>
    </w:p>
    <w:p w14:paraId="0F4969CD" w14:textId="77777777" w:rsidR="00543B77" w:rsidRPr="00543B77" w:rsidRDefault="00543B77" w:rsidP="00543B77">
      <w:pPr>
        <w:spacing w:after="0"/>
      </w:pPr>
    </w:p>
    <w:p w14:paraId="0E6C8FD4" w14:textId="77777777" w:rsidR="00543B77" w:rsidRPr="00543B77" w:rsidRDefault="00543B77" w:rsidP="00543B77">
      <w:pPr>
        <w:spacing w:after="0"/>
      </w:pPr>
    </w:p>
    <w:p w14:paraId="75D66DE3" w14:textId="77777777" w:rsidR="00543B77" w:rsidRPr="00543B77" w:rsidRDefault="00543B77" w:rsidP="00543B77">
      <w:pPr>
        <w:spacing w:after="0"/>
      </w:pPr>
    </w:p>
    <w:p w14:paraId="3E428E4F" w14:textId="77777777" w:rsidR="00543B77" w:rsidRPr="00543B77" w:rsidRDefault="00543B77" w:rsidP="00543B77">
      <w:pPr>
        <w:spacing w:after="0"/>
        <w:rPr>
          <w:rFonts w:cs="Arial"/>
        </w:rPr>
      </w:pPr>
      <w:r w:rsidRPr="00543B77">
        <w:rPr>
          <w:rFonts w:cs="Arial"/>
        </w:rPr>
        <w:t>West Yorkshire Pension Fund</w:t>
      </w:r>
    </w:p>
    <w:p w14:paraId="1A5A3575" w14:textId="77777777" w:rsidR="00543B77" w:rsidRPr="00543B77" w:rsidRDefault="00543B77" w:rsidP="00543B77">
      <w:pPr>
        <w:spacing w:after="0"/>
        <w:rPr>
          <w:rFonts w:cs="Arial"/>
        </w:rPr>
      </w:pPr>
      <w:r w:rsidRPr="00543B77">
        <w:rPr>
          <w:rFonts w:cs="Arial"/>
        </w:rPr>
        <w:t>Aldermanbury House</w:t>
      </w:r>
    </w:p>
    <w:p w14:paraId="11C18B4B" w14:textId="77777777" w:rsidR="00543B77" w:rsidRPr="00543B77" w:rsidRDefault="00543B77" w:rsidP="00543B77">
      <w:pPr>
        <w:spacing w:after="0"/>
        <w:rPr>
          <w:rFonts w:cs="Arial"/>
        </w:rPr>
      </w:pPr>
      <w:r w:rsidRPr="00543B77">
        <w:rPr>
          <w:rFonts w:cs="Arial"/>
        </w:rPr>
        <w:t>4 Godwin Street</w:t>
      </w:r>
    </w:p>
    <w:p w14:paraId="49098227" w14:textId="77777777" w:rsidR="00543B77" w:rsidRPr="00543B77" w:rsidRDefault="00543B77" w:rsidP="00543B77">
      <w:pPr>
        <w:spacing w:after="0"/>
        <w:rPr>
          <w:rFonts w:cs="Arial"/>
        </w:rPr>
      </w:pPr>
      <w:r w:rsidRPr="00543B77">
        <w:rPr>
          <w:rFonts w:cs="Arial"/>
        </w:rPr>
        <w:t>Bradford</w:t>
      </w:r>
    </w:p>
    <w:p w14:paraId="0CD2FE11" w14:textId="77777777" w:rsidR="00543B77" w:rsidRPr="00543B77" w:rsidRDefault="00543B77" w:rsidP="00543B77">
      <w:pPr>
        <w:spacing w:after="0"/>
        <w:rPr>
          <w:rFonts w:cs="Arial"/>
        </w:rPr>
      </w:pPr>
      <w:r w:rsidRPr="00543B77">
        <w:rPr>
          <w:rFonts w:cs="Arial"/>
        </w:rPr>
        <w:t>BD1 2ST</w:t>
      </w:r>
    </w:p>
    <w:p w14:paraId="15699B3C" w14:textId="77777777" w:rsidR="00543B77" w:rsidRPr="00543B77" w:rsidRDefault="00543B77" w:rsidP="00543B77">
      <w:pPr>
        <w:spacing w:after="0"/>
        <w:rPr>
          <w:rFonts w:cs="Arial"/>
        </w:rPr>
      </w:pPr>
    </w:p>
    <w:p w14:paraId="0F750419" w14:textId="77777777" w:rsidR="00543B77" w:rsidRPr="00543B77" w:rsidRDefault="00543B77" w:rsidP="00543B77">
      <w:pPr>
        <w:spacing w:after="0"/>
        <w:rPr>
          <w:rFonts w:cs="Arial"/>
          <w:lang w:val="en-US"/>
        </w:rPr>
      </w:pPr>
      <w:r w:rsidRPr="00543B77">
        <w:rPr>
          <w:rFonts w:cs="Arial"/>
        </w:rPr>
        <w:t>www.wypf.org.uk</w:t>
      </w:r>
    </w:p>
    <w:p w14:paraId="172AE882" w14:textId="77777777" w:rsidR="00543B77" w:rsidRPr="00543B77" w:rsidRDefault="00543B77" w:rsidP="00543B77">
      <w:pPr>
        <w:spacing w:after="0"/>
        <w:rPr>
          <w:rFonts w:cs="Arial"/>
          <w:lang w:val="en-US"/>
        </w:rPr>
      </w:pPr>
    </w:p>
    <w:p w14:paraId="64268A42" w14:textId="77777777"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14:paraId="3592E74F" w14:textId="77777777" w:rsidR="00543B77" w:rsidRDefault="00543B77" w:rsidP="00543B77">
      <w:pPr>
        <w:rPr>
          <w:rFonts w:eastAsia="Calibri" w:cs="Arial"/>
          <w:color w:val="0000FF"/>
          <w:u w:val="single"/>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14:paraId="5FC099AA" w14:textId="77777777" w:rsidR="00D5245F" w:rsidRDefault="00D5245F" w:rsidP="00543B77">
      <w:pPr>
        <w:rPr>
          <w:rFonts w:eastAsia="Calibri" w:cs="Arial"/>
          <w:color w:val="0000FF"/>
          <w:u w:val="single"/>
        </w:rPr>
      </w:pPr>
    </w:p>
    <w:p w14:paraId="7AD3F209" w14:textId="77777777" w:rsidR="00D5245F" w:rsidRPr="00543B77" w:rsidRDefault="00D5245F" w:rsidP="00543B77">
      <w:pPr>
        <w:rPr>
          <w:rFonts w:eastAsia="Calibri" w:cs="Arial"/>
        </w:rPr>
      </w:pPr>
    </w:p>
    <w:p w14:paraId="2FF936F6" w14:textId="77777777" w:rsidR="00D5245F" w:rsidRPr="00D5245F" w:rsidRDefault="00D5245F" w:rsidP="00D5245F">
      <w:pPr>
        <w:spacing w:after="0" w:line="240" w:lineRule="auto"/>
        <w:rPr>
          <w:rFonts w:ascii="Calibri" w:eastAsia="Calibri" w:hAnsi="Calibri" w:cs="Calibri"/>
          <w:color w:val="1F497D"/>
          <w:lang w:eastAsia="en-GB"/>
        </w:rPr>
      </w:pPr>
      <w:r w:rsidRPr="00D5245F">
        <w:rPr>
          <w:rFonts w:ascii="Calibri" w:eastAsia="Calibri" w:hAnsi="Calibri" w:cs="Calibri"/>
          <w:noProof/>
          <w:color w:val="1F497D"/>
          <w:lang w:eastAsia="en-GB"/>
        </w:rPr>
        <w:drawing>
          <wp:inline distT="0" distB="0" distL="0" distR="0" wp14:anchorId="1EBC2980" wp14:editId="659EE633">
            <wp:extent cx="2371725" cy="1257300"/>
            <wp:effectExtent l="0" t="0" r="9525" b="0"/>
            <wp:docPr id="12" name="Picture 12" descr="cid:image003.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8E9F1.C296EA1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71725" cy="1257300"/>
                    </a:xfrm>
                    <a:prstGeom prst="rect">
                      <a:avLst/>
                    </a:prstGeom>
                    <a:noFill/>
                    <a:ln>
                      <a:noFill/>
                    </a:ln>
                  </pic:spPr>
                </pic:pic>
              </a:graphicData>
            </a:graphic>
          </wp:inline>
        </w:drawing>
      </w:r>
      <w:r w:rsidRPr="00D5245F">
        <w:rPr>
          <w:rFonts w:ascii="Calibri" w:eastAsia="Calibri" w:hAnsi="Calibri" w:cs="Calibri"/>
          <w:color w:val="1F497D"/>
          <w:lang w:eastAsia="en-GB"/>
        </w:rPr>
        <w:t> </w:t>
      </w:r>
      <w:r w:rsidRPr="00D5245F">
        <w:rPr>
          <w:rFonts w:ascii="Calibri" w:eastAsia="Calibri" w:hAnsi="Calibri" w:cs="Calibri"/>
          <w:noProof/>
          <w:color w:val="1F497D"/>
          <w:lang w:eastAsia="en-GB"/>
        </w:rPr>
        <w:drawing>
          <wp:inline distT="0" distB="0" distL="0" distR="0" wp14:anchorId="558726F9" wp14:editId="500B894B">
            <wp:extent cx="2667000" cy="1171575"/>
            <wp:effectExtent l="0" t="0" r="0" b="9525"/>
            <wp:docPr id="13" name="Picture 13" descr="cid:image004.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8E9F1.C296EA1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67000" cy="1171575"/>
                    </a:xfrm>
                    <a:prstGeom prst="rect">
                      <a:avLst/>
                    </a:prstGeom>
                    <a:noFill/>
                    <a:ln>
                      <a:noFill/>
                    </a:ln>
                  </pic:spPr>
                </pic:pic>
              </a:graphicData>
            </a:graphic>
          </wp:inline>
        </w:drawing>
      </w:r>
      <w:r w:rsidRPr="00D5245F">
        <w:rPr>
          <w:rFonts w:ascii="Calibri" w:eastAsia="Calibri" w:hAnsi="Calibri" w:cs="Calibri"/>
          <w:color w:val="1F497D"/>
          <w:lang w:eastAsia="en-GB"/>
        </w:rPr>
        <w:t>   </w:t>
      </w:r>
      <w:r w:rsidRPr="00D5245F">
        <w:rPr>
          <w:rFonts w:ascii="Calibri" w:eastAsia="Calibri" w:hAnsi="Calibri" w:cs="Calibri"/>
          <w:noProof/>
          <w:color w:val="1F497D"/>
          <w:lang w:eastAsia="en-GB"/>
        </w:rPr>
        <w:drawing>
          <wp:inline distT="0" distB="0" distL="0" distR="0" wp14:anchorId="374806D1" wp14:editId="6A22B1CA">
            <wp:extent cx="2486025" cy="1152525"/>
            <wp:effectExtent l="0" t="0" r="9525" b="9525"/>
            <wp:docPr id="3" name="Picture 3" descr="cid:image005.pn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8E9F1.C296EA1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86025" cy="1152525"/>
                    </a:xfrm>
                    <a:prstGeom prst="rect">
                      <a:avLst/>
                    </a:prstGeom>
                    <a:noFill/>
                    <a:ln>
                      <a:noFill/>
                    </a:ln>
                  </pic:spPr>
                </pic:pic>
              </a:graphicData>
            </a:graphic>
          </wp:inline>
        </w:drawing>
      </w:r>
      <w:r w:rsidRPr="00D5245F">
        <w:rPr>
          <w:rFonts w:ascii="Calibri" w:eastAsia="Calibri" w:hAnsi="Calibri" w:cs="Calibri"/>
          <w:noProof/>
          <w:color w:val="1F497D"/>
          <w:lang w:eastAsia="en-GB"/>
        </w:rPr>
        <w:drawing>
          <wp:inline distT="0" distB="0" distL="0" distR="0" wp14:anchorId="145F1F3A" wp14:editId="65543283">
            <wp:extent cx="2552700" cy="819150"/>
            <wp:effectExtent l="0" t="0" r="0" b="0"/>
            <wp:docPr id="4" name="Picture 4" descr="cid:image007.pn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8E9F1.C296EA1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p>
    <w:p w14:paraId="06BE403B" w14:textId="77777777" w:rsidR="00D5245F" w:rsidRPr="00D5245F" w:rsidRDefault="00D5245F" w:rsidP="00D5245F">
      <w:pPr>
        <w:spacing w:after="0" w:line="240" w:lineRule="auto"/>
        <w:jc w:val="both"/>
        <w:rPr>
          <w:rFonts w:ascii="Calibri" w:eastAsia="Calibri" w:hAnsi="Calibri" w:cs="Calibri"/>
          <w:color w:val="1F497D"/>
          <w:lang w:eastAsia="en-GB"/>
        </w:rPr>
      </w:pPr>
      <w:r w:rsidRPr="00D5245F">
        <w:rPr>
          <w:rFonts w:ascii="Calibri" w:eastAsia="Calibri" w:hAnsi="Calibri" w:cs="Calibri"/>
          <w:noProof/>
          <w:color w:val="1F497D"/>
          <w:lang w:eastAsia="en-GB"/>
        </w:rPr>
        <w:drawing>
          <wp:inline distT="0" distB="0" distL="0" distR="0" wp14:anchorId="7890B4AF" wp14:editId="03E43865">
            <wp:extent cx="2371725" cy="933450"/>
            <wp:effectExtent l="0" t="0" r="9525" b="0"/>
            <wp:docPr id="5" name="Picture 5" descr="cid:image006.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jpg@01D8E9F1.C296EA1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371725" cy="933450"/>
                    </a:xfrm>
                    <a:prstGeom prst="rect">
                      <a:avLst/>
                    </a:prstGeom>
                    <a:noFill/>
                    <a:ln>
                      <a:noFill/>
                    </a:ln>
                  </pic:spPr>
                </pic:pic>
              </a:graphicData>
            </a:graphic>
          </wp:inline>
        </w:drawing>
      </w:r>
    </w:p>
    <w:p w14:paraId="4BB2C823" w14:textId="77777777" w:rsidR="00D5245F" w:rsidRPr="00D5245F" w:rsidRDefault="00D5245F" w:rsidP="00D5245F">
      <w:pPr>
        <w:spacing w:line="256" w:lineRule="auto"/>
        <w:rPr>
          <w:rFonts w:ascii="Calibri" w:eastAsia="Calibri" w:hAnsi="Calibri" w:cs="Times New Roman"/>
          <w:color w:val="008CB9"/>
          <w:sz w:val="72"/>
          <w:szCs w:val="72"/>
        </w:rPr>
      </w:pPr>
    </w:p>
    <w:p w14:paraId="24B4C31A" w14:textId="77777777" w:rsidR="005F6F1D" w:rsidRPr="005F6F1D" w:rsidRDefault="005F6F1D" w:rsidP="005F6F1D">
      <w:pPr>
        <w:rPr>
          <w:rFonts w:ascii="Calibri" w:eastAsia="Calibri" w:hAnsi="Calibri" w:cs="Times New Roman"/>
          <w:noProof/>
          <w:color w:val="1F497D"/>
          <w:lang w:eastAsia="en-GB"/>
        </w:rPr>
      </w:pPr>
    </w:p>
    <w:p w14:paraId="605C3FAF" w14:textId="77777777" w:rsidR="00616021" w:rsidRPr="0083101A" w:rsidRDefault="00616021" w:rsidP="00616021">
      <w:pPr>
        <w:spacing w:after="1920" w:line="254" w:lineRule="auto"/>
        <w:rPr>
          <w:rFonts w:ascii="Calibri" w:eastAsia="Calibri" w:hAnsi="Calibri" w:cs="Times New Roman"/>
          <w:color w:val="0070C0"/>
          <w:sz w:val="72"/>
          <w:szCs w:val="72"/>
        </w:rPr>
      </w:pPr>
      <w:r w:rsidRPr="0083101A">
        <w:rPr>
          <w:rFonts w:ascii="Calibri" w:eastAsia="Calibri" w:hAnsi="Calibri" w:cs="Times New Roman"/>
          <w:color w:val="0070C0"/>
          <w:sz w:val="72"/>
          <w:szCs w:val="72"/>
        </w:rPr>
        <w:lastRenderedPageBreak/>
        <w:t>Contents</w:t>
      </w:r>
    </w:p>
    <w:p w14:paraId="4E041296"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sidRPr="0083101A">
        <w:rPr>
          <w:rFonts w:ascii="Calibri" w:eastAsia="Calibri" w:hAnsi="Calibri" w:cs="Times New Roman"/>
          <w:color w:val="0070C0"/>
          <w:sz w:val="32"/>
          <w:szCs w:val="32"/>
        </w:rPr>
        <w:t>1 Comp</w:t>
      </w:r>
      <w:r>
        <w:rPr>
          <w:rFonts w:ascii="Calibri" w:eastAsia="Calibri" w:hAnsi="Calibri" w:cs="Times New Roman"/>
          <w:color w:val="0070C0"/>
          <w:sz w:val="32"/>
          <w:szCs w:val="32"/>
        </w:rPr>
        <w:t>leted work ……..………………………………………….4</w:t>
      </w:r>
    </w:p>
    <w:p w14:paraId="0D49E18E"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2 Work in progress</w:t>
      </w:r>
      <w:r>
        <w:rPr>
          <w:rFonts w:ascii="Calibri" w:eastAsia="Calibri" w:hAnsi="Calibri" w:cs="Times New Roman"/>
          <w:color w:val="0070C0"/>
          <w:sz w:val="32"/>
          <w:szCs w:val="32"/>
        </w:rPr>
        <w:tab/>
        <w:t>5</w:t>
      </w:r>
    </w:p>
    <w:p w14:paraId="665ECEFD"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3 Member web registrations</w:t>
      </w:r>
      <w:r>
        <w:rPr>
          <w:rFonts w:ascii="Calibri" w:eastAsia="Calibri" w:hAnsi="Calibri" w:cs="Times New Roman"/>
          <w:color w:val="0070C0"/>
          <w:sz w:val="32"/>
          <w:szCs w:val="32"/>
        </w:rPr>
        <w:tab/>
        <w:t>6</w:t>
      </w:r>
    </w:p>
    <w:p w14:paraId="5E37A7E9"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4 Membership Numbers</w:t>
      </w:r>
      <w:r>
        <w:rPr>
          <w:rFonts w:ascii="Calibri" w:eastAsia="Calibri" w:hAnsi="Calibri" w:cs="Times New Roman"/>
          <w:color w:val="0070C0"/>
          <w:sz w:val="32"/>
          <w:szCs w:val="32"/>
        </w:rPr>
        <w:tab/>
        <w:t>7</w:t>
      </w:r>
    </w:p>
    <w:p w14:paraId="183173FB"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5 Administration Update</w:t>
      </w:r>
      <w:r>
        <w:rPr>
          <w:rFonts w:ascii="Calibri" w:eastAsia="Calibri" w:hAnsi="Calibri" w:cs="Times New Roman"/>
          <w:color w:val="0070C0"/>
          <w:sz w:val="32"/>
          <w:szCs w:val="32"/>
        </w:rPr>
        <w:tab/>
        <w:t>11</w:t>
      </w:r>
    </w:p>
    <w:p w14:paraId="3C3B31F6"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6</w:t>
      </w:r>
      <w:r w:rsidRPr="0083101A">
        <w:rPr>
          <w:rFonts w:ascii="Calibri" w:eastAsia="Calibri" w:hAnsi="Calibri" w:cs="Times New Roman"/>
          <w:color w:val="0070C0"/>
          <w:sz w:val="32"/>
          <w:szCs w:val="32"/>
        </w:rPr>
        <w:t xml:space="preserve"> Communication &amp; Training</w:t>
      </w:r>
      <w:r>
        <w:rPr>
          <w:rFonts w:ascii="Calibri" w:eastAsia="Calibri" w:hAnsi="Calibri" w:cs="Times New Roman"/>
          <w:color w:val="0070C0"/>
          <w:sz w:val="32"/>
          <w:szCs w:val="32"/>
        </w:rPr>
        <w:tab/>
        <w:t>14</w:t>
      </w:r>
    </w:p>
    <w:p w14:paraId="45F872AC"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7</w:t>
      </w:r>
      <w:r w:rsidRPr="0083101A">
        <w:rPr>
          <w:rFonts w:ascii="Calibri" w:eastAsia="Calibri" w:hAnsi="Calibri" w:cs="Times New Roman"/>
          <w:color w:val="0070C0"/>
          <w:sz w:val="32"/>
          <w:szCs w:val="32"/>
        </w:rPr>
        <w:t xml:space="preserve"> </w:t>
      </w:r>
      <w:r>
        <w:rPr>
          <w:rFonts w:ascii="Calibri" w:eastAsia="Calibri" w:hAnsi="Calibri" w:cs="Times New Roman"/>
          <w:color w:val="0070C0"/>
          <w:sz w:val="32"/>
          <w:szCs w:val="32"/>
        </w:rPr>
        <w:t>Member Update …………………………………………......15</w:t>
      </w:r>
    </w:p>
    <w:p w14:paraId="67541530"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8</w:t>
      </w:r>
      <w:r w:rsidRPr="0083101A">
        <w:rPr>
          <w:rFonts w:ascii="Calibri" w:eastAsia="Calibri" w:hAnsi="Calibri" w:cs="Times New Roman"/>
          <w:color w:val="0070C0"/>
          <w:sz w:val="32"/>
          <w:szCs w:val="32"/>
        </w:rPr>
        <w:t xml:space="preserve"> IT </w:t>
      </w:r>
      <w:r>
        <w:rPr>
          <w:rFonts w:ascii="Calibri" w:eastAsia="Calibri" w:hAnsi="Calibri" w:cs="Times New Roman"/>
          <w:color w:val="0070C0"/>
          <w:sz w:val="32"/>
          <w:szCs w:val="32"/>
        </w:rPr>
        <w:t>Update ………………………………………………………….15</w:t>
      </w:r>
    </w:p>
    <w:p w14:paraId="1FBDB113"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9 Five Year Audit Plan</w:t>
      </w:r>
      <w:r>
        <w:rPr>
          <w:rFonts w:ascii="Calibri" w:eastAsia="Calibri" w:hAnsi="Calibri" w:cs="Times New Roman"/>
          <w:color w:val="0070C0"/>
          <w:sz w:val="32"/>
          <w:szCs w:val="32"/>
        </w:rPr>
        <w:tab/>
        <w:t>16</w:t>
      </w:r>
    </w:p>
    <w:p w14:paraId="4B3EE930" w14:textId="77777777" w:rsidR="00616021" w:rsidRPr="0083101A"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10</w:t>
      </w:r>
      <w:r w:rsidRPr="0083101A">
        <w:rPr>
          <w:rFonts w:ascii="Calibri" w:eastAsia="Calibri" w:hAnsi="Calibri" w:cs="Times New Roman"/>
          <w:color w:val="0070C0"/>
          <w:sz w:val="32"/>
          <w:szCs w:val="32"/>
        </w:rPr>
        <w:t xml:space="preserve"> Over</w:t>
      </w:r>
      <w:r>
        <w:rPr>
          <w:rFonts w:ascii="Calibri" w:eastAsia="Calibri" w:hAnsi="Calibri" w:cs="Times New Roman"/>
          <w:color w:val="0070C0"/>
          <w:sz w:val="32"/>
          <w:szCs w:val="32"/>
        </w:rPr>
        <w:t>riding Disclosure Time Limits</w:t>
      </w:r>
      <w:r>
        <w:rPr>
          <w:rFonts w:ascii="Calibri" w:eastAsia="Calibri" w:hAnsi="Calibri" w:cs="Times New Roman"/>
          <w:color w:val="0070C0"/>
          <w:sz w:val="32"/>
          <w:szCs w:val="32"/>
        </w:rPr>
        <w:tab/>
        <w:t>18</w:t>
      </w:r>
    </w:p>
    <w:p w14:paraId="4784B49F" w14:textId="77777777" w:rsidR="00616021"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11 Calendar of Events</w:t>
      </w:r>
      <w:r>
        <w:rPr>
          <w:rFonts w:ascii="Calibri" w:eastAsia="Calibri" w:hAnsi="Calibri" w:cs="Times New Roman"/>
          <w:color w:val="0070C0"/>
          <w:sz w:val="32"/>
          <w:szCs w:val="32"/>
        </w:rPr>
        <w:tab/>
        <w:t>20</w:t>
      </w:r>
    </w:p>
    <w:p w14:paraId="49121DF7" w14:textId="77777777" w:rsidR="00616021" w:rsidRDefault="00616021" w:rsidP="00616021">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12</w:t>
      </w:r>
      <w:r w:rsidRPr="0083101A">
        <w:rPr>
          <w:rFonts w:ascii="Calibri" w:eastAsia="Calibri" w:hAnsi="Calibri" w:cs="Times New Roman"/>
          <w:color w:val="0070C0"/>
          <w:sz w:val="32"/>
          <w:szCs w:val="32"/>
        </w:rPr>
        <w:t xml:space="preserve"> R</w:t>
      </w:r>
      <w:r>
        <w:rPr>
          <w:rFonts w:ascii="Calibri" w:eastAsia="Calibri" w:hAnsi="Calibri" w:cs="Times New Roman"/>
          <w:color w:val="0070C0"/>
          <w:sz w:val="32"/>
          <w:szCs w:val="32"/>
        </w:rPr>
        <w:t>egulations/Fire Scheme Update</w:t>
      </w:r>
      <w:r>
        <w:rPr>
          <w:rFonts w:ascii="Calibri" w:eastAsia="Calibri" w:hAnsi="Calibri" w:cs="Times New Roman"/>
          <w:color w:val="0070C0"/>
          <w:sz w:val="32"/>
          <w:szCs w:val="32"/>
        </w:rPr>
        <w:tab/>
        <w:t>21</w:t>
      </w:r>
    </w:p>
    <w:p w14:paraId="6382B671" w14:textId="77777777" w:rsidR="00F26B4B" w:rsidRDefault="00F26B4B" w:rsidP="00F26B4B">
      <w:pPr>
        <w:tabs>
          <w:tab w:val="right" w:leader="dot" w:pos="6804"/>
        </w:tabs>
        <w:spacing w:after="240" w:line="254" w:lineRule="auto"/>
        <w:rPr>
          <w:rFonts w:ascii="Calibri" w:eastAsia="Calibri" w:hAnsi="Calibri" w:cs="Times New Roman"/>
          <w:color w:val="0070C0"/>
          <w:sz w:val="32"/>
          <w:szCs w:val="32"/>
        </w:rPr>
      </w:pPr>
    </w:p>
    <w:p w14:paraId="41C57EA7" w14:textId="77777777" w:rsidR="00222724" w:rsidRDefault="00222724" w:rsidP="00222724">
      <w:pPr>
        <w:tabs>
          <w:tab w:val="right" w:leader="dot" w:pos="6804"/>
        </w:tabs>
        <w:spacing w:after="240" w:line="254" w:lineRule="auto"/>
        <w:rPr>
          <w:rFonts w:ascii="Calibri" w:eastAsia="Calibri" w:hAnsi="Calibri" w:cs="Times New Roman"/>
          <w:color w:val="0070C0"/>
          <w:sz w:val="32"/>
          <w:szCs w:val="32"/>
        </w:rPr>
      </w:pPr>
    </w:p>
    <w:p w14:paraId="509896B2" w14:textId="77777777" w:rsidR="00222724" w:rsidRDefault="00222724" w:rsidP="00222724">
      <w:pPr>
        <w:tabs>
          <w:tab w:val="right" w:leader="dot" w:pos="6804"/>
        </w:tabs>
        <w:spacing w:after="240" w:line="254" w:lineRule="auto"/>
        <w:rPr>
          <w:rFonts w:ascii="Calibri" w:eastAsia="Calibri" w:hAnsi="Calibri" w:cs="Times New Roman"/>
          <w:color w:val="0070C0"/>
          <w:sz w:val="32"/>
          <w:szCs w:val="32"/>
        </w:rPr>
      </w:pPr>
    </w:p>
    <w:p w14:paraId="08DA1631" w14:textId="77777777" w:rsidR="00222724" w:rsidRDefault="00222724" w:rsidP="00222724">
      <w:pPr>
        <w:tabs>
          <w:tab w:val="right" w:leader="dot" w:pos="6804"/>
        </w:tabs>
        <w:spacing w:after="240" w:line="254" w:lineRule="auto"/>
        <w:rPr>
          <w:rFonts w:ascii="Calibri" w:eastAsia="Calibri" w:hAnsi="Calibri" w:cs="Times New Roman"/>
          <w:color w:val="0070C0"/>
          <w:sz w:val="32"/>
          <w:szCs w:val="32"/>
        </w:rPr>
      </w:pPr>
    </w:p>
    <w:p w14:paraId="3191FC04" w14:textId="77777777" w:rsidR="00222724" w:rsidRPr="0083101A" w:rsidRDefault="00222724" w:rsidP="00222724">
      <w:pPr>
        <w:tabs>
          <w:tab w:val="right" w:leader="dot" w:pos="6804"/>
        </w:tabs>
        <w:spacing w:after="240" w:line="254" w:lineRule="auto"/>
        <w:rPr>
          <w:rFonts w:ascii="Calibri" w:eastAsia="Calibri" w:hAnsi="Calibri" w:cs="Times New Roman"/>
          <w:color w:val="0070C0"/>
          <w:sz w:val="32"/>
          <w:szCs w:val="32"/>
        </w:rPr>
      </w:pPr>
    </w:p>
    <w:p w14:paraId="113C326C" w14:textId="52E55B98" w:rsidR="004329EB" w:rsidRDefault="005F6F1D" w:rsidP="001A5D52">
      <w:pPr>
        <w:ind w:left="851" w:hanging="851"/>
        <w:rPr>
          <w:rFonts w:ascii="Arial" w:eastAsia="Calibri" w:hAnsi="Arial" w:cs="Arial"/>
          <w:color w:val="0070C0"/>
          <w:sz w:val="28"/>
          <w:szCs w:val="28"/>
        </w:rPr>
      </w:pPr>
      <w:r w:rsidRPr="005F6F1D">
        <w:rPr>
          <w:rFonts w:ascii="Arial" w:eastAsia="Calibri" w:hAnsi="Arial" w:cs="Arial"/>
          <w:b/>
          <w:color w:val="0070C0"/>
          <w:sz w:val="28"/>
          <w:szCs w:val="28"/>
        </w:rPr>
        <w:lastRenderedPageBreak/>
        <w:t>1.Completed processes</w:t>
      </w:r>
      <w:r w:rsidRPr="005F6F1D">
        <w:rPr>
          <w:rFonts w:ascii="Arial" w:eastAsia="Calibri" w:hAnsi="Arial" w:cs="Arial"/>
          <w:color w:val="0070C0"/>
          <w:sz w:val="28"/>
          <w:szCs w:val="28"/>
        </w:rPr>
        <w:t xml:space="preserve"> </w:t>
      </w: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5F6F1D" w:rsidRPr="005F6F1D" w14:paraId="6891F012" w14:textId="77777777" w:rsidTr="009C33B8">
        <w:trPr>
          <w:trHeight w:val="300"/>
        </w:trPr>
        <w:tc>
          <w:tcPr>
            <w:tcW w:w="8500" w:type="dxa"/>
            <w:gridSpan w:val="6"/>
            <w:tcBorders>
              <w:bottom w:val="single" w:sz="4" w:space="0" w:color="auto"/>
            </w:tcBorders>
            <w:noWrap/>
            <w:hideMark/>
          </w:tcPr>
          <w:p w14:paraId="1CDE92A3" w14:textId="429366D2" w:rsidR="005F6F1D" w:rsidRPr="005F6F1D" w:rsidRDefault="003063F4" w:rsidP="00720D97">
            <w:pPr>
              <w:rPr>
                <w:rFonts w:ascii="Calibri" w:eastAsia="Calibri" w:hAnsi="Calibri" w:cs="Arial"/>
                <w:b/>
              </w:rPr>
            </w:pPr>
            <w:r>
              <w:rPr>
                <w:rFonts w:ascii="Calibri" w:eastAsia="Calibri" w:hAnsi="Calibri" w:cs="Arial"/>
                <w:b/>
              </w:rPr>
              <w:t xml:space="preserve">1 to </w:t>
            </w:r>
            <w:r w:rsidR="001A5D52">
              <w:rPr>
                <w:rFonts w:ascii="Calibri" w:eastAsia="Calibri" w:hAnsi="Calibri" w:cs="Arial"/>
                <w:b/>
              </w:rPr>
              <w:t>3</w:t>
            </w:r>
            <w:r w:rsidR="009C33B8">
              <w:rPr>
                <w:rFonts w:ascii="Calibri" w:eastAsia="Calibri" w:hAnsi="Calibri" w:cs="Arial"/>
                <w:b/>
              </w:rPr>
              <w:t>1 October</w:t>
            </w:r>
            <w:r w:rsidR="00CB7CFD">
              <w:rPr>
                <w:rFonts w:ascii="Calibri" w:eastAsia="Calibri" w:hAnsi="Calibri" w:cs="Arial"/>
                <w:b/>
              </w:rPr>
              <w:t xml:space="preserve"> 2024</w:t>
            </w:r>
          </w:p>
        </w:tc>
        <w:tc>
          <w:tcPr>
            <w:tcW w:w="1134" w:type="dxa"/>
            <w:tcBorders>
              <w:bottom w:val="single" w:sz="4" w:space="0" w:color="auto"/>
            </w:tcBorders>
          </w:tcPr>
          <w:p w14:paraId="21AC42F8" w14:textId="77777777" w:rsidR="005F6F1D" w:rsidRPr="005F6F1D" w:rsidRDefault="005F6F1D" w:rsidP="005F6F1D">
            <w:pPr>
              <w:rPr>
                <w:rFonts w:ascii="Calibri" w:eastAsia="Calibri" w:hAnsi="Calibri" w:cs="Arial"/>
                <w:b/>
              </w:rPr>
            </w:pPr>
          </w:p>
        </w:tc>
      </w:tr>
      <w:tr w:rsidR="005F6F1D" w:rsidRPr="005F6F1D" w14:paraId="7E120F35" w14:textId="77777777" w:rsidTr="009C33B8">
        <w:trPr>
          <w:trHeight w:val="825"/>
        </w:trPr>
        <w:tc>
          <w:tcPr>
            <w:tcW w:w="2972" w:type="dxa"/>
            <w:shd w:val="clear" w:color="auto" w:fill="D3E5F6"/>
            <w:hideMark/>
          </w:tcPr>
          <w:p w14:paraId="41B3C36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Work Type</w:t>
            </w:r>
          </w:p>
        </w:tc>
        <w:tc>
          <w:tcPr>
            <w:tcW w:w="851" w:type="dxa"/>
            <w:shd w:val="clear" w:color="auto" w:fill="D3E5F6"/>
            <w:hideMark/>
          </w:tcPr>
          <w:p w14:paraId="285CDAC1"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Total Cases</w:t>
            </w:r>
          </w:p>
        </w:tc>
        <w:tc>
          <w:tcPr>
            <w:tcW w:w="1275" w:type="dxa"/>
            <w:shd w:val="clear" w:color="auto" w:fill="D3E5F6"/>
            <w:hideMark/>
          </w:tcPr>
          <w:p w14:paraId="0D40F3C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days for each case</w:t>
            </w:r>
          </w:p>
        </w:tc>
        <w:tc>
          <w:tcPr>
            <w:tcW w:w="993" w:type="dxa"/>
            <w:shd w:val="clear" w:color="auto" w:fill="D3E5F6"/>
            <w:hideMark/>
          </w:tcPr>
          <w:p w14:paraId="0FD4248F"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cases</w:t>
            </w:r>
          </w:p>
        </w:tc>
        <w:tc>
          <w:tcPr>
            <w:tcW w:w="1134" w:type="dxa"/>
            <w:shd w:val="clear" w:color="auto" w:fill="D3E5F6"/>
            <w:hideMark/>
          </w:tcPr>
          <w:p w14:paraId="588B359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Minimum Target Met</w:t>
            </w:r>
          </w:p>
        </w:tc>
        <w:tc>
          <w:tcPr>
            <w:tcW w:w="1275" w:type="dxa"/>
            <w:shd w:val="clear" w:color="auto" w:fill="D3E5F6"/>
            <w:hideMark/>
          </w:tcPr>
          <w:p w14:paraId="6F93280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percent</w:t>
            </w:r>
          </w:p>
        </w:tc>
        <w:tc>
          <w:tcPr>
            <w:tcW w:w="1134" w:type="dxa"/>
            <w:shd w:val="clear" w:color="auto" w:fill="D3E5F6"/>
            <w:hideMark/>
          </w:tcPr>
          <w:p w14:paraId="7B72CC3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Average time taken</w:t>
            </w:r>
          </w:p>
        </w:tc>
      </w:tr>
      <w:tr w:rsidR="009C33B8" w:rsidRPr="009C33B8" w14:paraId="00D4943B" w14:textId="77777777" w:rsidTr="009C33B8">
        <w:trPr>
          <w:trHeight w:val="300"/>
        </w:trPr>
        <w:tc>
          <w:tcPr>
            <w:tcW w:w="2972" w:type="dxa"/>
            <w:noWrap/>
            <w:hideMark/>
          </w:tcPr>
          <w:p w14:paraId="01C11067"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Change of Address</w:t>
            </w:r>
          </w:p>
        </w:tc>
        <w:tc>
          <w:tcPr>
            <w:tcW w:w="851" w:type="dxa"/>
            <w:noWrap/>
            <w:hideMark/>
          </w:tcPr>
          <w:p w14:paraId="669EF477"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275" w:type="dxa"/>
            <w:noWrap/>
            <w:hideMark/>
          </w:tcPr>
          <w:p w14:paraId="7B156A25"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20</w:t>
            </w:r>
          </w:p>
        </w:tc>
        <w:tc>
          <w:tcPr>
            <w:tcW w:w="993" w:type="dxa"/>
            <w:noWrap/>
            <w:hideMark/>
          </w:tcPr>
          <w:p w14:paraId="7F961A61"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134" w:type="dxa"/>
            <w:noWrap/>
            <w:hideMark/>
          </w:tcPr>
          <w:p w14:paraId="3C7EEEB4"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85</w:t>
            </w:r>
          </w:p>
        </w:tc>
        <w:tc>
          <w:tcPr>
            <w:tcW w:w="1275" w:type="dxa"/>
            <w:noWrap/>
            <w:hideMark/>
          </w:tcPr>
          <w:p w14:paraId="6C9845C8"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134" w:type="dxa"/>
            <w:noWrap/>
            <w:hideMark/>
          </w:tcPr>
          <w:p w14:paraId="28B9F40E"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w:t>
            </w:r>
          </w:p>
        </w:tc>
      </w:tr>
      <w:tr w:rsidR="009C33B8" w:rsidRPr="009C33B8" w14:paraId="5C33E3B2" w14:textId="77777777" w:rsidTr="009C33B8">
        <w:trPr>
          <w:trHeight w:val="300"/>
        </w:trPr>
        <w:tc>
          <w:tcPr>
            <w:tcW w:w="2972" w:type="dxa"/>
            <w:noWrap/>
            <w:hideMark/>
          </w:tcPr>
          <w:p w14:paraId="7647586C"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Deferred Benefits Into Payment Quote</w:t>
            </w:r>
          </w:p>
        </w:tc>
        <w:tc>
          <w:tcPr>
            <w:tcW w:w="851" w:type="dxa"/>
            <w:noWrap/>
            <w:hideMark/>
          </w:tcPr>
          <w:p w14:paraId="2A1821E5"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275" w:type="dxa"/>
            <w:noWrap/>
            <w:hideMark/>
          </w:tcPr>
          <w:p w14:paraId="7AD91A8A"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35</w:t>
            </w:r>
          </w:p>
        </w:tc>
        <w:tc>
          <w:tcPr>
            <w:tcW w:w="993" w:type="dxa"/>
            <w:noWrap/>
            <w:hideMark/>
          </w:tcPr>
          <w:p w14:paraId="75DC23D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134" w:type="dxa"/>
            <w:noWrap/>
            <w:hideMark/>
          </w:tcPr>
          <w:p w14:paraId="19586EFD"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85</w:t>
            </w:r>
          </w:p>
        </w:tc>
        <w:tc>
          <w:tcPr>
            <w:tcW w:w="1275" w:type="dxa"/>
            <w:noWrap/>
            <w:hideMark/>
          </w:tcPr>
          <w:p w14:paraId="70A69F1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134" w:type="dxa"/>
            <w:noWrap/>
            <w:hideMark/>
          </w:tcPr>
          <w:p w14:paraId="43317A76"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8</w:t>
            </w:r>
          </w:p>
        </w:tc>
      </w:tr>
      <w:tr w:rsidR="009C33B8" w:rsidRPr="009C33B8" w14:paraId="0DF51034" w14:textId="77777777" w:rsidTr="009C33B8">
        <w:trPr>
          <w:trHeight w:val="300"/>
        </w:trPr>
        <w:tc>
          <w:tcPr>
            <w:tcW w:w="2972" w:type="dxa"/>
            <w:noWrap/>
            <w:hideMark/>
          </w:tcPr>
          <w:p w14:paraId="4DB313E8"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Deferred Benefits Set Up on Leaving</w:t>
            </w:r>
          </w:p>
        </w:tc>
        <w:tc>
          <w:tcPr>
            <w:tcW w:w="851" w:type="dxa"/>
            <w:noWrap/>
            <w:hideMark/>
          </w:tcPr>
          <w:p w14:paraId="6A0F88DD"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w:t>
            </w:r>
          </w:p>
        </w:tc>
        <w:tc>
          <w:tcPr>
            <w:tcW w:w="1275" w:type="dxa"/>
            <w:noWrap/>
            <w:hideMark/>
          </w:tcPr>
          <w:p w14:paraId="71028177"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20</w:t>
            </w:r>
          </w:p>
        </w:tc>
        <w:tc>
          <w:tcPr>
            <w:tcW w:w="993" w:type="dxa"/>
            <w:noWrap/>
            <w:hideMark/>
          </w:tcPr>
          <w:p w14:paraId="082DA3C0"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134" w:type="dxa"/>
            <w:noWrap/>
            <w:hideMark/>
          </w:tcPr>
          <w:p w14:paraId="59EFB76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85</w:t>
            </w:r>
          </w:p>
        </w:tc>
        <w:tc>
          <w:tcPr>
            <w:tcW w:w="1275" w:type="dxa"/>
            <w:noWrap/>
            <w:hideMark/>
          </w:tcPr>
          <w:p w14:paraId="5C5C6653"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134" w:type="dxa"/>
            <w:noWrap/>
            <w:hideMark/>
          </w:tcPr>
          <w:p w14:paraId="5FCE71EA"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130</w:t>
            </w:r>
          </w:p>
        </w:tc>
      </w:tr>
      <w:tr w:rsidR="009C33B8" w:rsidRPr="009C33B8" w14:paraId="459A7832" w14:textId="77777777" w:rsidTr="009C33B8">
        <w:trPr>
          <w:trHeight w:val="300"/>
        </w:trPr>
        <w:tc>
          <w:tcPr>
            <w:tcW w:w="2972" w:type="dxa"/>
            <w:noWrap/>
            <w:hideMark/>
          </w:tcPr>
          <w:p w14:paraId="0D7B477A"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Life Certificate</w:t>
            </w:r>
          </w:p>
        </w:tc>
        <w:tc>
          <w:tcPr>
            <w:tcW w:w="851" w:type="dxa"/>
            <w:noWrap/>
            <w:hideMark/>
          </w:tcPr>
          <w:p w14:paraId="4D71C9B8"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w:t>
            </w:r>
          </w:p>
        </w:tc>
        <w:tc>
          <w:tcPr>
            <w:tcW w:w="1275" w:type="dxa"/>
            <w:noWrap/>
            <w:hideMark/>
          </w:tcPr>
          <w:p w14:paraId="21546CBD"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w:t>
            </w:r>
          </w:p>
        </w:tc>
        <w:tc>
          <w:tcPr>
            <w:tcW w:w="993" w:type="dxa"/>
            <w:noWrap/>
            <w:hideMark/>
          </w:tcPr>
          <w:p w14:paraId="3EDC60C8"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w:t>
            </w:r>
          </w:p>
        </w:tc>
        <w:tc>
          <w:tcPr>
            <w:tcW w:w="1134" w:type="dxa"/>
            <w:noWrap/>
            <w:hideMark/>
          </w:tcPr>
          <w:p w14:paraId="2779B57F"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85</w:t>
            </w:r>
          </w:p>
        </w:tc>
        <w:tc>
          <w:tcPr>
            <w:tcW w:w="1275" w:type="dxa"/>
            <w:noWrap/>
            <w:hideMark/>
          </w:tcPr>
          <w:p w14:paraId="03347EA4"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134" w:type="dxa"/>
            <w:noWrap/>
            <w:hideMark/>
          </w:tcPr>
          <w:p w14:paraId="0FEB0138"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1.5</w:t>
            </w:r>
          </w:p>
        </w:tc>
      </w:tr>
      <w:tr w:rsidR="009C33B8" w:rsidRPr="009C33B8" w14:paraId="5DE230CA" w14:textId="77777777" w:rsidTr="009C33B8">
        <w:trPr>
          <w:trHeight w:val="300"/>
        </w:trPr>
        <w:tc>
          <w:tcPr>
            <w:tcW w:w="2972" w:type="dxa"/>
            <w:noWrap/>
            <w:hideMark/>
          </w:tcPr>
          <w:p w14:paraId="5201DF25"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NI adjustment to Pension at State Pension Age</w:t>
            </w:r>
          </w:p>
        </w:tc>
        <w:tc>
          <w:tcPr>
            <w:tcW w:w="851" w:type="dxa"/>
            <w:noWrap/>
            <w:hideMark/>
          </w:tcPr>
          <w:p w14:paraId="2CDA6523"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275" w:type="dxa"/>
            <w:noWrap/>
            <w:hideMark/>
          </w:tcPr>
          <w:p w14:paraId="5166A94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20</w:t>
            </w:r>
          </w:p>
        </w:tc>
        <w:tc>
          <w:tcPr>
            <w:tcW w:w="993" w:type="dxa"/>
            <w:noWrap/>
            <w:hideMark/>
          </w:tcPr>
          <w:p w14:paraId="6A7835FF"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134" w:type="dxa"/>
            <w:noWrap/>
            <w:hideMark/>
          </w:tcPr>
          <w:p w14:paraId="20BC5C7E"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85</w:t>
            </w:r>
          </w:p>
        </w:tc>
        <w:tc>
          <w:tcPr>
            <w:tcW w:w="1275" w:type="dxa"/>
            <w:noWrap/>
            <w:hideMark/>
          </w:tcPr>
          <w:p w14:paraId="753513FA"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134" w:type="dxa"/>
            <w:noWrap/>
            <w:hideMark/>
          </w:tcPr>
          <w:p w14:paraId="104C6598"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20</w:t>
            </w:r>
          </w:p>
        </w:tc>
      </w:tr>
      <w:tr w:rsidR="009C33B8" w:rsidRPr="009C33B8" w14:paraId="05B8597F" w14:textId="77777777" w:rsidTr="009C33B8">
        <w:trPr>
          <w:trHeight w:val="300"/>
        </w:trPr>
        <w:tc>
          <w:tcPr>
            <w:tcW w:w="2972" w:type="dxa"/>
            <w:noWrap/>
            <w:hideMark/>
          </w:tcPr>
          <w:p w14:paraId="4976948B"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Pension Estimate</w:t>
            </w:r>
          </w:p>
        </w:tc>
        <w:tc>
          <w:tcPr>
            <w:tcW w:w="851" w:type="dxa"/>
            <w:noWrap/>
            <w:hideMark/>
          </w:tcPr>
          <w:p w14:paraId="652D663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275" w:type="dxa"/>
            <w:noWrap/>
            <w:hideMark/>
          </w:tcPr>
          <w:p w14:paraId="19B673DE"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w:t>
            </w:r>
          </w:p>
        </w:tc>
        <w:tc>
          <w:tcPr>
            <w:tcW w:w="993" w:type="dxa"/>
            <w:noWrap/>
            <w:hideMark/>
          </w:tcPr>
          <w:p w14:paraId="0787CE1D"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134" w:type="dxa"/>
            <w:noWrap/>
            <w:hideMark/>
          </w:tcPr>
          <w:p w14:paraId="7FFAE66E"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90</w:t>
            </w:r>
          </w:p>
        </w:tc>
        <w:tc>
          <w:tcPr>
            <w:tcW w:w="1275" w:type="dxa"/>
            <w:noWrap/>
            <w:hideMark/>
          </w:tcPr>
          <w:p w14:paraId="5766F721"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134" w:type="dxa"/>
            <w:noWrap/>
            <w:hideMark/>
          </w:tcPr>
          <w:p w14:paraId="24239FD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r>
      <w:tr w:rsidR="009C33B8" w:rsidRPr="009C33B8" w14:paraId="5265D0FA" w14:textId="77777777" w:rsidTr="009C33B8">
        <w:trPr>
          <w:trHeight w:val="300"/>
        </w:trPr>
        <w:tc>
          <w:tcPr>
            <w:tcW w:w="2972" w:type="dxa"/>
            <w:noWrap/>
            <w:hideMark/>
          </w:tcPr>
          <w:p w14:paraId="0C4E14D0" w14:textId="76EAABF4"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Pension Set Up</w:t>
            </w:r>
            <w:r>
              <w:rPr>
                <w:rFonts w:ascii="Calibri" w:eastAsia="Times New Roman" w:hAnsi="Calibri" w:cs="Calibri"/>
                <w:color w:val="000000"/>
                <w:lang w:eastAsia="en-GB"/>
              </w:rPr>
              <w:t>/</w:t>
            </w:r>
            <w:r w:rsidRPr="009C33B8">
              <w:rPr>
                <w:rFonts w:ascii="Calibri" w:eastAsia="Times New Roman" w:hAnsi="Calibri" w:cs="Calibri"/>
                <w:color w:val="000000"/>
                <w:lang w:eastAsia="en-GB"/>
              </w:rPr>
              <w:t>Payment of Lump Sum</w:t>
            </w:r>
          </w:p>
        </w:tc>
        <w:tc>
          <w:tcPr>
            <w:tcW w:w="851" w:type="dxa"/>
            <w:noWrap/>
            <w:hideMark/>
          </w:tcPr>
          <w:p w14:paraId="2A812177"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275" w:type="dxa"/>
            <w:noWrap/>
            <w:hideMark/>
          </w:tcPr>
          <w:p w14:paraId="36EDAB05"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3</w:t>
            </w:r>
          </w:p>
        </w:tc>
        <w:tc>
          <w:tcPr>
            <w:tcW w:w="993" w:type="dxa"/>
            <w:noWrap/>
            <w:hideMark/>
          </w:tcPr>
          <w:p w14:paraId="56C6C205"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134" w:type="dxa"/>
            <w:noWrap/>
            <w:hideMark/>
          </w:tcPr>
          <w:p w14:paraId="220E268A"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85</w:t>
            </w:r>
          </w:p>
        </w:tc>
        <w:tc>
          <w:tcPr>
            <w:tcW w:w="1275" w:type="dxa"/>
            <w:noWrap/>
            <w:hideMark/>
          </w:tcPr>
          <w:p w14:paraId="13E9451E"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134" w:type="dxa"/>
            <w:noWrap/>
            <w:hideMark/>
          </w:tcPr>
          <w:p w14:paraId="770D4039"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3</w:t>
            </w:r>
          </w:p>
        </w:tc>
      </w:tr>
      <w:tr w:rsidR="009C33B8" w:rsidRPr="009C33B8" w14:paraId="1AA9AEA9" w14:textId="77777777" w:rsidTr="009C33B8">
        <w:trPr>
          <w:trHeight w:val="300"/>
        </w:trPr>
        <w:tc>
          <w:tcPr>
            <w:tcW w:w="2972" w:type="dxa"/>
            <w:noWrap/>
            <w:hideMark/>
          </w:tcPr>
          <w:p w14:paraId="270EF3D8"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Retirement Actual</w:t>
            </w:r>
          </w:p>
        </w:tc>
        <w:tc>
          <w:tcPr>
            <w:tcW w:w="851" w:type="dxa"/>
            <w:noWrap/>
            <w:hideMark/>
          </w:tcPr>
          <w:p w14:paraId="03AD63F7"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275" w:type="dxa"/>
            <w:noWrap/>
            <w:hideMark/>
          </w:tcPr>
          <w:p w14:paraId="2DE09A94"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w:t>
            </w:r>
          </w:p>
        </w:tc>
        <w:tc>
          <w:tcPr>
            <w:tcW w:w="993" w:type="dxa"/>
            <w:noWrap/>
            <w:hideMark/>
          </w:tcPr>
          <w:p w14:paraId="1C96DAD0"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134" w:type="dxa"/>
            <w:noWrap/>
            <w:hideMark/>
          </w:tcPr>
          <w:p w14:paraId="6255162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90</w:t>
            </w:r>
          </w:p>
        </w:tc>
        <w:tc>
          <w:tcPr>
            <w:tcW w:w="1275" w:type="dxa"/>
            <w:noWrap/>
            <w:hideMark/>
          </w:tcPr>
          <w:p w14:paraId="753EF58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134" w:type="dxa"/>
            <w:noWrap/>
            <w:hideMark/>
          </w:tcPr>
          <w:p w14:paraId="0B5D704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w:t>
            </w:r>
          </w:p>
        </w:tc>
      </w:tr>
      <w:tr w:rsidR="009C33B8" w:rsidRPr="009C33B8" w14:paraId="1C23CA8F" w14:textId="77777777" w:rsidTr="009C33B8">
        <w:trPr>
          <w:trHeight w:val="300"/>
        </w:trPr>
        <w:tc>
          <w:tcPr>
            <w:tcW w:w="2972" w:type="dxa"/>
            <w:noWrap/>
            <w:hideMark/>
          </w:tcPr>
          <w:p w14:paraId="7A9E52D2"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Transfer Out Quote Fire</w:t>
            </w:r>
          </w:p>
        </w:tc>
        <w:tc>
          <w:tcPr>
            <w:tcW w:w="851" w:type="dxa"/>
            <w:noWrap/>
            <w:hideMark/>
          </w:tcPr>
          <w:p w14:paraId="26DC42C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275" w:type="dxa"/>
            <w:noWrap/>
            <w:hideMark/>
          </w:tcPr>
          <w:p w14:paraId="6AFB2D00"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35</w:t>
            </w:r>
          </w:p>
        </w:tc>
        <w:tc>
          <w:tcPr>
            <w:tcW w:w="993" w:type="dxa"/>
            <w:noWrap/>
            <w:hideMark/>
          </w:tcPr>
          <w:p w14:paraId="40FA4F3D"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134" w:type="dxa"/>
            <w:noWrap/>
            <w:hideMark/>
          </w:tcPr>
          <w:p w14:paraId="5DBEA2E9"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85</w:t>
            </w:r>
          </w:p>
        </w:tc>
        <w:tc>
          <w:tcPr>
            <w:tcW w:w="1275" w:type="dxa"/>
            <w:noWrap/>
            <w:hideMark/>
          </w:tcPr>
          <w:p w14:paraId="757CB6F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134" w:type="dxa"/>
            <w:noWrap/>
            <w:hideMark/>
          </w:tcPr>
          <w:p w14:paraId="4C84C26E"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16</w:t>
            </w:r>
          </w:p>
        </w:tc>
      </w:tr>
      <w:tr w:rsidR="009C33B8" w:rsidRPr="009C33B8" w14:paraId="3FC39681" w14:textId="77777777" w:rsidTr="009C33B8">
        <w:trPr>
          <w:trHeight w:val="300"/>
        </w:trPr>
        <w:tc>
          <w:tcPr>
            <w:tcW w:w="2972" w:type="dxa"/>
            <w:noWrap/>
            <w:hideMark/>
          </w:tcPr>
          <w:p w14:paraId="241E8633"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Update Member Details</w:t>
            </w:r>
          </w:p>
        </w:tc>
        <w:tc>
          <w:tcPr>
            <w:tcW w:w="851" w:type="dxa"/>
            <w:noWrap/>
            <w:hideMark/>
          </w:tcPr>
          <w:p w14:paraId="420F197C"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275" w:type="dxa"/>
            <w:noWrap/>
            <w:hideMark/>
          </w:tcPr>
          <w:p w14:paraId="58518469"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20</w:t>
            </w:r>
          </w:p>
        </w:tc>
        <w:tc>
          <w:tcPr>
            <w:tcW w:w="993" w:type="dxa"/>
            <w:noWrap/>
            <w:hideMark/>
          </w:tcPr>
          <w:p w14:paraId="4A518C3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134" w:type="dxa"/>
            <w:noWrap/>
            <w:hideMark/>
          </w:tcPr>
          <w:p w14:paraId="357D9657"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275" w:type="dxa"/>
            <w:noWrap/>
            <w:hideMark/>
          </w:tcPr>
          <w:p w14:paraId="2DFD5874"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100</w:t>
            </w:r>
          </w:p>
        </w:tc>
        <w:tc>
          <w:tcPr>
            <w:tcW w:w="1134" w:type="dxa"/>
            <w:noWrap/>
            <w:hideMark/>
          </w:tcPr>
          <w:p w14:paraId="6B37339A"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r>
    </w:tbl>
    <w:p w14:paraId="3408D80E" w14:textId="2F7A6DCC" w:rsidR="00493DF4" w:rsidRDefault="00493DF4" w:rsidP="005F6F1D">
      <w:pPr>
        <w:autoSpaceDE w:val="0"/>
        <w:autoSpaceDN w:val="0"/>
        <w:adjustRightInd w:val="0"/>
        <w:spacing w:after="0" w:line="240" w:lineRule="auto"/>
        <w:rPr>
          <w:rFonts w:ascii="Arial" w:eastAsia="Calibri" w:hAnsi="Arial" w:cs="Arial"/>
          <w:sz w:val="20"/>
          <w:szCs w:val="20"/>
        </w:rPr>
      </w:pPr>
    </w:p>
    <w:p w14:paraId="673E1DC9" w14:textId="59E237B2" w:rsidR="00C77EBB" w:rsidRPr="005F6F1D" w:rsidRDefault="00C77EBB" w:rsidP="005F6F1D">
      <w:pPr>
        <w:autoSpaceDE w:val="0"/>
        <w:autoSpaceDN w:val="0"/>
        <w:adjustRightInd w:val="0"/>
        <w:spacing w:after="0" w:line="240" w:lineRule="auto"/>
        <w:rPr>
          <w:rFonts w:ascii="Arial" w:eastAsia="Calibri" w:hAnsi="Arial" w:cs="Arial"/>
          <w:sz w:val="20"/>
          <w:szCs w:val="20"/>
        </w:rPr>
      </w:pPr>
    </w:p>
    <w:p w14:paraId="214784F8" w14:textId="23D3B64A" w:rsidR="005F6F1D" w:rsidRPr="005F6F1D" w:rsidRDefault="005F6F1D" w:rsidP="005F6F1D">
      <w:pPr>
        <w:autoSpaceDE w:val="0"/>
        <w:autoSpaceDN w:val="0"/>
        <w:adjustRightInd w:val="0"/>
        <w:spacing w:after="0" w:line="240" w:lineRule="auto"/>
        <w:rPr>
          <w:rFonts w:ascii="Arial" w:eastAsia="Calibri" w:hAnsi="Arial" w:cs="Arial"/>
          <w:sz w:val="20"/>
          <w:szCs w:val="20"/>
        </w:rPr>
      </w:pPr>
    </w:p>
    <w:p w14:paraId="4FC4F23D" w14:textId="61C1653C" w:rsidR="005F6F1D" w:rsidRDefault="009C33B8" w:rsidP="005F6F1D">
      <w:pPr>
        <w:autoSpaceDE w:val="0"/>
        <w:autoSpaceDN w:val="0"/>
        <w:adjustRightInd w:val="0"/>
        <w:spacing w:after="0" w:line="240" w:lineRule="auto"/>
        <w:rPr>
          <w:rFonts w:ascii="Arial" w:eastAsia="Calibri" w:hAnsi="Arial" w:cs="Arial"/>
          <w:sz w:val="20"/>
          <w:szCs w:val="20"/>
        </w:rPr>
      </w:pPr>
      <w:r>
        <w:rPr>
          <w:noProof/>
        </w:rPr>
        <w:drawing>
          <wp:inline distT="0" distB="0" distL="0" distR="0" wp14:anchorId="53559D2A" wp14:editId="289470E6">
            <wp:extent cx="6132195" cy="3140766"/>
            <wp:effectExtent l="0" t="0" r="1905" b="2540"/>
            <wp:docPr id="121883484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72E127" w14:textId="77777777" w:rsidR="00D05C14" w:rsidRDefault="00D05C14" w:rsidP="005F6F1D">
      <w:pPr>
        <w:autoSpaceDE w:val="0"/>
        <w:autoSpaceDN w:val="0"/>
        <w:adjustRightInd w:val="0"/>
        <w:spacing w:after="0" w:line="240" w:lineRule="auto"/>
        <w:rPr>
          <w:rFonts w:ascii="Arial" w:eastAsia="Calibri" w:hAnsi="Arial" w:cs="Arial"/>
          <w:sz w:val="20"/>
          <w:szCs w:val="20"/>
        </w:rPr>
      </w:pPr>
    </w:p>
    <w:p w14:paraId="0A02C4D2" w14:textId="77777777" w:rsidR="00D05C14" w:rsidRPr="005F6F1D" w:rsidRDefault="00D05C14" w:rsidP="005F6F1D">
      <w:pPr>
        <w:autoSpaceDE w:val="0"/>
        <w:autoSpaceDN w:val="0"/>
        <w:adjustRightInd w:val="0"/>
        <w:spacing w:after="0" w:line="240" w:lineRule="auto"/>
        <w:rPr>
          <w:rFonts w:ascii="Arial" w:eastAsia="Calibri" w:hAnsi="Arial" w:cs="Arial"/>
          <w:sz w:val="20"/>
          <w:szCs w:val="20"/>
        </w:rPr>
      </w:pPr>
    </w:p>
    <w:tbl>
      <w:tblPr>
        <w:tblStyle w:val="TableGrid"/>
        <w:tblW w:w="9634" w:type="dxa"/>
        <w:tblLook w:val="04A0" w:firstRow="1" w:lastRow="0" w:firstColumn="1" w:lastColumn="0" w:noHBand="0" w:noVBand="1"/>
      </w:tblPr>
      <w:tblGrid>
        <w:gridCol w:w="9634"/>
      </w:tblGrid>
      <w:tr w:rsidR="009C33B8" w:rsidRPr="00E709FB" w14:paraId="030846F3" w14:textId="77777777" w:rsidTr="009C33B8">
        <w:tc>
          <w:tcPr>
            <w:tcW w:w="9634" w:type="dxa"/>
          </w:tcPr>
          <w:p w14:paraId="02795040" w14:textId="77777777" w:rsidR="009C33B8" w:rsidRPr="00E709FB" w:rsidRDefault="009C33B8" w:rsidP="00543354">
            <w:pPr>
              <w:spacing w:after="160" w:line="259" w:lineRule="auto"/>
              <w:rPr>
                <w:rFonts w:ascii="Arial" w:hAnsi="Arial" w:cs="Arial"/>
              </w:rPr>
            </w:pPr>
            <w:r>
              <w:rPr>
                <w:rFonts w:ascii="Arial" w:hAnsi="Arial" w:cs="Arial"/>
                <w:b/>
              </w:rPr>
              <w:t>Deferred Benefits Set Up on Leaving</w:t>
            </w:r>
            <w:r w:rsidRPr="00E709FB">
              <w:rPr>
                <w:rFonts w:ascii="Arial" w:hAnsi="Arial" w:cs="Arial"/>
                <w:b/>
              </w:rPr>
              <w:t xml:space="preserve"> </w:t>
            </w:r>
            <w:r w:rsidRPr="00E709FB">
              <w:rPr>
                <w:rFonts w:ascii="Arial" w:hAnsi="Arial" w:cs="Arial"/>
              </w:rPr>
              <w:t>did not meet</w:t>
            </w:r>
            <w:r>
              <w:rPr>
                <w:rFonts w:ascii="Arial" w:hAnsi="Arial" w:cs="Arial"/>
              </w:rPr>
              <w:t xml:space="preserve"> </w:t>
            </w:r>
            <w:r w:rsidRPr="00A01C25">
              <w:rPr>
                <w:rFonts w:ascii="Arial" w:hAnsi="Arial" w:cs="Arial"/>
              </w:rPr>
              <w:t xml:space="preserve">due to </w:t>
            </w:r>
            <w:r>
              <w:rPr>
                <w:rFonts w:ascii="Arial" w:hAnsi="Arial" w:cs="Arial"/>
              </w:rPr>
              <w:t>the records awaiting CARE revaluation,</w:t>
            </w:r>
            <w:r>
              <w:t xml:space="preserve"> </w:t>
            </w:r>
            <w:r w:rsidRPr="00C27873">
              <w:rPr>
                <w:rFonts w:ascii="Arial" w:hAnsi="Arial" w:cs="Arial"/>
              </w:rPr>
              <w:t>however, the members did receive confirmation within 2 months of WYPF receiving the leaver information that they have a deferred benefit. This meets the statutory requirements</w:t>
            </w:r>
          </w:p>
        </w:tc>
      </w:tr>
    </w:tbl>
    <w:p w14:paraId="0423C0B2" w14:textId="77777777" w:rsidR="00D05C14" w:rsidRDefault="00D05C14" w:rsidP="005F6F1D">
      <w:pPr>
        <w:rPr>
          <w:rFonts w:ascii="Arial" w:eastAsia="Calibri" w:hAnsi="Arial" w:cs="Arial"/>
          <w:b/>
          <w:color w:val="0070C0"/>
          <w:sz w:val="28"/>
          <w:szCs w:val="28"/>
        </w:rPr>
      </w:pPr>
    </w:p>
    <w:p w14:paraId="29E2661D" w14:textId="77777777" w:rsidR="00D05C14" w:rsidRDefault="00D05C14" w:rsidP="005F6F1D">
      <w:pPr>
        <w:rPr>
          <w:rFonts w:ascii="Arial" w:eastAsia="Calibri" w:hAnsi="Arial" w:cs="Arial"/>
          <w:b/>
          <w:color w:val="0070C0"/>
          <w:sz w:val="28"/>
          <w:szCs w:val="28"/>
        </w:rPr>
      </w:pPr>
    </w:p>
    <w:p w14:paraId="624151C8" w14:textId="6BB7C594" w:rsidR="005F6F1D" w:rsidRPr="005F6F1D" w:rsidRDefault="005F6F1D" w:rsidP="005F6F1D">
      <w:pPr>
        <w:rPr>
          <w:rFonts w:ascii="Calibri" w:eastAsia="Calibri" w:hAnsi="Calibri" w:cs="Times New Roman"/>
          <w:color w:val="374C80"/>
          <w:sz w:val="28"/>
          <w:szCs w:val="28"/>
        </w:rPr>
      </w:pPr>
      <w:r w:rsidRPr="005F6F1D">
        <w:rPr>
          <w:rFonts w:ascii="Arial" w:eastAsia="Calibri" w:hAnsi="Arial" w:cs="Arial"/>
          <w:b/>
          <w:color w:val="0070C0"/>
          <w:sz w:val="28"/>
          <w:szCs w:val="28"/>
        </w:rPr>
        <w:lastRenderedPageBreak/>
        <w:t>2. Work in Progress</w:t>
      </w:r>
    </w:p>
    <w:p w14:paraId="052B2ABE" w14:textId="6D741F2E" w:rsidR="005F6F1D" w:rsidRPr="005F6F1D" w:rsidRDefault="005F6F1D" w:rsidP="005F6F1D">
      <w:pPr>
        <w:spacing w:after="0"/>
        <w:contextualSpacing/>
        <w:rPr>
          <w:rFonts w:ascii="Calibri" w:eastAsia="Calibri" w:hAnsi="Calibri" w:cs="Times New Roman"/>
          <w:noProof/>
          <w:color w:val="374C80"/>
          <w:sz w:val="36"/>
          <w:szCs w:val="36"/>
          <w:lang w:eastAsia="en-GB"/>
        </w:rPr>
      </w:pPr>
      <w:r w:rsidRPr="005F6F1D">
        <w:rPr>
          <w:rFonts w:ascii="Calibri" w:eastAsia="Calibri" w:hAnsi="Calibri" w:cs="Times New Roman"/>
          <w:noProof/>
          <w:color w:val="374C80"/>
          <w:sz w:val="36"/>
          <w:szCs w:val="36"/>
          <w:lang w:eastAsia="en-GB"/>
        </w:rPr>
        <w:t xml:space="preserve">          </w:t>
      </w:r>
    </w:p>
    <w:p w14:paraId="58DC1229" w14:textId="1ECFA23A" w:rsidR="005F6F1D" w:rsidRDefault="009C33B8" w:rsidP="005F6F1D">
      <w:pPr>
        <w:spacing w:after="0"/>
        <w:contextualSpacing/>
        <w:rPr>
          <w:noProof/>
        </w:rPr>
      </w:pPr>
      <w:r>
        <w:rPr>
          <w:noProof/>
        </w:rPr>
        <w:drawing>
          <wp:inline distT="0" distB="0" distL="0" distR="0" wp14:anchorId="1E8F4D29" wp14:editId="57E6084F">
            <wp:extent cx="6132444" cy="3782695"/>
            <wp:effectExtent l="0" t="0" r="1905" b="8255"/>
            <wp:docPr id="1359011388"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A7B8E3" w14:textId="4D501961" w:rsidR="00316062" w:rsidRPr="005F6F1D" w:rsidRDefault="00316062" w:rsidP="005F6F1D">
      <w:pPr>
        <w:spacing w:after="0"/>
        <w:contextualSpacing/>
        <w:rPr>
          <w:rFonts w:ascii="Calibri" w:eastAsia="Calibri" w:hAnsi="Calibri" w:cs="Times New Roman"/>
          <w:noProof/>
          <w:color w:val="374C80"/>
          <w:sz w:val="24"/>
          <w:szCs w:val="24"/>
          <w:lang w:eastAsia="en-GB"/>
        </w:rPr>
      </w:pPr>
    </w:p>
    <w:p w14:paraId="14F02FAE" w14:textId="52196367" w:rsidR="00746F4F" w:rsidRDefault="009C33B8" w:rsidP="005F6F1D">
      <w:pPr>
        <w:spacing w:after="0"/>
        <w:jc w:val="both"/>
        <w:rPr>
          <w:noProof/>
          <w:lang w:eastAsia="en-GB"/>
        </w:rPr>
      </w:pPr>
      <w:r>
        <w:rPr>
          <w:noProof/>
        </w:rPr>
        <w:drawing>
          <wp:inline distT="0" distB="0" distL="0" distR="0" wp14:anchorId="3307546A" wp14:editId="760AEF4B">
            <wp:extent cx="6132195" cy="3776345"/>
            <wp:effectExtent l="0" t="0" r="1905" b="14605"/>
            <wp:docPr id="1519262524"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817B85" w14:textId="02A54F17" w:rsidR="004D0040" w:rsidRDefault="004D0040" w:rsidP="005F6F1D">
      <w:pPr>
        <w:spacing w:after="0"/>
        <w:jc w:val="both"/>
        <w:rPr>
          <w:rFonts w:ascii="Arial" w:eastAsia="Calibri" w:hAnsi="Arial" w:cs="Arial"/>
          <w:b/>
          <w:color w:val="0070C0"/>
          <w:sz w:val="28"/>
          <w:szCs w:val="28"/>
        </w:rPr>
      </w:pPr>
    </w:p>
    <w:p w14:paraId="0C92F601" w14:textId="77777777" w:rsidR="00746F4F" w:rsidRDefault="00746F4F" w:rsidP="005F6F1D">
      <w:pPr>
        <w:spacing w:after="0"/>
        <w:jc w:val="both"/>
        <w:rPr>
          <w:rFonts w:ascii="Arial" w:eastAsia="Calibri" w:hAnsi="Arial" w:cs="Arial"/>
          <w:b/>
          <w:color w:val="0070C0"/>
          <w:sz w:val="28"/>
          <w:szCs w:val="28"/>
        </w:rPr>
      </w:pPr>
    </w:p>
    <w:p w14:paraId="0DB1A1FD" w14:textId="5D61D0C5" w:rsidR="005F6F1D" w:rsidRPr="005F6F1D" w:rsidRDefault="005F6F1D" w:rsidP="005F6F1D">
      <w:pPr>
        <w:spacing w:after="0"/>
        <w:jc w:val="both"/>
        <w:rPr>
          <w:rFonts w:ascii="Arial" w:eastAsia="Calibri" w:hAnsi="Arial" w:cs="Arial"/>
          <w:b/>
          <w:color w:val="0070C0"/>
          <w:sz w:val="28"/>
          <w:szCs w:val="28"/>
        </w:rPr>
      </w:pPr>
      <w:r w:rsidRPr="005F6F1D">
        <w:rPr>
          <w:rFonts w:ascii="Arial" w:eastAsia="Calibri" w:hAnsi="Arial" w:cs="Arial"/>
          <w:b/>
          <w:color w:val="0070C0"/>
          <w:sz w:val="28"/>
          <w:szCs w:val="28"/>
        </w:rPr>
        <w:lastRenderedPageBreak/>
        <w:t>3. Member Web Registrations</w:t>
      </w:r>
    </w:p>
    <w:p w14:paraId="72A01A62" w14:textId="77777777" w:rsidR="005F6F1D" w:rsidRPr="005F6F1D" w:rsidRDefault="005F6F1D" w:rsidP="005F6F1D">
      <w:pPr>
        <w:spacing w:after="0"/>
        <w:rPr>
          <w:rFonts w:ascii="Calibri" w:eastAsia="Calibri" w:hAnsi="Calibri" w:cs="Times New Roman"/>
        </w:rPr>
      </w:pPr>
    </w:p>
    <w:p w14:paraId="032119A4" w14:textId="77777777" w:rsidR="005F6F1D" w:rsidRPr="005F6F1D" w:rsidRDefault="005F6F1D" w:rsidP="005F6F1D">
      <w:pPr>
        <w:spacing w:after="0"/>
        <w:rPr>
          <w:rFonts w:ascii="Calibri" w:eastAsia="Calibri" w:hAnsi="Calibri" w:cs="Times New Roman"/>
        </w:rPr>
      </w:pPr>
    </w:p>
    <w:p w14:paraId="27E15BC2" w14:textId="77777777" w:rsidR="005F6F1D" w:rsidRPr="005F6F1D" w:rsidRDefault="005F6F1D" w:rsidP="005F6F1D">
      <w:pPr>
        <w:rPr>
          <w:rFonts w:ascii="Arial" w:eastAsia="Calibri" w:hAnsi="Arial" w:cs="Arial"/>
          <w:sz w:val="24"/>
          <w:szCs w:val="24"/>
        </w:rPr>
      </w:pPr>
      <w:r w:rsidRPr="005F6F1D">
        <w:rPr>
          <w:rFonts w:ascii="Arial" w:eastAsia="Calibri" w:hAnsi="Arial" w:cs="Arial"/>
          <w:sz w:val="24"/>
          <w:szCs w:val="24"/>
        </w:rPr>
        <w:t xml:space="preserve">      The number of members signed up to member web are:</w:t>
      </w:r>
    </w:p>
    <w:p w14:paraId="0B89D748" w14:textId="77777777" w:rsidR="005F6F1D" w:rsidRPr="005F6F1D" w:rsidRDefault="005F6F1D" w:rsidP="005F6F1D">
      <w:pPr>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2689"/>
        <w:gridCol w:w="1134"/>
      </w:tblGrid>
      <w:tr w:rsidR="005F6F1D" w:rsidRPr="005F6F1D" w14:paraId="5807B715" w14:textId="77777777" w:rsidTr="005F6F1D">
        <w:tc>
          <w:tcPr>
            <w:tcW w:w="2689" w:type="dxa"/>
            <w:shd w:val="clear" w:color="auto" w:fill="C0D7EC"/>
          </w:tcPr>
          <w:p w14:paraId="4214994E"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Status</w:t>
            </w:r>
          </w:p>
        </w:tc>
        <w:tc>
          <w:tcPr>
            <w:tcW w:w="1134" w:type="dxa"/>
            <w:shd w:val="clear" w:color="auto" w:fill="C0D7EC"/>
          </w:tcPr>
          <w:p w14:paraId="2B4A2F5C" w14:textId="77777777" w:rsidR="005F6F1D" w:rsidRPr="005F6F1D" w:rsidRDefault="005F6F1D" w:rsidP="005F6F1D">
            <w:pPr>
              <w:rPr>
                <w:rFonts w:ascii="Calibri" w:eastAsia="Calibri" w:hAnsi="Calibri" w:cs="Arial"/>
              </w:rPr>
            </w:pPr>
            <w:r w:rsidRPr="005F6F1D">
              <w:rPr>
                <w:rFonts w:ascii="Calibri" w:eastAsia="Calibri" w:hAnsi="Calibri" w:cs="Arial"/>
              </w:rPr>
              <w:t>Number</w:t>
            </w:r>
          </w:p>
        </w:tc>
      </w:tr>
      <w:tr w:rsidR="005F6F1D" w:rsidRPr="005F6F1D" w14:paraId="16389524" w14:textId="77777777" w:rsidTr="009A5F55">
        <w:tc>
          <w:tcPr>
            <w:tcW w:w="2689" w:type="dxa"/>
          </w:tcPr>
          <w:p w14:paraId="3B079897"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Active</w:t>
            </w:r>
          </w:p>
        </w:tc>
        <w:tc>
          <w:tcPr>
            <w:tcW w:w="1134" w:type="dxa"/>
          </w:tcPr>
          <w:p w14:paraId="2D75AB47" w14:textId="19D8D3F3" w:rsidR="005F6F1D" w:rsidRPr="005F6F1D" w:rsidRDefault="00E57A5E" w:rsidP="005F6F1D">
            <w:pPr>
              <w:rPr>
                <w:rFonts w:ascii="Calibri" w:eastAsia="Calibri" w:hAnsi="Calibri" w:cs="Times New Roman"/>
              </w:rPr>
            </w:pPr>
            <w:r>
              <w:rPr>
                <w:rFonts w:ascii="Calibri" w:eastAsia="Calibri" w:hAnsi="Calibri" w:cs="Times New Roman"/>
              </w:rPr>
              <w:t>4</w:t>
            </w:r>
            <w:r w:rsidR="00531FE7">
              <w:rPr>
                <w:rFonts w:ascii="Calibri" w:eastAsia="Calibri" w:hAnsi="Calibri" w:cs="Times New Roman"/>
              </w:rPr>
              <w:t>5</w:t>
            </w:r>
            <w:r w:rsidR="009C33B8">
              <w:rPr>
                <w:rFonts w:ascii="Calibri" w:eastAsia="Calibri" w:hAnsi="Calibri" w:cs="Times New Roman"/>
              </w:rPr>
              <w:t>7</w:t>
            </w:r>
          </w:p>
        </w:tc>
      </w:tr>
      <w:tr w:rsidR="005F6F1D" w:rsidRPr="005F6F1D" w14:paraId="675D867C" w14:textId="77777777" w:rsidTr="009A5F55">
        <w:tc>
          <w:tcPr>
            <w:tcW w:w="2689" w:type="dxa"/>
          </w:tcPr>
          <w:p w14:paraId="13BE517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w:t>
            </w:r>
          </w:p>
        </w:tc>
        <w:tc>
          <w:tcPr>
            <w:tcW w:w="1134" w:type="dxa"/>
          </w:tcPr>
          <w:p w14:paraId="0747C502" w14:textId="11B2F908" w:rsidR="005F6F1D" w:rsidRPr="005F6F1D" w:rsidRDefault="00E57A5E" w:rsidP="005F6F1D">
            <w:pPr>
              <w:rPr>
                <w:rFonts w:ascii="Calibri" w:eastAsia="Calibri" w:hAnsi="Calibri" w:cs="Times New Roman"/>
              </w:rPr>
            </w:pPr>
            <w:r>
              <w:rPr>
                <w:rFonts w:ascii="Calibri" w:eastAsia="Calibri" w:hAnsi="Calibri" w:cs="Times New Roman"/>
              </w:rPr>
              <w:t>1</w:t>
            </w:r>
            <w:r w:rsidR="00D05C14">
              <w:rPr>
                <w:rFonts w:ascii="Calibri" w:eastAsia="Calibri" w:hAnsi="Calibri" w:cs="Times New Roman"/>
              </w:rPr>
              <w:t>9</w:t>
            </w:r>
            <w:r w:rsidR="009C33B8">
              <w:rPr>
                <w:rFonts w:ascii="Calibri" w:eastAsia="Calibri" w:hAnsi="Calibri" w:cs="Times New Roman"/>
              </w:rPr>
              <w:t>4</w:t>
            </w:r>
          </w:p>
        </w:tc>
      </w:tr>
      <w:tr w:rsidR="005F6F1D" w:rsidRPr="005F6F1D" w14:paraId="3AACE49F" w14:textId="77777777" w:rsidTr="009A5F55">
        <w:tc>
          <w:tcPr>
            <w:tcW w:w="2689" w:type="dxa"/>
          </w:tcPr>
          <w:p w14:paraId="09FD3C0F"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 Ex-Spouse</w:t>
            </w:r>
          </w:p>
        </w:tc>
        <w:tc>
          <w:tcPr>
            <w:tcW w:w="1134" w:type="dxa"/>
          </w:tcPr>
          <w:p w14:paraId="52F5CC5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695D203C" w14:textId="77777777" w:rsidTr="009A5F55">
        <w:tc>
          <w:tcPr>
            <w:tcW w:w="2689" w:type="dxa"/>
          </w:tcPr>
          <w:p w14:paraId="15CB7863"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Beneficiary Pensioner</w:t>
            </w:r>
          </w:p>
        </w:tc>
        <w:tc>
          <w:tcPr>
            <w:tcW w:w="1134" w:type="dxa"/>
          </w:tcPr>
          <w:p w14:paraId="39D63286" w14:textId="76D45123" w:rsidR="005F6F1D" w:rsidRPr="005F6F1D" w:rsidRDefault="00B2435F" w:rsidP="005F6F1D">
            <w:pPr>
              <w:rPr>
                <w:rFonts w:ascii="Calibri" w:eastAsia="Calibri" w:hAnsi="Calibri" w:cs="Times New Roman"/>
              </w:rPr>
            </w:pPr>
            <w:r>
              <w:rPr>
                <w:rFonts w:ascii="Calibri" w:eastAsia="Calibri" w:hAnsi="Calibri" w:cs="Times New Roman"/>
              </w:rPr>
              <w:t>1</w:t>
            </w:r>
          </w:p>
        </w:tc>
      </w:tr>
      <w:tr w:rsidR="005F6F1D" w:rsidRPr="005F6F1D" w14:paraId="6579E315" w14:textId="77777777" w:rsidTr="009A5F55">
        <w:tc>
          <w:tcPr>
            <w:tcW w:w="2689" w:type="dxa"/>
          </w:tcPr>
          <w:p w14:paraId="34AA8AA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 Ex-Spouse</w:t>
            </w:r>
          </w:p>
        </w:tc>
        <w:tc>
          <w:tcPr>
            <w:tcW w:w="1134" w:type="dxa"/>
          </w:tcPr>
          <w:p w14:paraId="0D96990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5848CD24" w14:textId="77777777" w:rsidTr="009A5F55">
        <w:tc>
          <w:tcPr>
            <w:tcW w:w="2689" w:type="dxa"/>
          </w:tcPr>
          <w:p w14:paraId="10097D4A"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w:t>
            </w:r>
          </w:p>
        </w:tc>
        <w:tc>
          <w:tcPr>
            <w:tcW w:w="1134" w:type="dxa"/>
          </w:tcPr>
          <w:p w14:paraId="57183F7F" w14:textId="4DAC5004" w:rsidR="005F6F1D" w:rsidRPr="005F6F1D" w:rsidRDefault="00E57A5E" w:rsidP="003063F4">
            <w:pPr>
              <w:rPr>
                <w:rFonts w:ascii="Calibri" w:eastAsia="Calibri" w:hAnsi="Calibri" w:cs="Times New Roman"/>
              </w:rPr>
            </w:pPr>
            <w:r>
              <w:rPr>
                <w:rFonts w:ascii="Calibri" w:eastAsia="Calibri" w:hAnsi="Calibri" w:cs="Times New Roman"/>
              </w:rPr>
              <w:t>1</w:t>
            </w:r>
            <w:r w:rsidR="00D05C14">
              <w:rPr>
                <w:rFonts w:ascii="Calibri" w:eastAsia="Calibri" w:hAnsi="Calibri" w:cs="Times New Roman"/>
              </w:rPr>
              <w:t>8</w:t>
            </w:r>
            <w:r w:rsidR="009C33B8">
              <w:rPr>
                <w:rFonts w:ascii="Calibri" w:eastAsia="Calibri" w:hAnsi="Calibri" w:cs="Times New Roman"/>
              </w:rPr>
              <w:t>4</w:t>
            </w:r>
          </w:p>
        </w:tc>
      </w:tr>
    </w:tbl>
    <w:p w14:paraId="7BF2CE64" w14:textId="77777777" w:rsidR="005F6F1D" w:rsidRPr="005F6F1D" w:rsidRDefault="005F6F1D" w:rsidP="005F6F1D">
      <w:pPr>
        <w:spacing w:after="0"/>
        <w:rPr>
          <w:rFonts w:ascii="Calibri" w:eastAsia="Calibri" w:hAnsi="Calibri" w:cs="Times New Roman"/>
        </w:rPr>
      </w:pPr>
    </w:p>
    <w:p w14:paraId="2CE4DD3F" w14:textId="77777777" w:rsidR="005F6F1D" w:rsidRPr="005F6F1D" w:rsidRDefault="005F6F1D" w:rsidP="005F6F1D">
      <w:pPr>
        <w:spacing w:after="0"/>
        <w:rPr>
          <w:rFonts w:ascii="Calibri" w:eastAsia="Calibri" w:hAnsi="Calibri" w:cs="Times New Roman"/>
        </w:rPr>
      </w:pPr>
    </w:p>
    <w:p w14:paraId="63088ABC" w14:textId="77777777" w:rsidR="005F6F1D" w:rsidRPr="005F6F1D" w:rsidRDefault="005F6F1D" w:rsidP="005F6F1D">
      <w:pPr>
        <w:spacing w:after="0"/>
        <w:rPr>
          <w:rFonts w:ascii="Calibri" w:eastAsia="Calibri" w:hAnsi="Calibri" w:cs="Times New Roman"/>
        </w:rPr>
      </w:pPr>
    </w:p>
    <w:p w14:paraId="59BF27C3" w14:textId="4A399B82" w:rsidR="005F6F1D" w:rsidRPr="005F6F1D" w:rsidRDefault="005F6F1D" w:rsidP="005F6F1D">
      <w:pPr>
        <w:spacing w:after="0"/>
        <w:rPr>
          <w:rFonts w:ascii="Calibri" w:eastAsia="Calibri" w:hAnsi="Calibri" w:cs="Times New Roman"/>
        </w:rPr>
      </w:pPr>
    </w:p>
    <w:p w14:paraId="15653909" w14:textId="064C1834" w:rsidR="005F6F1D" w:rsidRPr="005F6F1D" w:rsidRDefault="005F6F1D" w:rsidP="005F6F1D">
      <w:pPr>
        <w:spacing w:after="0"/>
        <w:rPr>
          <w:rFonts w:ascii="Calibri" w:eastAsia="Calibri" w:hAnsi="Calibri" w:cs="Times New Roman"/>
        </w:rPr>
      </w:pPr>
    </w:p>
    <w:p w14:paraId="6749D5E6" w14:textId="77777777" w:rsidR="005F6F1D" w:rsidRPr="005F6F1D" w:rsidRDefault="005F6F1D" w:rsidP="005F6F1D">
      <w:pPr>
        <w:spacing w:after="0"/>
        <w:rPr>
          <w:rFonts w:ascii="Calibri" w:eastAsia="Calibri" w:hAnsi="Calibri" w:cs="Times New Roman"/>
        </w:rPr>
      </w:pPr>
    </w:p>
    <w:p w14:paraId="169FCB46" w14:textId="7F2557CC" w:rsidR="005F6F1D" w:rsidRPr="005F6F1D" w:rsidRDefault="009C33B8" w:rsidP="005F6F1D">
      <w:pPr>
        <w:spacing w:after="0"/>
        <w:rPr>
          <w:rFonts w:ascii="Calibri" w:eastAsia="Calibri" w:hAnsi="Calibri" w:cs="Times New Roman"/>
        </w:rPr>
        <w:sectPr w:rsidR="005F6F1D" w:rsidRPr="005F6F1D" w:rsidSect="009A5F55">
          <w:footerReference w:type="default" r:id="rId24"/>
          <w:pgSz w:w="11906" w:h="16838"/>
          <w:pgMar w:top="1440" w:right="1440" w:bottom="1440" w:left="1134" w:header="709" w:footer="709" w:gutter="0"/>
          <w:cols w:space="708"/>
          <w:docGrid w:linePitch="360"/>
        </w:sectPr>
      </w:pPr>
      <w:r>
        <w:rPr>
          <w:noProof/>
        </w:rPr>
        <w:drawing>
          <wp:inline distT="0" distB="0" distL="0" distR="0" wp14:anchorId="56A63B66" wp14:editId="3BDDE43B">
            <wp:extent cx="6072505" cy="3597965"/>
            <wp:effectExtent l="0" t="0" r="4445" b="2540"/>
            <wp:docPr id="18044053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45F36E" w14:textId="77777777" w:rsidR="005F6F1D" w:rsidRPr="005F6F1D" w:rsidRDefault="005F6F1D" w:rsidP="005F6F1D">
      <w:pPr>
        <w:spacing w:after="0"/>
        <w:ind w:left="720"/>
        <w:rPr>
          <w:rFonts w:ascii="Arial" w:eastAsia="Calibri" w:hAnsi="Arial" w:cs="Arial"/>
          <w:color w:val="4A66AC"/>
          <w:sz w:val="56"/>
          <w:szCs w:val="56"/>
        </w:rPr>
      </w:pPr>
    </w:p>
    <w:p w14:paraId="159882E1" w14:textId="77777777" w:rsidR="005F6F1D" w:rsidRPr="005F6F1D" w:rsidRDefault="005F6F1D" w:rsidP="005F6F1D">
      <w:pPr>
        <w:spacing w:after="0"/>
        <w:ind w:left="720"/>
        <w:rPr>
          <w:rFonts w:ascii="Arial" w:eastAsia="Calibri" w:hAnsi="Arial" w:cs="Arial"/>
          <w:b/>
          <w:color w:val="0070C0"/>
          <w:sz w:val="28"/>
          <w:szCs w:val="28"/>
        </w:rPr>
      </w:pPr>
      <w:r w:rsidRPr="005F6F1D">
        <w:rPr>
          <w:rFonts w:ascii="Arial" w:eastAsia="Calibri" w:hAnsi="Arial" w:cs="Arial"/>
          <w:b/>
          <w:color w:val="0070C0"/>
          <w:sz w:val="28"/>
          <w:szCs w:val="28"/>
        </w:rPr>
        <w:t>4.Membership Numbers</w:t>
      </w:r>
    </w:p>
    <w:p w14:paraId="16E1A2E5" w14:textId="77777777" w:rsidR="005F6F1D" w:rsidRPr="005F6F1D" w:rsidRDefault="005F6F1D" w:rsidP="005F6F1D">
      <w:pPr>
        <w:spacing w:after="0"/>
        <w:ind w:left="993"/>
        <w:rPr>
          <w:rFonts w:ascii="Calibri" w:eastAsia="Calibri" w:hAnsi="Calibri" w:cs="Times New Roman"/>
          <w:noProof/>
          <w:lang w:eastAsia="en-GB"/>
        </w:rPr>
      </w:pPr>
    </w:p>
    <w:p w14:paraId="6932E4A9" w14:textId="77777777" w:rsidR="005F6F1D" w:rsidRPr="005F6F1D" w:rsidRDefault="005F6F1D" w:rsidP="005F6F1D">
      <w:pPr>
        <w:spacing w:after="0"/>
        <w:ind w:left="993"/>
        <w:rPr>
          <w:rFonts w:ascii="Calibri" w:eastAsia="Calibri" w:hAnsi="Calibri" w:cs="Times New Roman"/>
          <w:noProof/>
          <w:lang w:eastAsia="en-GB"/>
        </w:rPr>
      </w:pPr>
    </w:p>
    <w:tbl>
      <w:tblPr>
        <w:tblStyle w:val="TableGrid3"/>
        <w:tblW w:w="12571" w:type="dxa"/>
        <w:tblInd w:w="607" w:type="dxa"/>
        <w:tblLayout w:type="fixed"/>
        <w:tblLook w:val="04A0" w:firstRow="1" w:lastRow="0" w:firstColumn="1" w:lastColumn="0" w:noHBand="0" w:noVBand="1"/>
      </w:tblPr>
      <w:tblGrid>
        <w:gridCol w:w="3924"/>
        <w:gridCol w:w="1441"/>
        <w:gridCol w:w="1441"/>
        <w:gridCol w:w="1441"/>
        <w:gridCol w:w="1441"/>
        <w:gridCol w:w="1441"/>
        <w:gridCol w:w="1442"/>
      </w:tblGrid>
      <w:tr w:rsidR="005F6F1D" w:rsidRPr="005F6F1D" w14:paraId="3E63F42E" w14:textId="77777777" w:rsidTr="009C33B8">
        <w:trPr>
          <w:trHeight w:val="825"/>
        </w:trPr>
        <w:tc>
          <w:tcPr>
            <w:tcW w:w="3924" w:type="dxa"/>
            <w:shd w:val="clear" w:color="auto" w:fill="C0D7EC"/>
            <w:hideMark/>
          </w:tcPr>
          <w:p w14:paraId="607B0D72" w14:textId="77777777" w:rsidR="005F6F1D" w:rsidRPr="005F6F1D" w:rsidRDefault="005F6F1D" w:rsidP="005F6F1D">
            <w:pPr>
              <w:tabs>
                <w:tab w:val="left" w:pos="2580"/>
              </w:tabs>
              <w:rPr>
                <w:rFonts w:ascii="Calibri" w:eastAsia="Calibri" w:hAnsi="Calibri" w:cs="Times New Roman"/>
                <w:b/>
              </w:rPr>
            </w:pPr>
            <w:r w:rsidRPr="005F6F1D">
              <w:rPr>
                <w:rFonts w:ascii="Calibri" w:eastAsia="Times New Roman" w:hAnsi="Calibri" w:cs="Calibri"/>
                <w:b/>
                <w:color w:val="000000"/>
                <w:lang w:eastAsia="en-GB"/>
              </w:rPr>
              <w:t>Scheme Name</w:t>
            </w:r>
            <w:r w:rsidRPr="005F6F1D">
              <w:rPr>
                <w:rFonts w:ascii="Calibri" w:eastAsia="Times New Roman" w:hAnsi="Calibri" w:cs="Calibri"/>
                <w:b/>
                <w:color w:val="000000"/>
                <w:lang w:eastAsia="en-GB"/>
              </w:rPr>
              <w:tab/>
            </w:r>
          </w:p>
        </w:tc>
        <w:tc>
          <w:tcPr>
            <w:tcW w:w="1441" w:type="dxa"/>
            <w:shd w:val="clear" w:color="auto" w:fill="C0D7EC"/>
            <w:hideMark/>
          </w:tcPr>
          <w:p w14:paraId="6BBFB76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Active Members</w:t>
            </w:r>
            <w:r w:rsidRPr="005F6F1D">
              <w:rPr>
                <w:rFonts w:ascii="Calibri" w:eastAsia="Times New Roman" w:hAnsi="Calibri" w:cs="Calibri"/>
                <w:b/>
                <w:bCs/>
                <w:color w:val="000000"/>
                <w:lang w:eastAsia="en-GB"/>
              </w:rPr>
              <w:t xml:space="preserve"> </w:t>
            </w:r>
          </w:p>
        </w:tc>
        <w:tc>
          <w:tcPr>
            <w:tcW w:w="1441" w:type="dxa"/>
            <w:shd w:val="clear" w:color="auto" w:fill="C0D7EC"/>
            <w:hideMark/>
          </w:tcPr>
          <w:p w14:paraId="34EB3D2A"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Deferred Members</w:t>
            </w:r>
          </w:p>
        </w:tc>
        <w:tc>
          <w:tcPr>
            <w:tcW w:w="1441" w:type="dxa"/>
            <w:shd w:val="clear" w:color="auto" w:fill="C0D7EC"/>
            <w:hideMark/>
          </w:tcPr>
          <w:p w14:paraId="3F9632D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Pensioners</w:t>
            </w:r>
          </w:p>
        </w:tc>
        <w:tc>
          <w:tcPr>
            <w:tcW w:w="1441" w:type="dxa"/>
            <w:shd w:val="clear" w:color="auto" w:fill="C0D7EC"/>
            <w:hideMark/>
          </w:tcPr>
          <w:p w14:paraId="002895D5"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Beneficiaries</w:t>
            </w:r>
          </w:p>
        </w:tc>
        <w:tc>
          <w:tcPr>
            <w:tcW w:w="1441" w:type="dxa"/>
            <w:shd w:val="clear" w:color="auto" w:fill="C0D7EC"/>
            <w:hideMark/>
          </w:tcPr>
          <w:p w14:paraId="3008C34D"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Preserved Refund</w:t>
            </w:r>
          </w:p>
        </w:tc>
        <w:tc>
          <w:tcPr>
            <w:tcW w:w="1442" w:type="dxa"/>
            <w:shd w:val="clear" w:color="auto" w:fill="C0D7EC"/>
            <w:hideMark/>
          </w:tcPr>
          <w:p w14:paraId="5B394048"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Leavers Options Pending</w:t>
            </w:r>
          </w:p>
        </w:tc>
      </w:tr>
      <w:tr w:rsidR="009C33B8" w:rsidRPr="009C33B8" w14:paraId="6D0163A9" w14:textId="77777777" w:rsidTr="009C33B8">
        <w:trPr>
          <w:trHeight w:val="300"/>
        </w:trPr>
        <w:tc>
          <w:tcPr>
            <w:tcW w:w="3924" w:type="dxa"/>
            <w:noWrap/>
            <w:hideMark/>
          </w:tcPr>
          <w:p w14:paraId="1609DF58"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Nottinghamshire (1992 Scheme)</w:t>
            </w:r>
          </w:p>
        </w:tc>
        <w:tc>
          <w:tcPr>
            <w:tcW w:w="1441" w:type="dxa"/>
            <w:noWrap/>
            <w:hideMark/>
          </w:tcPr>
          <w:p w14:paraId="13C9E3AD"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441" w:type="dxa"/>
            <w:noWrap/>
            <w:hideMark/>
          </w:tcPr>
          <w:p w14:paraId="433019DF"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36</w:t>
            </w:r>
          </w:p>
        </w:tc>
        <w:tc>
          <w:tcPr>
            <w:tcW w:w="1441" w:type="dxa"/>
            <w:noWrap/>
            <w:hideMark/>
          </w:tcPr>
          <w:p w14:paraId="275D586E"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691</w:t>
            </w:r>
          </w:p>
        </w:tc>
        <w:tc>
          <w:tcPr>
            <w:tcW w:w="1441" w:type="dxa"/>
            <w:noWrap/>
            <w:hideMark/>
          </w:tcPr>
          <w:p w14:paraId="43163453"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130</w:t>
            </w:r>
          </w:p>
        </w:tc>
        <w:tc>
          <w:tcPr>
            <w:tcW w:w="1441" w:type="dxa"/>
            <w:noWrap/>
            <w:hideMark/>
          </w:tcPr>
          <w:p w14:paraId="45E22F1E"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442" w:type="dxa"/>
            <w:noWrap/>
            <w:hideMark/>
          </w:tcPr>
          <w:p w14:paraId="1136590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r>
      <w:tr w:rsidR="009C33B8" w:rsidRPr="009C33B8" w14:paraId="5FFA1935" w14:textId="77777777" w:rsidTr="009C33B8">
        <w:trPr>
          <w:trHeight w:val="300"/>
        </w:trPr>
        <w:tc>
          <w:tcPr>
            <w:tcW w:w="3924" w:type="dxa"/>
            <w:noWrap/>
            <w:hideMark/>
          </w:tcPr>
          <w:p w14:paraId="6959449A"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Nottinghamshire (2006 Scheme)</w:t>
            </w:r>
          </w:p>
        </w:tc>
        <w:tc>
          <w:tcPr>
            <w:tcW w:w="1441" w:type="dxa"/>
            <w:noWrap/>
            <w:hideMark/>
          </w:tcPr>
          <w:p w14:paraId="20A9ABAD"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441" w:type="dxa"/>
            <w:noWrap/>
            <w:hideMark/>
          </w:tcPr>
          <w:p w14:paraId="282BDC9F"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159</w:t>
            </w:r>
          </w:p>
        </w:tc>
        <w:tc>
          <w:tcPr>
            <w:tcW w:w="1441" w:type="dxa"/>
            <w:noWrap/>
            <w:hideMark/>
          </w:tcPr>
          <w:p w14:paraId="35BB924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31</w:t>
            </w:r>
          </w:p>
        </w:tc>
        <w:tc>
          <w:tcPr>
            <w:tcW w:w="1441" w:type="dxa"/>
            <w:noWrap/>
            <w:hideMark/>
          </w:tcPr>
          <w:p w14:paraId="77E6C74A"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11</w:t>
            </w:r>
          </w:p>
        </w:tc>
        <w:tc>
          <w:tcPr>
            <w:tcW w:w="1441" w:type="dxa"/>
            <w:noWrap/>
            <w:hideMark/>
          </w:tcPr>
          <w:p w14:paraId="6B784F80"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6</w:t>
            </w:r>
          </w:p>
        </w:tc>
        <w:tc>
          <w:tcPr>
            <w:tcW w:w="1442" w:type="dxa"/>
            <w:noWrap/>
            <w:hideMark/>
          </w:tcPr>
          <w:p w14:paraId="018ED7D1"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r>
      <w:tr w:rsidR="009C33B8" w:rsidRPr="009C33B8" w14:paraId="6D562248" w14:textId="77777777" w:rsidTr="009C33B8">
        <w:trPr>
          <w:trHeight w:val="300"/>
        </w:trPr>
        <w:tc>
          <w:tcPr>
            <w:tcW w:w="3924" w:type="dxa"/>
            <w:noWrap/>
            <w:hideMark/>
          </w:tcPr>
          <w:p w14:paraId="18A5ED82"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Nottinghamshire (2006/RDS Scheme)</w:t>
            </w:r>
          </w:p>
        </w:tc>
        <w:tc>
          <w:tcPr>
            <w:tcW w:w="1441" w:type="dxa"/>
            <w:noWrap/>
            <w:hideMark/>
          </w:tcPr>
          <w:p w14:paraId="30955EB5"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441" w:type="dxa"/>
            <w:noWrap/>
            <w:hideMark/>
          </w:tcPr>
          <w:p w14:paraId="6D5F0E5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28</w:t>
            </w:r>
          </w:p>
        </w:tc>
        <w:tc>
          <w:tcPr>
            <w:tcW w:w="1441" w:type="dxa"/>
            <w:noWrap/>
            <w:hideMark/>
          </w:tcPr>
          <w:p w14:paraId="72B6B9A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72</w:t>
            </w:r>
          </w:p>
        </w:tc>
        <w:tc>
          <w:tcPr>
            <w:tcW w:w="1441" w:type="dxa"/>
            <w:noWrap/>
            <w:hideMark/>
          </w:tcPr>
          <w:p w14:paraId="66FC705D"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441" w:type="dxa"/>
            <w:noWrap/>
            <w:hideMark/>
          </w:tcPr>
          <w:p w14:paraId="7D6F8B01"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442" w:type="dxa"/>
            <w:noWrap/>
            <w:hideMark/>
          </w:tcPr>
          <w:p w14:paraId="3B34A2C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r>
      <w:tr w:rsidR="009C33B8" w:rsidRPr="009C33B8" w14:paraId="643B02CA" w14:textId="77777777" w:rsidTr="009C33B8">
        <w:trPr>
          <w:trHeight w:val="300"/>
        </w:trPr>
        <w:tc>
          <w:tcPr>
            <w:tcW w:w="3924" w:type="dxa"/>
            <w:noWrap/>
            <w:hideMark/>
          </w:tcPr>
          <w:p w14:paraId="1C6E0A83"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Nottinghamshire (2015 Scheme)</w:t>
            </w:r>
          </w:p>
        </w:tc>
        <w:tc>
          <w:tcPr>
            <w:tcW w:w="1441" w:type="dxa"/>
            <w:noWrap/>
            <w:hideMark/>
          </w:tcPr>
          <w:p w14:paraId="4495FBDC"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644</w:t>
            </w:r>
          </w:p>
        </w:tc>
        <w:tc>
          <w:tcPr>
            <w:tcW w:w="1441" w:type="dxa"/>
            <w:noWrap/>
            <w:hideMark/>
          </w:tcPr>
          <w:p w14:paraId="48EC109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203</w:t>
            </w:r>
          </w:p>
        </w:tc>
        <w:tc>
          <w:tcPr>
            <w:tcW w:w="1441" w:type="dxa"/>
            <w:noWrap/>
            <w:hideMark/>
          </w:tcPr>
          <w:p w14:paraId="23448F3A"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63</w:t>
            </w:r>
          </w:p>
        </w:tc>
        <w:tc>
          <w:tcPr>
            <w:tcW w:w="1441" w:type="dxa"/>
            <w:noWrap/>
            <w:hideMark/>
          </w:tcPr>
          <w:p w14:paraId="183763E9"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w:t>
            </w:r>
          </w:p>
        </w:tc>
        <w:tc>
          <w:tcPr>
            <w:tcW w:w="1441" w:type="dxa"/>
            <w:noWrap/>
            <w:hideMark/>
          </w:tcPr>
          <w:p w14:paraId="2000B232"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442" w:type="dxa"/>
            <w:noWrap/>
            <w:hideMark/>
          </w:tcPr>
          <w:p w14:paraId="55C0E5C1"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5</w:t>
            </w:r>
          </w:p>
        </w:tc>
      </w:tr>
      <w:tr w:rsidR="009C33B8" w:rsidRPr="009C33B8" w14:paraId="27AAA7CF" w14:textId="77777777" w:rsidTr="009C33B8">
        <w:trPr>
          <w:trHeight w:val="300"/>
        </w:trPr>
        <w:tc>
          <w:tcPr>
            <w:tcW w:w="3924" w:type="dxa"/>
            <w:noWrap/>
            <w:hideMark/>
          </w:tcPr>
          <w:p w14:paraId="46E6EBE1" w14:textId="77777777" w:rsidR="009C33B8" w:rsidRPr="009C33B8" w:rsidRDefault="009C33B8" w:rsidP="009C33B8">
            <w:pPr>
              <w:rPr>
                <w:rFonts w:ascii="Calibri" w:eastAsia="Times New Roman" w:hAnsi="Calibri" w:cs="Calibri"/>
                <w:color w:val="000000"/>
                <w:lang w:eastAsia="en-GB"/>
              </w:rPr>
            </w:pPr>
            <w:r w:rsidRPr="009C33B8">
              <w:rPr>
                <w:rFonts w:ascii="Calibri" w:eastAsia="Times New Roman" w:hAnsi="Calibri" w:cs="Calibri"/>
                <w:color w:val="000000"/>
                <w:lang w:eastAsia="en-GB"/>
              </w:rPr>
              <w:t>Nottinghamshire (2015/RDS Scheme)</w:t>
            </w:r>
          </w:p>
        </w:tc>
        <w:tc>
          <w:tcPr>
            <w:tcW w:w="1441" w:type="dxa"/>
            <w:noWrap/>
            <w:hideMark/>
          </w:tcPr>
          <w:p w14:paraId="23F3F12E"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15</w:t>
            </w:r>
          </w:p>
        </w:tc>
        <w:tc>
          <w:tcPr>
            <w:tcW w:w="1441" w:type="dxa"/>
            <w:noWrap/>
            <w:hideMark/>
          </w:tcPr>
          <w:p w14:paraId="60782E67"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3</w:t>
            </w:r>
          </w:p>
        </w:tc>
        <w:tc>
          <w:tcPr>
            <w:tcW w:w="1441" w:type="dxa"/>
            <w:noWrap/>
            <w:hideMark/>
          </w:tcPr>
          <w:p w14:paraId="7D990433"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3</w:t>
            </w:r>
          </w:p>
        </w:tc>
        <w:tc>
          <w:tcPr>
            <w:tcW w:w="1441" w:type="dxa"/>
            <w:noWrap/>
            <w:hideMark/>
          </w:tcPr>
          <w:p w14:paraId="7243101C"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441" w:type="dxa"/>
            <w:noWrap/>
            <w:hideMark/>
          </w:tcPr>
          <w:p w14:paraId="11CDFE7B"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c>
          <w:tcPr>
            <w:tcW w:w="1442" w:type="dxa"/>
            <w:noWrap/>
            <w:hideMark/>
          </w:tcPr>
          <w:p w14:paraId="26A87559" w14:textId="77777777" w:rsidR="009C33B8" w:rsidRPr="009C33B8" w:rsidRDefault="009C33B8" w:rsidP="009C33B8">
            <w:pPr>
              <w:jc w:val="right"/>
              <w:rPr>
                <w:rFonts w:ascii="Calibri" w:eastAsia="Times New Roman" w:hAnsi="Calibri" w:cs="Calibri"/>
                <w:color w:val="000000"/>
                <w:lang w:eastAsia="en-GB"/>
              </w:rPr>
            </w:pPr>
            <w:r w:rsidRPr="009C33B8">
              <w:rPr>
                <w:rFonts w:ascii="Calibri" w:eastAsia="Times New Roman" w:hAnsi="Calibri" w:cs="Calibri"/>
                <w:color w:val="000000"/>
                <w:lang w:eastAsia="en-GB"/>
              </w:rPr>
              <w:t>0</w:t>
            </w:r>
          </w:p>
        </w:tc>
      </w:tr>
    </w:tbl>
    <w:p w14:paraId="71802D68" w14:textId="77777777" w:rsidR="005F6F1D" w:rsidRPr="005F6F1D" w:rsidRDefault="005F6F1D" w:rsidP="005F6F1D">
      <w:pPr>
        <w:spacing w:after="0"/>
        <w:ind w:left="993"/>
        <w:rPr>
          <w:rFonts w:ascii="Calibri" w:eastAsia="Calibri" w:hAnsi="Calibri" w:cs="Times New Roman"/>
          <w:noProof/>
          <w:lang w:eastAsia="en-GB"/>
        </w:rPr>
      </w:pPr>
    </w:p>
    <w:p w14:paraId="5D5AF367" w14:textId="77777777" w:rsidR="005F6F1D" w:rsidRPr="005F6F1D" w:rsidRDefault="005F6F1D" w:rsidP="005F6F1D">
      <w:pPr>
        <w:spacing w:after="0"/>
        <w:ind w:left="993"/>
        <w:rPr>
          <w:rFonts w:ascii="Calibri" w:eastAsia="Calibri" w:hAnsi="Calibri" w:cs="Times New Roman"/>
          <w:noProof/>
          <w:lang w:eastAsia="en-GB"/>
        </w:rPr>
      </w:pPr>
    </w:p>
    <w:p w14:paraId="0538A3BE" w14:textId="77777777" w:rsidR="005F6F1D" w:rsidRPr="005F6F1D" w:rsidRDefault="005F6F1D" w:rsidP="005F6F1D">
      <w:pPr>
        <w:spacing w:after="0"/>
        <w:ind w:left="426"/>
        <w:rPr>
          <w:rFonts w:ascii="Calibri" w:eastAsia="Calibri" w:hAnsi="Calibri" w:cs="Times New Roman"/>
          <w:noProof/>
          <w:lang w:eastAsia="en-GB"/>
        </w:rPr>
      </w:pPr>
    </w:p>
    <w:p w14:paraId="68EE6406" w14:textId="66867A99" w:rsidR="005F6F1D" w:rsidRPr="005F6F1D" w:rsidRDefault="005F6F1D" w:rsidP="005F6F1D">
      <w:pPr>
        <w:spacing w:after="0"/>
        <w:ind w:left="993"/>
        <w:rPr>
          <w:rFonts w:ascii="Calibri" w:eastAsia="Calibri" w:hAnsi="Calibri" w:cs="Times New Roman"/>
          <w:noProof/>
          <w:lang w:eastAsia="en-GB"/>
        </w:rPr>
      </w:pPr>
    </w:p>
    <w:p w14:paraId="1C801645" w14:textId="17657E0C" w:rsidR="005F6F1D" w:rsidRPr="005F6F1D" w:rsidRDefault="009C33B8" w:rsidP="005F6F1D">
      <w:pPr>
        <w:spacing w:after="0"/>
        <w:ind w:left="993"/>
        <w:rPr>
          <w:rFonts w:ascii="Calibri" w:eastAsia="Calibri" w:hAnsi="Calibri" w:cs="Times New Roman"/>
          <w:noProof/>
          <w:lang w:eastAsia="en-GB"/>
        </w:rPr>
      </w:pPr>
      <w:r>
        <w:rPr>
          <w:noProof/>
        </w:rPr>
        <w:drawing>
          <wp:inline distT="0" distB="0" distL="0" distR="0" wp14:anchorId="2BA1513A" wp14:editId="78733ABA">
            <wp:extent cx="7573618" cy="2510155"/>
            <wp:effectExtent l="0" t="0" r="8890" b="4445"/>
            <wp:docPr id="90298781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E3119B" w14:textId="2815095F" w:rsidR="005F6F1D" w:rsidRPr="005F6F1D" w:rsidRDefault="005F6F1D" w:rsidP="005F6F1D">
      <w:pPr>
        <w:spacing w:after="0"/>
        <w:ind w:left="993"/>
        <w:rPr>
          <w:rFonts w:ascii="Calibri" w:eastAsia="Calibri" w:hAnsi="Calibri" w:cs="Times New Roman"/>
          <w:noProof/>
          <w:lang w:eastAsia="en-GB"/>
        </w:rPr>
      </w:pPr>
    </w:p>
    <w:p w14:paraId="3A275E85" w14:textId="4B721ADC" w:rsidR="005F6F1D" w:rsidRPr="005F6F1D" w:rsidRDefault="005F6F1D" w:rsidP="005F6F1D">
      <w:pPr>
        <w:spacing w:after="0"/>
        <w:ind w:left="993"/>
        <w:rPr>
          <w:rFonts w:ascii="Calibri" w:eastAsia="Calibri" w:hAnsi="Calibri" w:cs="Times New Roman"/>
          <w:noProof/>
          <w:lang w:eastAsia="en-GB"/>
        </w:rPr>
      </w:pPr>
    </w:p>
    <w:p w14:paraId="589677E0" w14:textId="37C9061F" w:rsidR="005F6F1D" w:rsidRPr="005F6F1D" w:rsidRDefault="009C33B8" w:rsidP="005F6F1D">
      <w:pPr>
        <w:spacing w:after="0"/>
        <w:ind w:left="426"/>
        <w:rPr>
          <w:rFonts w:ascii="Calibri" w:eastAsia="Calibri" w:hAnsi="Calibri" w:cs="Times New Roman"/>
          <w:noProof/>
          <w:lang w:eastAsia="en-GB"/>
        </w:rPr>
      </w:pPr>
      <w:r>
        <w:rPr>
          <w:noProof/>
        </w:rPr>
        <w:drawing>
          <wp:inline distT="0" distB="0" distL="0" distR="0" wp14:anchorId="35FCAF59" wp14:editId="7D0E3294">
            <wp:extent cx="8270475" cy="4676825"/>
            <wp:effectExtent l="0" t="0" r="16510" b="9525"/>
            <wp:docPr id="164214847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A02C61" w14:textId="19CA816E" w:rsidR="005F6F1D" w:rsidRPr="005F6F1D" w:rsidRDefault="009F5180" w:rsidP="005F6F1D">
      <w:pPr>
        <w:spacing w:after="0"/>
        <w:rPr>
          <w:rFonts w:ascii="Calibri" w:eastAsia="Calibri" w:hAnsi="Calibri" w:cs="Times New Roman"/>
          <w:noProof/>
          <w:lang w:eastAsia="en-GB"/>
        </w:rPr>
      </w:pPr>
      <w:r>
        <w:rPr>
          <w:rFonts w:ascii="Calibri" w:eastAsia="Calibri" w:hAnsi="Calibri" w:cs="Times New Roman"/>
          <w:noProof/>
          <w:lang w:eastAsia="en-GB"/>
        </w:rPr>
        <w:lastRenderedPageBreak/>
        <w:tab/>
      </w:r>
      <w:r w:rsidR="009C33B8">
        <w:rPr>
          <w:noProof/>
        </w:rPr>
        <w:drawing>
          <wp:inline distT="0" distB="0" distL="0" distR="0" wp14:anchorId="08D42A1D" wp14:editId="75EA6C5A">
            <wp:extent cx="8308575" cy="4854576"/>
            <wp:effectExtent l="0" t="0" r="16510" b="3175"/>
            <wp:docPr id="70848518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D36D18" w14:textId="2F540926" w:rsidR="005F6F1D" w:rsidRPr="005F6F1D" w:rsidRDefault="00531FE7" w:rsidP="005F6F1D">
      <w:pPr>
        <w:spacing w:after="0"/>
        <w:rPr>
          <w:rFonts w:ascii="Calibri" w:eastAsia="Calibri" w:hAnsi="Calibri" w:cs="Times New Roman"/>
          <w:noProof/>
          <w:lang w:eastAsia="en-GB"/>
        </w:rPr>
      </w:pPr>
      <w:r>
        <w:rPr>
          <w:noProof/>
        </w:rPr>
        <w:tab/>
      </w:r>
    </w:p>
    <w:p w14:paraId="05ABA7AE" w14:textId="3FC6D0AF" w:rsidR="005F6F1D" w:rsidRPr="005F6F1D" w:rsidRDefault="005F6F1D" w:rsidP="005F6F1D">
      <w:pPr>
        <w:spacing w:after="0"/>
        <w:rPr>
          <w:rFonts w:ascii="Calibri" w:eastAsia="Calibri" w:hAnsi="Calibri" w:cs="Times New Roman"/>
          <w:noProof/>
          <w:lang w:eastAsia="en-GB"/>
        </w:rPr>
      </w:pPr>
    </w:p>
    <w:p w14:paraId="66DE5883" w14:textId="12D161A4" w:rsidR="005F6F1D" w:rsidRPr="005F6F1D" w:rsidRDefault="00CB7CFD" w:rsidP="005F6F1D">
      <w:pPr>
        <w:spacing w:after="0" w:line="240" w:lineRule="auto"/>
        <w:ind w:left="720" w:hanging="1287"/>
        <w:rPr>
          <w:rFonts w:ascii="Arial" w:eastAsia="Calibri" w:hAnsi="Arial" w:cs="Arial"/>
          <w:b/>
          <w:color w:val="0070C0"/>
          <w:sz w:val="28"/>
          <w:szCs w:val="28"/>
        </w:rPr>
        <w:sectPr w:rsidR="005F6F1D" w:rsidRPr="005F6F1D" w:rsidSect="009A5F55">
          <w:pgSz w:w="16838" w:h="11906" w:orient="landscape"/>
          <w:pgMar w:top="1134" w:right="1440" w:bottom="1440" w:left="1440" w:header="709" w:footer="709" w:gutter="0"/>
          <w:cols w:space="708"/>
          <w:docGrid w:linePitch="360"/>
        </w:sectPr>
      </w:pPr>
      <w:r>
        <w:rPr>
          <w:rFonts w:ascii="Arial" w:eastAsia="Calibri" w:hAnsi="Arial" w:cs="Arial"/>
          <w:b/>
          <w:color w:val="0070C0"/>
          <w:sz w:val="28"/>
          <w:szCs w:val="28"/>
        </w:rPr>
        <w:lastRenderedPageBreak/>
        <w:tab/>
      </w:r>
      <w:r w:rsidR="009C33B8">
        <w:rPr>
          <w:noProof/>
        </w:rPr>
        <w:drawing>
          <wp:inline distT="0" distB="0" distL="0" distR="0" wp14:anchorId="059B8508" wp14:editId="25A6F48E">
            <wp:extent cx="8110330" cy="4686300"/>
            <wp:effectExtent l="0" t="0" r="5080" b="0"/>
            <wp:docPr id="29666746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61FB8C" w14:textId="77777777" w:rsidR="00A71AF3" w:rsidRDefault="00A71AF3" w:rsidP="00A71AF3">
      <w:pPr>
        <w:rPr>
          <w:rFonts w:ascii="Arial" w:eastAsia="Calibri" w:hAnsi="Arial" w:cs="Arial"/>
          <w:b/>
          <w:color w:val="0070C0"/>
          <w:sz w:val="28"/>
          <w:szCs w:val="28"/>
        </w:rPr>
      </w:pPr>
      <w:bookmarkStart w:id="0" w:name="_top"/>
      <w:bookmarkStart w:id="1" w:name="_Hlk170899395"/>
      <w:bookmarkEnd w:id="0"/>
      <w:r>
        <w:rPr>
          <w:rFonts w:ascii="Arial" w:eastAsia="Calibri" w:hAnsi="Arial" w:cs="Arial"/>
          <w:b/>
          <w:color w:val="0070C0"/>
          <w:sz w:val="28"/>
          <w:szCs w:val="28"/>
        </w:rPr>
        <w:lastRenderedPageBreak/>
        <w:t>5. Administration Update</w:t>
      </w:r>
    </w:p>
    <w:p w14:paraId="48FBCE80" w14:textId="77777777" w:rsidR="00A71AF3" w:rsidRDefault="00A71AF3" w:rsidP="00A71AF3">
      <w:pPr>
        <w:spacing w:line="252" w:lineRule="auto"/>
        <w:rPr>
          <w:rFonts w:ascii="Arial" w:eastAsia="Calibri" w:hAnsi="Arial" w:cs="Arial"/>
          <w:b/>
          <w:bCs/>
        </w:rPr>
      </w:pPr>
      <w:bookmarkStart w:id="2" w:name="_Hlk182398223"/>
      <w:r>
        <w:rPr>
          <w:rFonts w:ascii="Arial" w:eastAsia="Calibri" w:hAnsi="Arial" w:cs="Arial"/>
          <w:b/>
          <w:bCs/>
        </w:rPr>
        <w:t>Age Discrimination Remedy – Immediate Choice members (red cases)</w:t>
      </w:r>
    </w:p>
    <w:bookmarkEnd w:id="2"/>
    <w:p w14:paraId="7F2DD784" w14:textId="77777777" w:rsidR="00A71AF3" w:rsidRDefault="00A71AF3" w:rsidP="00A71AF3">
      <w:pPr>
        <w:spacing w:after="0" w:line="240" w:lineRule="auto"/>
        <w:rPr>
          <w:rFonts w:ascii="Arial" w:eastAsia="Aptos" w:hAnsi="Arial" w:cs="Arial"/>
          <w14:ligatures w14:val="standardContextual"/>
        </w:rPr>
      </w:pPr>
      <w:r>
        <w:rPr>
          <w:rFonts w:ascii="Arial" w:eastAsia="Aptos" w:hAnsi="Arial" w:cs="Arial"/>
          <w14:ligatures w14:val="standardContextual"/>
        </w:rPr>
        <w:t>In Bulletin 86 LGA have said “</w:t>
      </w:r>
      <w:r>
        <w:rPr>
          <w:rFonts w:ascii="Arial" w:eastAsia="Calibri" w:hAnsi="Arial" w:cs="Arial"/>
        </w:rPr>
        <w:t>Local Pension Boards are encouraged to monitor the production of remediable service statements as part of their regular updates”</w:t>
      </w:r>
    </w:p>
    <w:p w14:paraId="1CB1ED0C" w14:textId="77777777" w:rsidR="00A71AF3" w:rsidRDefault="00A71AF3" w:rsidP="00A71AF3">
      <w:pPr>
        <w:spacing w:after="0" w:line="240" w:lineRule="auto"/>
        <w:rPr>
          <w:rFonts w:ascii="Arial" w:eastAsia="Aptos" w:hAnsi="Arial" w:cs="Arial"/>
          <w14:ligatures w14:val="standardContextual"/>
        </w:rPr>
      </w:pPr>
    </w:p>
    <w:p w14:paraId="70DFB634" w14:textId="77777777" w:rsidR="00A71AF3" w:rsidRDefault="00A71AF3" w:rsidP="00A71AF3">
      <w:pPr>
        <w:spacing w:after="0" w:line="240" w:lineRule="auto"/>
        <w:rPr>
          <w:rFonts w:ascii="Arial" w:eastAsia="Aptos" w:hAnsi="Arial" w:cs="Arial"/>
          <w14:ligatures w14:val="standardContextual"/>
        </w:rPr>
      </w:pPr>
      <w:r>
        <w:rPr>
          <w:rFonts w:ascii="Arial" w:eastAsia="Aptos" w:hAnsi="Arial" w:cs="Arial"/>
          <w14:ligatures w14:val="standardContextual"/>
        </w:rPr>
        <w:t>The issue is that even if FRAs agree to process the ‘red’ cases WYPF are still not in a position to do the calculations. This is because of our current understanding below:</w:t>
      </w:r>
    </w:p>
    <w:p w14:paraId="515DE8B8" w14:textId="77777777" w:rsidR="00A71AF3" w:rsidRDefault="00A71AF3" w:rsidP="00A71AF3">
      <w:pPr>
        <w:spacing w:after="0" w:line="240" w:lineRule="auto"/>
        <w:rPr>
          <w:rFonts w:ascii="Arial" w:eastAsia="Aptos" w:hAnsi="Arial" w:cs="Arial"/>
          <w14:ligatures w14:val="standardContextual"/>
        </w:rPr>
      </w:pPr>
    </w:p>
    <w:p w14:paraId="1AB5B031"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No pensions administrator has been able to work through the HMRC guidance in their newsletter.</w:t>
      </w:r>
    </w:p>
    <w:p w14:paraId="4734F701"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Both GAD and SPPA believe there are gaps in the guidance produced by HMRC and these issues are to be raised with HMRC shortly</w:t>
      </w:r>
    </w:p>
    <w:p w14:paraId="55F4CBD6"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One administrator has produced a simplified calculator which GAD Have agreed to look at and check if it produces the same results as the SPPA calculator. If it does that GAD and Home Office have agreed to provide guidance ad calculation examples for the standard cases</w:t>
      </w:r>
    </w:p>
    <w:p w14:paraId="2B3CAEDB"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WYPF have agreed to send GAD examples of some non-standard cases and these will be used to check against the HMRC guidance and any further gaps highlighted</w:t>
      </w:r>
    </w:p>
    <w:p w14:paraId="520CC06E"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We are also awaiting the interest calculator from GAD which is needed for the re-assessment of the original unauthorised lump sum tax charge</w:t>
      </w:r>
    </w:p>
    <w:p w14:paraId="4E3F10A1" w14:textId="77777777" w:rsidR="00A71AF3" w:rsidRDefault="00A71AF3" w:rsidP="00A71AF3">
      <w:pPr>
        <w:spacing w:after="0" w:line="240" w:lineRule="auto"/>
        <w:ind w:left="360"/>
        <w:rPr>
          <w:rFonts w:ascii="Arial" w:eastAsia="Times New Roman" w:hAnsi="Arial" w:cs="Arial"/>
        </w:rPr>
      </w:pPr>
    </w:p>
    <w:p w14:paraId="646DD411" w14:textId="77777777" w:rsidR="00A71AF3" w:rsidRDefault="00A71AF3" w:rsidP="00A71AF3">
      <w:pPr>
        <w:rPr>
          <w:rFonts w:ascii="Arial" w:eastAsia="Calibri" w:hAnsi="Arial" w:cs="Arial"/>
        </w:rPr>
      </w:pPr>
      <w:r>
        <w:rPr>
          <w:rFonts w:ascii="Arial" w:eastAsia="Calibri" w:hAnsi="Arial" w:cs="Arial"/>
        </w:rPr>
        <w:t>We also don’t how long it will take GAD to supply what we need but suspect it will be a number of weeks before WYPF have all the information required to process these red cases.</w:t>
      </w:r>
    </w:p>
    <w:p w14:paraId="646D7960" w14:textId="77777777" w:rsidR="00A71AF3" w:rsidRDefault="00A71AF3" w:rsidP="00A71AF3">
      <w:pPr>
        <w:spacing w:line="252" w:lineRule="auto"/>
        <w:rPr>
          <w:rFonts w:ascii="Arial" w:eastAsia="Calibri" w:hAnsi="Arial" w:cs="Arial"/>
          <w:b/>
          <w:bCs/>
        </w:rPr>
      </w:pPr>
      <w:r>
        <w:rPr>
          <w:rFonts w:ascii="Arial" w:eastAsia="Calibri" w:hAnsi="Arial" w:cs="Arial"/>
          <w:b/>
          <w:bCs/>
        </w:rPr>
        <w:t>Age Discrimination Remedy – Immediate Choice members (green cases)</w:t>
      </w:r>
    </w:p>
    <w:p w14:paraId="56D6329D" w14:textId="77777777" w:rsidR="00A71AF3" w:rsidRDefault="00A71AF3" w:rsidP="00A71AF3">
      <w:pPr>
        <w:spacing w:line="252" w:lineRule="auto"/>
        <w:rPr>
          <w:rFonts w:ascii="Arial" w:eastAsia="Calibri" w:hAnsi="Arial" w:cs="Arial"/>
        </w:rPr>
      </w:pPr>
      <w:r>
        <w:rPr>
          <w:rFonts w:ascii="Arial" w:eastAsia="Calibri" w:hAnsi="Arial" w:cs="Arial"/>
        </w:rPr>
        <w:t>Wypf are continuing to work through the green cases, but these are manual calculations which take time to process. We hope to have the majority completed in the next for weeks</w:t>
      </w:r>
    </w:p>
    <w:p w14:paraId="72608999" w14:textId="77777777" w:rsidR="00A71AF3" w:rsidRDefault="00A71AF3" w:rsidP="00A71AF3">
      <w:pPr>
        <w:rPr>
          <w:rFonts w:ascii="Arial" w:eastAsia="Calibri" w:hAnsi="Arial" w:cs="Arial"/>
          <w:b/>
        </w:rPr>
      </w:pPr>
      <w:r>
        <w:rPr>
          <w:rFonts w:ascii="Arial" w:eastAsia="Calibri" w:hAnsi="Arial" w:cs="Arial"/>
          <w:b/>
        </w:rPr>
        <w:t>Valuation</w:t>
      </w:r>
    </w:p>
    <w:p w14:paraId="7C8BA73E" w14:textId="77777777" w:rsidR="00A71AF3" w:rsidRDefault="00A71AF3" w:rsidP="00A71AF3">
      <w:pPr>
        <w:rPr>
          <w:rFonts w:ascii="Arial" w:eastAsia="Calibri" w:hAnsi="Arial" w:cs="Arial"/>
          <w:bCs/>
        </w:rPr>
      </w:pPr>
      <w:r>
        <w:rPr>
          <w:rFonts w:ascii="Arial" w:eastAsia="Calibri" w:hAnsi="Arial" w:cs="Arial"/>
          <w:bCs/>
        </w:rPr>
        <w:t>WYPF is not in a position to provide scheme data post rollback. We have, therefore, been discussing the matter with LGA and GAD and they have provided the following information.</w:t>
      </w:r>
    </w:p>
    <w:p w14:paraId="149BEEAF" w14:textId="77777777" w:rsidR="00A71AF3" w:rsidRDefault="00A71AF3" w:rsidP="00A71AF3">
      <w:pPr>
        <w:spacing w:after="0" w:line="240" w:lineRule="auto"/>
        <w:rPr>
          <w:rFonts w:ascii="Arial" w:eastAsia="Aptos" w:hAnsi="Arial" w:cs="Arial"/>
          <w14:ligatures w14:val="standardContextual"/>
        </w:rPr>
      </w:pPr>
      <w:r>
        <w:rPr>
          <w:rFonts w:ascii="Arial" w:eastAsia="Aptos" w:hAnsi="Arial" w:cs="Arial"/>
          <w:b/>
          <w:bCs/>
          <w14:ligatures w14:val="standardContextual"/>
        </w:rPr>
        <w:t>GAD’s position is that we:</w:t>
      </w:r>
    </w:p>
    <w:p w14:paraId="3D207E79" w14:textId="77777777" w:rsidR="00A71AF3" w:rsidRDefault="00A71AF3" w:rsidP="00A71AF3">
      <w:pPr>
        <w:tabs>
          <w:tab w:val="num" w:pos="360"/>
        </w:tabs>
        <w:spacing w:after="0" w:line="240" w:lineRule="auto"/>
        <w:rPr>
          <w:rFonts w:ascii="Arial" w:eastAsia="Times New Roman" w:hAnsi="Arial" w:cs="Arial"/>
          <w14:ligatures w14:val="standardContextual"/>
        </w:rPr>
      </w:pPr>
      <w:r>
        <w:rPr>
          <w:rFonts w:ascii="Arial" w:eastAsia="Times New Roman" w:hAnsi="Arial" w:cs="Arial"/>
          <w14:ligatures w14:val="standardContextual"/>
        </w:rPr>
        <w:t>Need data in the new specification format.</w:t>
      </w:r>
    </w:p>
    <w:p w14:paraId="22A0CC10" w14:textId="77777777" w:rsidR="00A71AF3" w:rsidRDefault="00A71AF3" w:rsidP="00A71AF3">
      <w:pPr>
        <w:tabs>
          <w:tab w:val="num" w:pos="360"/>
        </w:tabs>
        <w:spacing w:after="0" w:line="240" w:lineRule="auto"/>
        <w:rPr>
          <w:rFonts w:ascii="Arial" w:eastAsia="Times New Roman" w:hAnsi="Arial" w:cs="Arial"/>
          <w:i/>
          <w:iCs/>
          <w:color w:val="2E74B5" w:themeColor="accent1" w:themeShade="BF"/>
          <w14:ligatures w14:val="standardContextual"/>
        </w:rPr>
      </w:pPr>
      <w:r>
        <w:rPr>
          <w:rFonts w:ascii="Arial" w:eastAsia="Times New Roman" w:hAnsi="Arial" w:cs="Arial"/>
          <w:i/>
          <w:iCs/>
          <w:color w:val="2E74B5" w:themeColor="accent1" w:themeShade="BF"/>
          <w14:ligatures w14:val="standardContextual"/>
        </w:rPr>
        <w:t>Would strongly prefer to have the Fire England funds’ (stock) extracts this calendar year and ideally by 1 December.</w:t>
      </w:r>
    </w:p>
    <w:p w14:paraId="0DC14F11" w14:textId="77777777" w:rsidR="00A71AF3" w:rsidRDefault="00A71AF3" w:rsidP="00A71AF3">
      <w:pPr>
        <w:tabs>
          <w:tab w:val="num" w:pos="360"/>
        </w:tabs>
        <w:spacing w:after="0" w:line="240" w:lineRule="auto"/>
        <w:rPr>
          <w:rFonts w:ascii="Arial" w:eastAsia="Times New Roman" w:hAnsi="Arial" w:cs="Arial"/>
          <w14:ligatures w14:val="standardContextual"/>
        </w:rPr>
      </w:pPr>
      <w:r>
        <w:rPr>
          <w:rFonts w:ascii="Arial" w:eastAsia="Times New Roman" w:hAnsi="Arial" w:cs="Arial"/>
          <w14:ligatures w14:val="standardContextual"/>
        </w:rPr>
        <w:t>Are prepared to received extracts prior to McCloud rollback.</w:t>
      </w:r>
    </w:p>
    <w:p w14:paraId="4C02FD11" w14:textId="77777777" w:rsidR="00A71AF3" w:rsidRDefault="00A71AF3" w:rsidP="00A71AF3">
      <w:pPr>
        <w:tabs>
          <w:tab w:val="num" w:pos="360"/>
        </w:tabs>
        <w:spacing w:after="0" w:line="240" w:lineRule="auto"/>
        <w:rPr>
          <w:rFonts w:ascii="Arial" w:eastAsia="Times New Roman" w:hAnsi="Arial" w:cs="Arial"/>
          <w14:ligatures w14:val="standardContextual"/>
        </w:rPr>
      </w:pPr>
      <w:r>
        <w:rPr>
          <w:rFonts w:ascii="Arial" w:eastAsia="Times New Roman" w:hAnsi="Arial" w:cs="Arial"/>
          <w14:ligatures w14:val="standardContextual"/>
        </w:rPr>
        <w:t>Are content to receive movement data by close Feb.</w:t>
      </w:r>
    </w:p>
    <w:p w14:paraId="29B3505D" w14:textId="77777777" w:rsidR="00A71AF3" w:rsidRDefault="00A71AF3" w:rsidP="00A71AF3">
      <w:pPr>
        <w:tabs>
          <w:tab w:val="num" w:pos="360"/>
        </w:tabs>
        <w:spacing w:after="0" w:line="240" w:lineRule="auto"/>
        <w:rPr>
          <w:rFonts w:ascii="Arial" w:eastAsia="Times New Roman" w:hAnsi="Arial" w:cs="Arial"/>
          <w14:ligatures w14:val="standardContextual"/>
        </w:rPr>
      </w:pPr>
      <w:r>
        <w:rPr>
          <w:rFonts w:ascii="Arial" w:eastAsia="Times New Roman" w:hAnsi="Arial" w:cs="Arial"/>
          <w14:ligatures w14:val="standardContextual"/>
        </w:rPr>
        <w:t>Want to receive clarifications/small supplements on data (e.g. any emerging cross cutting issues)</w:t>
      </w:r>
    </w:p>
    <w:p w14:paraId="5F1EDBCC" w14:textId="77777777" w:rsidR="00A71AF3" w:rsidRDefault="00A71AF3" w:rsidP="00A71AF3">
      <w:pPr>
        <w:tabs>
          <w:tab w:val="num" w:pos="360"/>
        </w:tabs>
        <w:spacing w:after="0" w:line="240" w:lineRule="auto"/>
        <w:rPr>
          <w:rFonts w:ascii="Arial" w:eastAsia="Times New Roman" w:hAnsi="Arial" w:cs="Arial"/>
          <w14:ligatures w14:val="standardContextual"/>
        </w:rPr>
      </w:pPr>
      <w:r>
        <w:rPr>
          <w:rFonts w:ascii="Arial" w:eastAsia="Times New Roman" w:hAnsi="Arial" w:cs="Arial"/>
          <w14:ligatures w14:val="standardContextual"/>
        </w:rPr>
        <w:t>Do not want to receive multiple data extracts (e.g., pre-roll back this year, further post-rollback stock data extract(s) next year)</w:t>
      </w:r>
    </w:p>
    <w:p w14:paraId="3DE2FD0C" w14:textId="77777777" w:rsidR="00A71AF3" w:rsidRDefault="00A71AF3" w:rsidP="00A71AF3">
      <w:pPr>
        <w:spacing w:after="0" w:line="240" w:lineRule="auto"/>
        <w:rPr>
          <w:rFonts w:ascii="Arial" w:eastAsia="Aptos" w:hAnsi="Arial" w:cs="Arial"/>
          <w14:ligatures w14:val="standardContextual"/>
        </w:rPr>
      </w:pPr>
      <w:r>
        <w:rPr>
          <w:rFonts w:ascii="Arial" w:eastAsia="Aptos" w:hAnsi="Arial" w:cs="Arial"/>
          <w14:ligatures w14:val="standardContextual"/>
        </w:rPr>
        <w:t> </w:t>
      </w:r>
    </w:p>
    <w:p w14:paraId="48128A54" w14:textId="77777777" w:rsidR="00A71AF3" w:rsidRDefault="00A71AF3" w:rsidP="00A71AF3">
      <w:pPr>
        <w:spacing w:after="0" w:line="240" w:lineRule="auto"/>
        <w:rPr>
          <w:rFonts w:ascii="Arial" w:eastAsia="Aptos" w:hAnsi="Arial" w:cs="Arial"/>
          <w14:ligatures w14:val="standardContextual"/>
        </w:rPr>
      </w:pPr>
      <w:r>
        <w:rPr>
          <w:rFonts w:ascii="Arial" w:eastAsia="Aptos" w:hAnsi="Arial" w:cs="Arial"/>
          <w:b/>
          <w:bCs/>
          <w14:ligatures w14:val="standardContextual"/>
        </w:rPr>
        <w:t>Reasons</w:t>
      </w:r>
    </w:p>
    <w:p w14:paraId="0A51919C" w14:textId="77777777" w:rsidR="00A71AF3" w:rsidRDefault="00A71AF3" w:rsidP="00A71AF3">
      <w:pPr>
        <w:tabs>
          <w:tab w:val="num" w:pos="360"/>
        </w:tabs>
        <w:spacing w:after="0" w:line="240" w:lineRule="auto"/>
        <w:rPr>
          <w:rFonts w:ascii="Arial" w:eastAsia="Times New Roman" w:hAnsi="Arial" w:cs="Arial"/>
          <w14:ligatures w14:val="standardContextual"/>
        </w:rPr>
      </w:pPr>
      <w:r>
        <w:rPr>
          <w:rFonts w:ascii="Arial" w:eastAsia="Times New Roman" w:hAnsi="Arial" w:cs="Arial"/>
          <w14:ligatures w14:val="standardContextual"/>
        </w:rPr>
        <w:t xml:space="preserve">Given present and future work pressures at both administrator and GAD, we are very keen to avoid multiple data extracts.  We are aware that administrators are currently busy are likely to remain so (March deadline for McCloud RSSs if not issued previously, dashboard implementation work, etc).  Similarly GAD are producing valuations for all major public service schemes between 2024 and 2027. </w:t>
      </w:r>
    </w:p>
    <w:p w14:paraId="764BC005" w14:textId="77777777" w:rsidR="00A71AF3" w:rsidRDefault="00A71AF3" w:rsidP="00A71AF3">
      <w:pPr>
        <w:tabs>
          <w:tab w:val="num" w:pos="360"/>
        </w:tabs>
        <w:spacing w:after="0" w:line="240" w:lineRule="auto"/>
        <w:rPr>
          <w:rFonts w:ascii="Arial" w:eastAsia="Times New Roman" w:hAnsi="Arial" w:cs="Arial"/>
          <w14:ligatures w14:val="standardContextual"/>
        </w:rPr>
      </w:pPr>
      <w:r>
        <w:rPr>
          <w:rFonts w:ascii="Arial" w:eastAsia="Times New Roman" w:hAnsi="Arial" w:cs="Arial"/>
          <w14:ligatures w14:val="standardContextual"/>
        </w:rPr>
        <w:t xml:space="preserve">To have results in time for scrutiny and implementation by April 2027 it is essential that we start processing stock data on time (Movement data processing is dependent stock data processing and so can start later).  </w:t>
      </w:r>
    </w:p>
    <w:p w14:paraId="5312826A" w14:textId="77777777" w:rsidR="00A71AF3" w:rsidRDefault="00A71AF3" w:rsidP="00A71AF3">
      <w:pPr>
        <w:tabs>
          <w:tab w:val="num" w:pos="360"/>
        </w:tabs>
        <w:spacing w:after="0" w:line="240" w:lineRule="auto"/>
        <w:rPr>
          <w:rFonts w:ascii="Arial" w:eastAsia="Times New Roman" w:hAnsi="Arial" w:cs="Arial"/>
          <w14:ligatures w14:val="standardContextual"/>
        </w:rPr>
      </w:pPr>
      <w:r>
        <w:rPr>
          <w:rFonts w:ascii="Arial" w:eastAsia="Times New Roman" w:hAnsi="Arial" w:cs="Arial"/>
          <w14:ligatures w14:val="standardContextual"/>
        </w:rPr>
        <w:t xml:space="preserve">Not knowing the outcome of rollback will add some uncertainty to the value of liabilities. However, the speed of progress of the Matthews remedy means that Matthews is likely to a </w:t>
      </w:r>
      <w:r>
        <w:rPr>
          <w:rFonts w:ascii="Arial" w:eastAsia="Times New Roman" w:hAnsi="Arial" w:cs="Arial"/>
          <w14:ligatures w14:val="standardContextual"/>
        </w:rPr>
        <w:lastRenderedPageBreak/>
        <w:t xml:space="preserve">larger source of uncertainty than McCloud (even if we do not have McCloud rollback data for the 2024 valuation). </w:t>
      </w:r>
    </w:p>
    <w:p w14:paraId="08220D6E" w14:textId="77777777" w:rsidR="00A71AF3" w:rsidRDefault="00A71AF3" w:rsidP="00A71AF3">
      <w:pPr>
        <w:tabs>
          <w:tab w:val="num" w:pos="360"/>
        </w:tabs>
        <w:spacing w:after="0" w:line="240" w:lineRule="auto"/>
        <w:rPr>
          <w:rFonts w:ascii="Arial" w:eastAsia="Times New Roman" w:hAnsi="Arial" w:cs="Arial"/>
          <w14:ligatures w14:val="standardContextual"/>
        </w:rPr>
      </w:pPr>
      <w:r>
        <w:rPr>
          <w:rFonts w:ascii="Arial" w:eastAsia="Times New Roman" w:hAnsi="Arial" w:cs="Arial"/>
          <w14:ligatures w14:val="standardContextual"/>
        </w:rPr>
        <w:t xml:space="preserve">We are to engaging with the Fire auditor community to manage annual financial reporting expectations – but there remains a possibility that auditors </w:t>
      </w:r>
      <w:r>
        <w:rPr>
          <w:rFonts w:ascii="Arial" w:eastAsia="Times New Roman" w:hAnsi="Arial" w:cs="Arial"/>
          <w:sz w:val="24"/>
          <w:szCs w:val="24"/>
          <w14:ligatures w14:val="standardContextual"/>
        </w:rPr>
        <w:t>raise concerns if fire authorities prepare 2024/25 financial disclosures using data collected as part of the 2020 valuation.</w:t>
      </w:r>
    </w:p>
    <w:p w14:paraId="1D69DE2D" w14:textId="77777777" w:rsidR="00A71AF3" w:rsidRDefault="00A71AF3" w:rsidP="00A71AF3">
      <w:pPr>
        <w:spacing w:after="0" w:line="240" w:lineRule="auto"/>
        <w:ind w:left="360"/>
        <w:rPr>
          <w:rFonts w:ascii="Arial" w:eastAsia="Times New Roman" w:hAnsi="Arial" w:cs="Arial"/>
          <w14:ligatures w14:val="standardContextual"/>
        </w:rPr>
      </w:pPr>
    </w:p>
    <w:p w14:paraId="017D1415" w14:textId="77777777" w:rsidR="00A71AF3" w:rsidRDefault="00A71AF3" w:rsidP="00A71AF3">
      <w:pPr>
        <w:rPr>
          <w:rFonts w:ascii="Arial" w:eastAsia="Calibri" w:hAnsi="Arial" w:cs="Arial"/>
          <w:bCs/>
        </w:rPr>
      </w:pPr>
      <w:r>
        <w:rPr>
          <w:rFonts w:ascii="Arial" w:eastAsia="Calibri" w:hAnsi="Arial" w:cs="Arial"/>
          <w:bCs/>
        </w:rPr>
        <w:t>WYPF have confirmed the valuation data extract will be provided pre rollback and our intention is to provide them by 1 December. However, considering the delay to the valuation exercise due to ongoing conversations with GAD and the numbers of FRAS we provide data for, some extracts may be provided by 31 December.</w:t>
      </w:r>
    </w:p>
    <w:p w14:paraId="367811CB" w14:textId="77777777" w:rsidR="00A71AF3" w:rsidRDefault="00A71AF3" w:rsidP="00A71AF3">
      <w:pPr>
        <w:rPr>
          <w:rFonts w:ascii="Arial" w:eastAsia="Calibri" w:hAnsi="Arial" w:cs="Arial"/>
          <w:bCs/>
        </w:rPr>
      </w:pPr>
      <w:r>
        <w:rPr>
          <w:rFonts w:ascii="Arial" w:eastAsia="Calibri" w:hAnsi="Arial" w:cs="Arial"/>
          <w:bCs/>
        </w:rPr>
        <w:t>WYPF have commenced the valuation exercise.</w:t>
      </w:r>
    </w:p>
    <w:p w14:paraId="374F5A03" w14:textId="77777777" w:rsidR="00A71AF3" w:rsidRDefault="00A71AF3" w:rsidP="00A71AF3">
      <w:pPr>
        <w:rPr>
          <w:rFonts w:ascii="Arial" w:eastAsia="Calibri" w:hAnsi="Arial" w:cs="Arial"/>
          <w:bCs/>
        </w:rPr>
      </w:pPr>
      <w:r>
        <w:rPr>
          <w:rFonts w:ascii="Arial" w:eastAsia="Calibri" w:hAnsi="Arial" w:cs="Arial"/>
          <w:bCs/>
        </w:rPr>
        <w:t xml:space="preserve">Contact for valuation purposes – </w:t>
      </w:r>
      <w:hyperlink r:id="rId30" w:history="1">
        <w:r>
          <w:rPr>
            <w:rStyle w:val="Hyperlink"/>
            <w:rFonts w:ascii="Arial" w:eastAsia="Calibri" w:hAnsi="Arial" w:cs="Arial"/>
            <w:bCs/>
          </w:rPr>
          <w:t>Omaira.Dean@wypf.org.uk</w:t>
        </w:r>
      </w:hyperlink>
      <w:r>
        <w:rPr>
          <w:rFonts w:ascii="Arial" w:eastAsia="Calibri" w:hAnsi="Arial" w:cs="Arial"/>
          <w:bCs/>
        </w:rPr>
        <w:t xml:space="preserve"> </w:t>
      </w:r>
    </w:p>
    <w:p w14:paraId="7A3CEC0B" w14:textId="77777777" w:rsidR="00A71AF3" w:rsidRDefault="00A71AF3" w:rsidP="00A71AF3">
      <w:pPr>
        <w:spacing w:line="252" w:lineRule="auto"/>
        <w:rPr>
          <w:rFonts w:ascii="Arial" w:eastAsia="Calibri" w:hAnsi="Arial" w:cs="Arial"/>
          <w:b/>
          <w:bCs/>
        </w:rPr>
      </w:pPr>
      <w:r>
        <w:rPr>
          <w:rFonts w:ascii="Arial" w:eastAsia="Calibri" w:hAnsi="Arial" w:cs="Arial"/>
          <w:b/>
          <w:bCs/>
        </w:rPr>
        <w:t>Meeting with SAB</w:t>
      </w:r>
    </w:p>
    <w:p w14:paraId="0E3862BA" w14:textId="77777777" w:rsidR="00A71AF3" w:rsidRDefault="00A71AF3" w:rsidP="00A71AF3">
      <w:pPr>
        <w:spacing w:line="252" w:lineRule="auto"/>
        <w:rPr>
          <w:rFonts w:ascii="Arial" w:eastAsia="Calibri" w:hAnsi="Arial" w:cs="Arial"/>
        </w:rPr>
      </w:pPr>
      <w:r>
        <w:rPr>
          <w:rFonts w:ascii="Arial" w:eastAsia="Calibri" w:hAnsi="Arial" w:cs="Arial"/>
        </w:rPr>
        <w:t>WYPF are meeting with the SAB in December. We will provide an update on ABS-RSS, IC Red Cases and Valuation</w:t>
      </w:r>
    </w:p>
    <w:p w14:paraId="24302F72" w14:textId="77777777" w:rsidR="00A71AF3" w:rsidRDefault="00A71AF3" w:rsidP="00A71AF3">
      <w:pPr>
        <w:spacing w:line="252" w:lineRule="auto"/>
        <w:rPr>
          <w:rFonts w:ascii="Arial" w:eastAsia="Calibri" w:hAnsi="Arial" w:cs="Arial"/>
          <w:b/>
          <w:bCs/>
        </w:rPr>
      </w:pPr>
      <w:bookmarkStart w:id="3" w:name="_Hlk182401597"/>
      <w:r>
        <w:rPr>
          <w:rFonts w:ascii="Arial" w:eastAsia="Calibri" w:hAnsi="Arial" w:cs="Arial"/>
          <w:b/>
          <w:bCs/>
        </w:rPr>
        <w:t>SAB RSS Reporting</w:t>
      </w:r>
    </w:p>
    <w:p w14:paraId="6798F2E4" w14:textId="77777777" w:rsidR="00A71AF3" w:rsidRDefault="00A71AF3" w:rsidP="00A71AF3">
      <w:pPr>
        <w:spacing w:line="252" w:lineRule="auto"/>
        <w:rPr>
          <w:rFonts w:ascii="Arial" w:eastAsia="Calibri" w:hAnsi="Arial" w:cs="Arial"/>
        </w:rPr>
      </w:pPr>
      <w:r>
        <w:rPr>
          <w:rFonts w:ascii="Arial" w:eastAsia="Calibri" w:hAnsi="Arial" w:cs="Arial"/>
        </w:rPr>
        <w:t xml:space="preserve">The SAB has contacted FRAs with regards to RSS output. FRAs will not be able to provide this information without assistance from WYPF. We were not expecting such as request, there was no advance warning or communication, and consequently WYPF do not have the necessary reports to comply with it. </w:t>
      </w:r>
    </w:p>
    <w:p w14:paraId="71AB03CB" w14:textId="77777777" w:rsidR="00A71AF3" w:rsidRDefault="00A71AF3" w:rsidP="00A71AF3">
      <w:pPr>
        <w:spacing w:line="252" w:lineRule="auto"/>
        <w:rPr>
          <w:rFonts w:ascii="Arial" w:eastAsia="Calibri" w:hAnsi="Arial" w:cs="Arial"/>
        </w:rPr>
      </w:pPr>
      <w:r>
        <w:rPr>
          <w:rFonts w:ascii="Arial" w:eastAsia="Calibri" w:hAnsi="Arial" w:cs="Arial"/>
        </w:rPr>
        <w:t>We are treating this request as a priority and discussing with IT the possibility of developing reports. If it is possible to develop reports we hope to have data for you by the end of November. If it is not possible we will notify all FRAs as soon as we know.</w:t>
      </w:r>
    </w:p>
    <w:bookmarkEnd w:id="3"/>
    <w:p w14:paraId="48BD8353" w14:textId="77777777" w:rsidR="00A71AF3" w:rsidRDefault="00A71AF3" w:rsidP="00A71AF3">
      <w:pPr>
        <w:spacing w:after="0" w:line="240" w:lineRule="auto"/>
        <w:rPr>
          <w:rFonts w:ascii="Arial" w:hAnsi="Arial" w:cs="Arial"/>
          <w:b/>
          <w:bCs/>
        </w:rPr>
      </w:pPr>
      <w:r>
        <w:rPr>
          <w:rFonts w:ascii="Arial" w:hAnsi="Arial" w:cs="Arial"/>
          <w:b/>
          <w:bCs/>
        </w:rPr>
        <w:t>Matthews</w:t>
      </w:r>
    </w:p>
    <w:p w14:paraId="2963D54E" w14:textId="77777777" w:rsidR="00A71AF3" w:rsidRDefault="00A71AF3" w:rsidP="00A71AF3">
      <w:pPr>
        <w:spacing w:after="0" w:line="240" w:lineRule="auto"/>
        <w:rPr>
          <w:rFonts w:ascii="Arial" w:hAnsi="Arial" w:cs="Arial"/>
        </w:rPr>
      </w:pPr>
    </w:p>
    <w:p w14:paraId="75FAD61E" w14:textId="77777777" w:rsidR="00A71AF3" w:rsidRDefault="00A71AF3" w:rsidP="00A71AF3">
      <w:pPr>
        <w:spacing w:after="0" w:line="240" w:lineRule="auto"/>
        <w:rPr>
          <w:rFonts w:ascii="Arial" w:hAnsi="Arial" w:cs="Arial"/>
        </w:rPr>
      </w:pPr>
      <w:r>
        <w:rPr>
          <w:rFonts w:ascii="Arial" w:hAnsi="Arial" w:cs="Arial"/>
        </w:rPr>
        <w:t xml:space="preserve">As more clients move through the Matthews process, it is a good opportunity to remind you of our guidance as follows. </w:t>
      </w:r>
    </w:p>
    <w:p w14:paraId="32F5335C" w14:textId="77777777" w:rsidR="00A71AF3" w:rsidRDefault="00A71AF3" w:rsidP="00A71AF3">
      <w:pPr>
        <w:spacing w:after="0" w:line="240" w:lineRule="auto"/>
        <w:rPr>
          <w:rFonts w:ascii="Arial" w:hAnsi="Arial" w:cs="Arial"/>
        </w:rPr>
      </w:pPr>
    </w:p>
    <w:p w14:paraId="03C03102" w14:textId="77777777" w:rsidR="00A71AF3" w:rsidRDefault="00A71AF3" w:rsidP="00A71AF3">
      <w:pPr>
        <w:spacing w:after="0" w:line="240" w:lineRule="auto"/>
        <w:rPr>
          <w:rFonts w:ascii="Arial" w:hAnsi="Arial" w:cs="Arial"/>
        </w:rPr>
      </w:pPr>
      <w:r>
        <w:rPr>
          <w:rFonts w:ascii="Arial" w:hAnsi="Arial" w:cs="Arial"/>
        </w:rPr>
        <w:t xml:space="preserve">If you have cases that you wish to send to us, please can you forward the required documents by email to </w:t>
      </w:r>
      <w:r>
        <w:rPr>
          <w:rFonts w:ascii="Arial" w:hAnsi="Arial" w:cs="Arial"/>
          <w:b/>
          <w:bCs/>
        </w:rPr>
        <w:t>both</w:t>
      </w:r>
      <w:r>
        <w:rPr>
          <w:rFonts w:ascii="Arial" w:hAnsi="Arial" w:cs="Arial"/>
        </w:rPr>
        <w:t xml:space="preserve"> the WYPF main email </w:t>
      </w:r>
      <w:hyperlink r:id="rId31" w:history="1">
        <w:r>
          <w:rPr>
            <w:rStyle w:val="Hyperlink"/>
            <w:rFonts w:ascii="Arial" w:hAnsi="Arial" w:cs="Arial"/>
            <w:color w:val="0563C1"/>
          </w:rPr>
          <w:t>pensions@wypf.org.uk</w:t>
        </w:r>
      </w:hyperlink>
      <w:r>
        <w:rPr>
          <w:rFonts w:ascii="Arial" w:hAnsi="Arial" w:cs="Arial"/>
        </w:rPr>
        <w:t xml:space="preserve"> and our new Matthews project email address </w:t>
      </w:r>
      <w:hyperlink r:id="rId32" w:history="1">
        <w:r>
          <w:rPr>
            <w:rStyle w:val="Hyperlink"/>
            <w:rFonts w:ascii="Arial" w:hAnsi="Arial" w:cs="Arial"/>
            <w:color w:val="0563C1"/>
          </w:rPr>
          <w:t>Matthews@wypf.org.uk</w:t>
        </w:r>
      </w:hyperlink>
      <w:r>
        <w:rPr>
          <w:rFonts w:ascii="Arial" w:hAnsi="Arial" w:cs="Arial"/>
        </w:rPr>
        <w:t xml:space="preserve"> </w:t>
      </w:r>
    </w:p>
    <w:p w14:paraId="7F24D25E" w14:textId="77777777" w:rsidR="00A71AF3" w:rsidRDefault="00A71AF3" w:rsidP="00A71AF3">
      <w:pPr>
        <w:spacing w:after="0" w:line="240" w:lineRule="auto"/>
        <w:rPr>
          <w:rFonts w:ascii="Arial" w:hAnsi="Arial" w:cs="Arial"/>
        </w:rPr>
      </w:pPr>
    </w:p>
    <w:p w14:paraId="42A76CA4" w14:textId="77777777" w:rsidR="00A71AF3" w:rsidRDefault="00A71AF3" w:rsidP="00A71AF3">
      <w:pPr>
        <w:spacing w:after="0" w:line="240" w:lineRule="auto"/>
        <w:rPr>
          <w:rFonts w:ascii="Arial" w:hAnsi="Arial" w:cs="Arial"/>
        </w:rPr>
      </w:pPr>
      <w:r>
        <w:rPr>
          <w:rFonts w:ascii="Arial" w:hAnsi="Arial" w:cs="Arial"/>
        </w:rPr>
        <w:t xml:space="preserve">If you have a specific Matthews query, please email Laura directly at </w:t>
      </w:r>
      <w:hyperlink r:id="rId33" w:history="1">
        <w:r>
          <w:rPr>
            <w:rStyle w:val="Hyperlink"/>
            <w:rFonts w:ascii="Arial" w:hAnsi="Arial" w:cs="Arial"/>
          </w:rPr>
          <w:t>laura.taylorson@wypf.org.uk</w:t>
        </w:r>
      </w:hyperlink>
    </w:p>
    <w:p w14:paraId="2BFF993C" w14:textId="77777777" w:rsidR="00A71AF3" w:rsidRDefault="00A71AF3" w:rsidP="00A71AF3">
      <w:pPr>
        <w:spacing w:after="0" w:line="240" w:lineRule="auto"/>
        <w:rPr>
          <w:rFonts w:ascii="Arial" w:hAnsi="Arial" w:cs="Arial"/>
        </w:rPr>
      </w:pPr>
    </w:p>
    <w:p w14:paraId="07A65B7B" w14:textId="77777777" w:rsidR="00A71AF3" w:rsidRDefault="00A71AF3" w:rsidP="00A71AF3">
      <w:pPr>
        <w:spacing w:after="0" w:line="240" w:lineRule="auto"/>
        <w:rPr>
          <w:rFonts w:ascii="Arial" w:hAnsi="Arial" w:cs="Arial"/>
        </w:rPr>
      </w:pPr>
    </w:p>
    <w:p w14:paraId="14103881" w14:textId="77777777" w:rsidR="00A71AF3" w:rsidRDefault="00A71AF3" w:rsidP="00A71AF3">
      <w:pPr>
        <w:spacing w:after="0" w:line="240" w:lineRule="auto"/>
        <w:rPr>
          <w:rFonts w:ascii="Arial" w:hAnsi="Arial" w:cs="Arial"/>
          <w:b/>
          <w:bCs/>
        </w:rPr>
      </w:pPr>
      <w:r>
        <w:rPr>
          <w:rFonts w:ascii="Arial" w:hAnsi="Arial" w:cs="Arial"/>
          <w:b/>
          <w:bCs/>
        </w:rPr>
        <w:t>Format of the Emails – this will help us to index the emails more easily.</w:t>
      </w:r>
    </w:p>
    <w:p w14:paraId="4D5476E4" w14:textId="77777777" w:rsidR="00A71AF3" w:rsidRDefault="00A71AF3" w:rsidP="00A71AF3">
      <w:pPr>
        <w:spacing w:after="0" w:line="240" w:lineRule="auto"/>
        <w:rPr>
          <w:rFonts w:ascii="Arial" w:hAnsi="Arial" w:cs="Arial"/>
        </w:rPr>
      </w:pPr>
    </w:p>
    <w:p w14:paraId="3C61F45A" w14:textId="77777777" w:rsidR="00A71AF3" w:rsidRDefault="00A71AF3" w:rsidP="00A71AF3">
      <w:pPr>
        <w:spacing w:after="0" w:line="240" w:lineRule="auto"/>
        <w:rPr>
          <w:rFonts w:ascii="Arial" w:hAnsi="Arial" w:cs="Arial"/>
        </w:rPr>
      </w:pPr>
      <w:r>
        <w:rPr>
          <w:rFonts w:ascii="Arial" w:hAnsi="Arial" w:cs="Arial"/>
          <w:b/>
          <w:bCs/>
        </w:rPr>
        <w:t>In the Subject</w:t>
      </w:r>
      <w:r>
        <w:rPr>
          <w:rFonts w:ascii="Arial" w:hAnsi="Arial" w:cs="Arial"/>
        </w:rPr>
        <w:t xml:space="preserve">: Matthews: FRA Name: Member Number if already set up on UPM: Status of the case to process – i.e. Active, Deferred, Pensioner </w:t>
      </w:r>
    </w:p>
    <w:p w14:paraId="14E7ED46" w14:textId="77777777" w:rsidR="00A71AF3" w:rsidRDefault="00A71AF3" w:rsidP="00A71AF3">
      <w:pPr>
        <w:spacing w:after="0" w:line="240" w:lineRule="auto"/>
        <w:rPr>
          <w:rFonts w:ascii="Arial" w:hAnsi="Arial" w:cs="Arial"/>
        </w:rPr>
      </w:pPr>
    </w:p>
    <w:p w14:paraId="20866256" w14:textId="77777777" w:rsidR="00A71AF3" w:rsidRDefault="00A71AF3" w:rsidP="00A71AF3">
      <w:pPr>
        <w:spacing w:after="0" w:line="240" w:lineRule="auto"/>
        <w:rPr>
          <w:rFonts w:ascii="Arial" w:hAnsi="Arial" w:cs="Arial"/>
        </w:rPr>
      </w:pPr>
      <w:r>
        <w:rPr>
          <w:rFonts w:ascii="Arial" w:hAnsi="Arial" w:cs="Arial"/>
          <w:b/>
          <w:bCs/>
        </w:rPr>
        <w:t>In the body of the email</w:t>
      </w:r>
      <w:r>
        <w:rPr>
          <w:rFonts w:ascii="Arial" w:hAnsi="Arial" w:cs="Arial"/>
        </w:rPr>
        <w:t xml:space="preserve"> please can you give us a brief description of what is happening with this member for example:</w:t>
      </w:r>
    </w:p>
    <w:p w14:paraId="5E7730CB" w14:textId="77777777" w:rsidR="00A71AF3" w:rsidRDefault="00A71AF3" w:rsidP="00A71AF3">
      <w:pPr>
        <w:spacing w:after="0" w:line="240" w:lineRule="auto"/>
        <w:rPr>
          <w:rFonts w:ascii="Arial" w:hAnsi="Arial" w:cs="Arial"/>
        </w:rPr>
      </w:pPr>
    </w:p>
    <w:p w14:paraId="1D97B464" w14:textId="77777777" w:rsidR="00A71AF3" w:rsidRDefault="00A71AF3" w:rsidP="00A71AF3">
      <w:pPr>
        <w:tabs>
          <w:tab w:val="num" w:pos="360"/>
        </w:tabs>
        <w:spacing w:after="0" w:line="240" w:lineRule="auto"/>
        <w:contextualSpacing/>
        <w:rPr>
          <w:rFonts w:ascii="Arial" w:hAnsi="Arial" w:cs="Arial"/>
        </w:rPr>
      </w:pPr>
      <w:r>
        <w:rPr>
          <w:rFonts w:ascii="Arial" w:hAnsi="Arial" w:cs="Arial"/>
        </w:rPr>
        <w:t xml:space="preserve">Active member record to be updated due to Matthews in preparation for retirement. </w:t>
      </w:r>
    </w:p>
    <w:p w14:paraId="5FF00F3B" w14:textId="77777777" w:rsidR="00A71AF3" w:rsidRDefault="00A71AF3" w:rsidP="00A71AF3">
      <w:pPr>
        <w:tabs>
          <w:tab w:val="num" w:pos="360"/>
        </w:tabs>
        <w:spacing w:after="0" w:line="240" w:lineRule="auto"/>
        <w:contextualSpacing/>
        <w:rPr>
          <w:rFonts w:ascii="Arial" w:hAnsi="Arial" w:cs="Arial"/>
        </w:rPr>
      </w:pPr>
      <w:r>
        <w:rPr>
          <w:rFonts w:ascii="Arial" w:hAnsi="Arial" w:cs="Arial"/>
        </w:rPr>
        <w:t>New Special Pensioner Member – retirement from deferred no record currently set up on UPM</w:t>
      </w:r>
    </w:p>
    <w:p w14:paraId="17853F66" w14:textId="77777777" w:rsidR="00A71AF3" w:rsidRDefault="00A71AF3" w:rsidP="00A71AF3">
      <w:pPr>
        <w:spacing w:after="0" w:line="240" w:lineRule="auto"/>
        <w:rPr>
          <w:rFonts w:ascii="Arial" w:hAnsi="Arial" w:cs="Arial"/>
          <w:b/>
          <w:bCs/>
        </w:rPr>
      </w:pPr>
    </w:p>
    <w:p w14:paraId="6DDDF448" w14:textId="77777777" w:rsidR="00A71AF3" w:rsidRDefault="00A71AF3" w:rsidP="00A71AF3">
      <w:pPr>
        <w:spacing w:after="0" w:line="240" w:lineRule="auto"/>
        <w:rPr>
          <w:rFonts w:ascii="Arial" w:hAnsi="Arial" w:cs="Arial"/>
          <w:b/>
          <w:bCs/>
        </w:rPr>
      </w:pPr>
      <w:r>
        <w:rPr>
          <w:rFonts w:ascii="Arial" w:hAnsi="Arial" w:cs="Arial"/>
          <w:b/>
          <w:bCs/>
        </w:rPr>
        <w:t>Documents Required:</w:t>
      </w:r>
    </w:p>
    <w:p w14:paraId="76F17240" w14:textId="77777777" w:rsidR="00A71AF3" w:rsidRDefault="00A71AF3" w:rsidP="00A71AF3">
      <w:pPr>
        <w:spacing w:after="0" w:line="240" w:lineRule="auto"/>
        <w:rPr>
          <w:rFonts w:ascii="Arial" w:hAnsi="Arial" w:cs="Arial"/>
          <w:b/>
          <w:bCs/>
        </w:rPr>
      </w:pPr>
    </w:p>
    <w:p w14:paraId="27B90A72" w14:textId="77777777" w:rsidR="00A71AF3" w:rsidRDefault="00A71AF3" w:rsidP="00A71AF3">
      <w:pPr>
        <w:spacing w:after="0" w:line="240" w:lineRule="auto"/>
        <w:rPr>
          <w:rFonts w:ascii="Arial" w:hAnsi="Arial" w:cs="Arial"/>
          <w:b/>
          <w:bCs/>
        </w:rPr>
      </w:pPr>
      <w:r>
        <w:rPr>
          <w:rFonts w:ascii="Arial" w:hAnsi="Arial" w:cs="Arial"/>
          <w:b/>
          <w:bCs/>
        </w:rPr>
        <w:lastRenderedPageBreak/>
        <w:t>All cases</w:t>
      </w:r>
    </w:p>
    <w:p w14:paraId="00D2815F"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The Individual Statement of Details sent to the member</w:t>
      </w:r>
    </w:p>
    <w:p w14:paraId="26B9D7B4"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The Options Election Form</w:t>
      </w:r>
    </w:p>
    <w:p w14:paraId="4294E517"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 xml:space="preserve">A pdf copy of the calculator output with </w:t>
      </w:r>
      <w:r>
        <w:rPr>
          <w:rFonts w:ascii="Arial" w:eastAsia="Times New Roman" w:hAnsi="Arial" w:cs="Arial"/>
          <w:b/>
          <w:bCs/>
        </w:rPr>
        <w:t>and</w:t>
      </w:r>
      <w:r>
        <w:rPr>
          <w:rFonts w:ascii="Arial" w:eastAsia="Times New Roman" w:hAnsi="Arial" w:cs="Arial"/>
        </w:rPr>
        <w:t xml:space="preserve"> without Commutation </w:t>
      </w:r>
    </w:p>
    <w:p w14:paraId="65257A62"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Calculated at date of election for active and deferred members.</w:t>
      </w:r>
    </w:p>
    <w:p w14:paraId="69D4EDA5" w14:textId="77777777" w:rsidR="00A71AF3" w:rsidRDefault="00A71AF3" w:rsidP="00A71AF3">
      <w:pPr>
        <w:tabs>
          <w:tab w:val="num" w:pos="360"/>
        </w:tabs>
        <w:spacing w:after="0" w:line="240" w:lineRule="auto"/>
        <w:ind w:left="1440"/>
        <w:rPr>
          <w:rFonts w:ascii="Arial" w:eastAsia="Times New Roman" w:hAnsi="Arial" w:cs="Arial"/>
        </w:rPr>
      </w:pPr>
      <w:r>
        <w:rPr>
          <w:rFonts w:ascii="Arial" w:eastAsia="Times New Roman" w:hAnsi="Arial" w:cs="Arial"/>
        </w:rPr>
        <w:t xml:space="preserve">For pensioner members, the original calculation to match the member statement in order that we have a record of what has been sent to members by the FRA in case of query. </w:t>
      </w:r>
    </w:p>
    <w:p w14:paraId="28ADD04C" w14:textId="77777777" w:rsidR="00A71AF3" w:rsidRDefault="00A71AF3" w:rsidP="00A71AF3">
      <w:pPr>
        <w:spacing w:after="0" w:line="240" w:lineRule="auto"/>
        <w:rPr>
          <w:rFonts w:ascii="Arial" w:hAnsi="Arial" w:cs="Arial"/>
          <w:b/>
          <w:bCs/>
        </w:rPr>
      </w:pPr>
    </w:p>
    <w:p w14:paraId="2F1CC907" w14:textId="77777777" w:rsidR="00A71AF3" w:rsidRDefault="00A71AF3" w:rsidP="00A71AF3">
      <w:pPr>
        <w:spacing w:after="0" w:line="240" w:lineRule="auto"/>
        <w:rPr>
          <w:rFonts w:ascii="Arial" w:hAnsi="Arial" w:cs="Arial"/>
          <w:b/>
          <w:bCs/>
        </w:rPr>
      </w:pPr>
      <w:r>
        <w:rPr>
          <w:rFonts w:ascii="Arial" w:hAnsi="Arial" w:cs="Arial"/>
          <w:b/>
          <w:bCs/>
        </w:rPr>
        <w:t>Pensioner Members</w:t>
      </w:r>
    </w:p>
    <w:p w14:paraId="7E58EE13"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 xml:space="preserve">For pensioner members, please send the GAD Calculator output in a CSV file format – this enables us to import the data back into the GAD Calculator, amend the calculation date and apply the interest and arrears due to the date the member is paid. </w:t>
      </w:r>
    </w:p>
    <w:p w14:paraId="34B25B9E" w14:textId="77777777" w:rsidR="00A71AF3" w:rsidRDefault="00A71AF3" w:rsidP="00A71AF3">
      <w:pPr>
        <w:spacing w:after="0" w:line="240" w:lineRule="auto"/>
        <w:ind w:left="720"/>
        <w:rPr>
          <w:rFonts w:ascii="Arial" w:eastAsia="Times New Roman" w:hAnsi="Arial" w:cs="Arial"/>
        </w:rPr>
      </w:pPr>
    </w:p>
    <w:p w14:paraId="39719B09" w14:textId="77777777" w:rsidR="00A71AF3" w:rsidRDefault="00A71AF3" w:rsidP="00A71AF3">
      <w:pPr>
        <w:spacing w:after="0" w:line="240" w:lineRule="auto"/>
        <w:rPr>
          <w:rFonts w:ascii="Arial" w:hAnsi="Arial" w:cs="Arial"/>
          <w:b/>
          <w:bCs/>
        </w:rPr>
      </w:pPr>
      <w:r>
        <w:rPr>
          <w:rFonts w:ascii="Arial" w:hAnsi="Arial" w:cs="Arial"/>
          <w:b/>
          <w:bCs/>
        </w:rPr>
        <w:t xml:space="preserve">First Time Pension Scheme members </w:t>
      </w:r>
    </w:p>
    <w:p w14:paraId="56556B8E" w14:textId="77777777" w:rsidR="00A71AF3" w:rsidRDefault="00A71AF3" w:rsidP="00A71AF3">
      <w:pPr>
        <w:tabs>
          <w:tab w:val="num" w:pos="360"/>
        </w:tabs>
        <w:spacing w:after="0" w:line="240" w:lineRule="auto"/>
        <w:rPr>
          <w:rFonts w:ascii="Arial" w:eastAsia="Times New Roman" w:hAnsi="Arial" w:cs="Arial"/>
        </w:rPr>
      </w:pPr>
      <w:r>
        <w:rPr>
          <w:rFonts w:ascii="Arial" w:eastAsia="Times New Roman" w:hAnsi="Arial" w:cs="Arial"/>
        </w:rPr>
        <w:t xml:space="preserve">If the person is </w:t>
      </w:r>
      <w:r>
        <w:rPr>
          <w:rFonts w:ascii="Arial" w:eastAsia="Times New Roman" w:hAnsi="Arial" w:cs="Arial"/>
          <w:b/>
          <w:bCs/>
        </w:rPr>
        <w:t xml:space="preserve">NOT </w:t>
      </w:r>
      <w:r>
        <w:rPr>
          <w:rFonts w:ascii="Arial" w:eastAsia="Times New Roman" w:hAnsi="Arial" w:cs="Arial"/>
        </w:rPr>
        <w:t xml:space="preserve">already a pension scheme member, we will need a new starter form to set up their record – this document can be found here </w:t>
      </w:r>
      <w:hyperlink r:id="rId34" w:history="1">
        <w:r>
          <w:rPr>
            <w:rStyle w:val="Hyperlink"/>
            <w:rFonts w:ascii="Arial" w:eastAsia="Times New Roman" w:hAnsi="Arial" w:cs="Arial"/>
          </w:rPr>
          <w:t>https://www.wypf.org.uk/fra-zone/fra-forms-guides-and-factsheets/</w:t>
        </w:r>
      </w:hyperlink>
    </w:p>
    <w:p w14:paraId="260C04C6" w14:textId="77777777" w:rsidR="00A71AF3" w:rsidRDefault="00A71AF3" w:rsidP="00A71AF3">
      <w:pPr>
        <w:spacing w:after="0" w:line="240" w:lineRule="auto"/>
        <w:rPr>
          <w:rFonts w:ascii="Arial" w:hAnsi="Arial" w:cs="Arial"/>
          <w:b/>
          <w:bCs/>
        </w:rPr>
      </w:pPr>
    </w:p>
    <w:p w14:paraId="361FDFC5" w14:textId="77777777" w:rsidR="00A71AF3" w:rsidRDefault="00A71AF3" w:rsidP="00A71AF3">
      <w:pPr>
        <w:spacing w:after="0" w:line="240" w:lineRule="auto"/>
        <w:rPr>
          <w:rFonts w:ascii="Arial" w:hAnsi="Arial" w:cs="Arial"/>
        </w:rPr>
      </w:pPr>
      <w:r>
        <w:rPr>
          <w:rFonts w:ascii="Arial" w:hAnsi="Arial" w:cs="Arial"/>
        </w:rPr>
        <w:t xml:space="preserve">Please ensure that you have verified the date of birth for all members before sending the documents to us. </w:t>
      </w:r>
    </w:p>
    <w:p w14:paraId="7FD8591C" w14:textId="77777777" w:rsidR="00A71AF3" w:rsidRDefault="00A71AF3" w:rsidP="00A71AF3">
      <w:pPr>
        <w:spacing w:after="0" w:line="240" w:lineRule="auto"/>
        <w:rPr>
          <w:rFonts w:ascii="Arial" w:hAnsi="Arial" w:cs="Arial"/>
        </w:rPr>
      </w:pPr>
    </w:p>
    <w:p w14:paraId="29DF917E" w14:textId="77777777" w:rsidR="00A71AF3" w:rsidRDefault="00A71AF3" w:rsidP="00A71AF3">
      <w:pPr>
        <w:spacing w:after="0" w:line="240" w:lineRule="auto"/>
        <w:rPr>
          <w:rFonts w:ascii="Arial" w:hAnsi="Arial" w:cs="Arial"/>
          <w:b/>
          <w:bCs/>
        </w:rPr>
      </w:pPr>
      <w:r>
        <w:rPr>
          <w:rFonts w:ascii="Arial" w:hAnsi="Arial" w:cs="Arial"/>
          <w:b/>
          <w:bCs/>
        </w:rPr>
        <w:t>Matthews Communications:</w:t>
      </w:r>
    </w:p>
    <w:p w14:paraId="00DD4E3E" w14:textId="77777777" w:rsidR="00A71AF3" w:rsidRDefault="00A71AF3" w:rsidP="00A71AF3">
      <w:pPr>
        <w:spacing w:after="0" w:line="240" w:lineRule="auto"/>
        <w:rPr>
          <w:rFonts w:ascii="Arial" w:hAnsi="Arial" w:cs="Arial"/>
        </w:rPr>
      </w:pPr>
      <w:r>
        <w:rPr>
          <w:rFonts w:ascii="Arial" w:hAnsi="Arial" w:cs="Arial"/>
        </w:rPr>
        <w:t>To perhaps help reduce calls to both yourself and WYPF, could we suggest when you email the above documents that you also email the member to let them know you have sent the required information.  If you could also add that WYPF are dealing with a high volume of cases, we hope to process cases in 3 months and we are not in a position to acknowledge receipt of the data.</w:t>
      </w:r>
    </w:p>
    <w:p w14:paraId="450F4E3B" w14:textId="77777777" w:rsidR="00A71AF3" w:rsidRDefault="00A71AF3" w:rsidP="00A71AF3">
      <w:pPr>
        <w:spacing w:after="0" w:line="240" w:lineRule="auto"/>
        <w:rPr>
          <w:rFonts w:ascii="Arial" w:hAnsi="Arial" w:cs="Arial"/>
        </w:rPr>
      </w:pPr>
    </w:p>
    <w:p w14:paraId="7738FFA1" w14:textId="77777777" w:rsidR="00A71AF3" w:rsidRDefault="00A71AF3" w:rsidP="00A71AF3">
      <w:pPr>
        <w:spacing w:after="0" w:line="240" w:lineRule="auto"/>
        <w:rPr>
          <w:rFonts w:ascii="Arial" w:hAnsi="Arial" w:cs="Arial"/>
        </w:rPr>
      </w:pPr>
      <w:r>
        <w:rPr>
          <w:rFonts w:ascii="Arial" w:hAnsi="Arial" w:cs="Arial"/>
          <w:b/>
          <w:bCs/>
        </w:rPr>
        <w:t>Requests for Data to complete GAD Calculator:</w:t>
      </w:r>
    </w:p>
    <w:p w14:paraId="60B3B2C1" w14:textId="77777777" w:rsidR="00A71AF3" w:rsidRDefault="00A71AF3" w:rsidP="00A71AF3">
      <w:pPr>
        <w:spacing w:after="0" w:line="240" w:lineRule="auto"/>
        <w:rPr>
          <w:rFonts w:ascii="Arial" w:hAnsi="Arial" w:cs="Arial"/>
        </w:rPr>
      </w:pPr>
      <w:r>
        <w:rPr>
          <w:rFonts w:ascii="Arial" w:hAnsi="Arial" w:cs="Arial"/>
        </w:rPr>
        <w:t>We have received a handful of requests for the lump sum commuted at retirement where the member now has the option to convert standard to special membership and the member left after 31/03/2015.</w:t>
      </w:r>
    </w:p>
    <w:p w14:paraId="68DD8C46" w14:textId="77777777" w:rsidR="00A71AF3" w:rsidRDefault="00A71AF3" w:rsidP="00A71AF3">
      <w:pPr>
        <w:spacing w:after="0" w:line="240" w:lineRule="auto"/>
        <w:rPr>
          <w:rFonts w:ascii="Arial" w:hAnsi="Arial" w:cs="Arial"/>
        </w:rPr>
      </w:pPr>
    </w:p>
    <w:p w14:paraId="165B446E" w14:textId="77777777" w:rsidR="00A71AF3" w:rsidRDefault="00A71AF3" w:rsidP="00A71AF3">
      <w:pPr>
        <w:spacing w:after="0" w:line="240" w:lineRule="auto"/>
        <w:rPr>
          <w:rFonts w:ascii="Arial" w:hAnsi="Arial" w:cs="Arial"/>
        </w:rPr>
      </w:pPr>
      <w:r>
        <w:rPr>
          <w:rFonts w:ascii="Arial" w:hAnsi="Arial" w:cs="Arial"/>
        </w:rPr>
        <w:t xml:space="preserve">We have referred a query to GAD regarding the calculation of this amount and are currently waiting for a reply. </w:t>
      </w:r>
    </w:p>
    <w:p w14:paraId="465CF21F" w14:textId="77777777" w:rsidR="00A71AF3" w:rsidRDefault="00A71AF3" w:rsidP="00A71AF3">
      <w:pPr>
        <w:spacing w:after="0" w:line="240" w:lineRule="auto"/>
        <w:rPr>
          <w:rFonts w:ascii="Arial" w:hAnsi="Arial" w:cs="Arial"/>
        </w:rPr>
      </w:pPr>
    </w:p>
    <w:p w14:paraId="76C17802" w14:textId="77777777" w:rsidR="00A71AF3" w:rsidRDefault="00A71AF3" w:rsidP="00A71AF3">
      <w:pPr>
        <w:spacing w:after="0" w:line="240" w:lineRule="auto"/>
        <w:rPr>
          <w:rFonts w:ascii="Arial" w:hAnsi="Arial" w:cs="Arial"/>
        </w:rPr>
      </w:pPr>
      <w:r>
        <w:rPr>
          <w:rFonts w:ascii="Arial" w:hAnsi="Arial" w:cs="Arial"/>
        </w:rPr>
        <w:t>If you can make a list of the cases you require this information for and hold them at your end that would be helpful.  We will then be happy to receive a list once we let you know the GAD guidance has been received.</w:t>
      </w:r>
    </w:p>
    <w:p w14:paraId="7725E261" w14:textId="77777777" w:rsidR="00A71AF3" w:rsidRDefault="00A71AF3" w:rsidP="00A71AF3">
      <w:pPr>
        <w:spacing w:after="0" w:line="240" w:lineRule="auto"/>
        <w:rPr>
          <w:rFonts w:ascii="Arial" w:hAnsi="Arial" w:cs="Arial"/>
        </w:rPr>
      </w:pPr>
    </w:p>
    <w:p w14:paraId="036A949C" w14:textId="77777777" w:rsidR="00A71AF3" w:rsidRDefault="00A71AF3" w:rsidP="00A71AF3">
      <w:pPr>
        <w:widowControl w:val="0"/>
        <w:spacing w:after="0" w:line="240" w:lineRule="auto"/>
        <w:ind w:left="142" w:hanging="142"/>
        <w:contextualSpacing/>
        <w:rPr>
          <w:rFonts w:ascii="Arial" w:eastAsia="Times New Roman" w:hAnsi="Arial" w:cs="Arial"/>
        </w:rPr>
      </w:pPr>
      <w:r>
        <w:rPr>
          <w:rFonts w:ascii="Arial" w:eastAsia="Times New Roman" w:hAnsi="Arial" w:cs="Arial"/>
          <w:b/>
          <w:bCs/>
        </w:rPr>
        <w:t>Consultation on inheritance tax on pensions</w:t>
      </w:r>
    </w:p>
    <w:p w14:paraId="2AD3D168" w14:textId="77777777" w:rsidR="00A71AF3" w:rsidRDefault="00A71AF3" w:rsidP="00A71AF3">
      <w:pPr>
        <w:widowControl w:val="0"/>
        <w:spacing w:after="0" w:line="240" w:lineRule="auto"/>
        <w:rPr>
          <w:rFonts w:ascii="Arial" w:eastAsia="Times New Roman" w:hAnsi="Arial" w:cs="Arial"/>
        </w:rPr>
      </w:pPr>
    </w:p>
    <w:p w14:paraId="1B15471E" w14:textId="77777777" w:rsidR="00A71AF3" w:rsidRDefault="00A71AF3" w:rsidP="00A71AF3">
      <w:pPr>
        <w:widowControl w:val="0"/>
        <w:spacing w:after="0" w:line="240" w:lineRule="auto"/>
        <w:rPr>
          <w:rFonts w:ascii="Arial" w:eastAsia="Times New Roman" w:hAnsi="Arial" w:cs="Arial"/>
        </w:rPr>
      </w:pPr>
      <w:r>
        <w:rPr>
          <w:rFonts w:ascii="Arial" w:eastAsia="Times New Roman" w:hAnsi="Arial" w:cs="Arial"/>
        </w:rPr>
        <w:t xml:space="preserve">The Government has launched a </w:t>
      </w:r>
      <w:hyperlink r:id="rId35" w:history="1">
        <w:r>
          <w:rPr>
            <w:rStyle w:val="Hyperlink"/>
            <w:rFonts w:ascii="Arial" w:eastAsia="Times New Roman" w:hAnsi="Arial" w:cs="Arial"/>
          </w:rPr>
          <w:t>consultation on Inheritance tax on pensions: liability, reporting and payment</w:t>
        </w:r>
      </w:hyperlink>
      <w:r>
        <w:rPr>
          <w:rFonts w:ascii="Arial" w:eastAsia="Times New Roman" w:hAnsi="Arial" w:cs="Arial"/>
        </w:rPr>
        <w:t xml:space="preserve">. The proposed changes would mean that: </w:t>
      </w:r>
    </w:p>
    <w:p w14:paraId="1A56168D" w14:textId="77777777" w:rsidR="00A71AF3" w:rsidRDefault="00A71AF3" w:rsidP="00A71AF3">
      <w:pPr>
        <w:widowControl w:val="0"/>
        <w:spacing w:after="0" w:line="240" w:lineRule="auto"/>
        <w:rPr>
          <w:rFonts w:ascii="Arial" w:eastAsia="Times New Roman" w:hAnsi="Arial" w:cs="Arial"/>
        </w:rPr>
      </w:pPr>
    </w:p>
    <w:p w14:paraId="73ABF217" w14:textId="77777777" w:rsidR="00A71AF3" w:rsidRDefault="00A71AF3" w:rsidP="00A71AF3">
      <w:pPr>
        <w:widowControl w:val="0"/>
        <w:spacing w:after="0" w:line="240" w:lineRule="auto"/>
        <w:rPr>
          <w:rFonts w:ascii="Arial" w:eastAsia="Times New Roman" w:hAnsi="Arial" w:cs="Arial"/>
        </w:rPr>
      </w:pPr>
      <w:r>
        <w:rPr>
          <w:rFonts w:ascii="Arial" w:eastAsia="Times New Roman" w:hAnsi="Arial" w:cs="Arial"/>
        </w:rPr>
        <w:t>Death grants would be subject to Inheritance Tax from April 2027</w:t>
      </w:r>
    </w:p>
    <w:p w14:paraId="26735883" w14:textId="77777777" w:rsidR="00A71AF3" w:rsidRDefault="00A71AF3" w:rsidP="00A71AF3">
      <w:pPr>
        <w:spacing w:after="0" w:line="240" w:lineRule="auto"/>
        <w:rPr>
          <w:rFonts w:ascii="Arial" w:eastAsia="Times New Roman" w:hAnsi="Arial" w:cs="Arial"/>
        </w:rPr>
      </w:pPr>
    </w:p>
    <w:p w14:paraId="321772AE" w14:textId="77777777" w:rsidR="00A71AF3" w:rsidRDefault="00A71AF3" w:rsidP="00A71AF3">
      <w:pPr>
        <w:widowControl w:val="0"/>
        <w:spacing w:after="0" w:line="240" w:lineRule="auto"/>
        <w:rPr>
          <w:rFonts w:ascii="Arial" w:eastAsia="Times New Roman" w:hAnsi="Arial" w:cs="Arial"/>
        </w:rPr>
      </w:pPr>
      <w:r>
        <w:rPr>
          <w:rFonts w:ascii="Arial" w:eastAsia="Times New Roman" w:hAnsi="Arial" w:cs="Arial"/>
        </w:rPr>
        <w:t>Personal representatives would calculate whether any Inheritance Tax was due, and pass on the relevant information to the pension scheme administrator</w:t>
      </w:r>
    </w:p>
    <w:p w14:paraId="489755ED" w14:textId="77777777" w:rsidR="00A71AF3" w:rsidRDefault="00A71AF3" w:rsidP="00A71AF3">
      <w:pPr>
        <w:widowControl w:val="0"/>
        <w:spacing w:after="0" w:line="240" w:lineRule="auto"/>
        <w:rPr>
          <w:rFonts w:ascii="Arial" w:eastAsia="Times New Roman" w:hAnsi="Arial" w:cs="Arial"/>
        </w:rPr>
      </w:pPr>
      <w:r>
        <w:rPr>
          <w:rFonts w:ascii="Arial" w:eastAsia="Times New Roman" w:hAnsi="Arial" w:cs="Arial"/>
        </w:rPr>
        <w:t xml:space="preserve">Pension Schemes would be responsible for paying and reporting to HMRC any Inheritance </w:t>
      </w:r>
    </w:p>
    <w:p w14:paraId="70C84155" w14:textId="77777777" w:rsidR="00A71AF3" w:rsidRDefault="00A71AF3" w:rsidP="00A71AF3">
      <w:pPr>
        <w:widowControl w:val="0"/>
        <w:spacing w:after="0" w:line="240" w:lineRule="auto"/>
        <w:rPr>
          <w:rFonts w:ascii="Arial" w:eastAsia="Times New Roman" w:hAnsi="Arial" w:cs="Arial"/>
        </w:rPr>
      </w:pPr>
    </w:p>
    <w:p w14:paraId="4D7F4AB8" w14:textId="77777777" w:rsidR="00A71AF3" w:rsidRDefault="00A71AF3" w:rsidP="00A71AF3">
      <w:pPr>
        <w:widowControl w:val="0"/>
        <w:spacing w:after="0" w:line="240" w:lineRule="auto"/>
        <w:rPr>
          <w:rFonts w:ascii="Arial" w:eastAsia="Times New Roman" w:hAnsi="Arial" w:cs="Arial"/>
        </w:rPr>
      </w:pPr>
      <w:r>
        <w:rPr>
          <w:rFonts w:ascii="Arial" w:eastAsia="Times New Roman" w:hAnsi="Arial" w:cs="Arial"/>
        </w:rPr>
        <w:t xml:space="preserve">Tax deducted from a death grant. </w:t>
      </w:r>
    </w:p>
    <w:p w14:paraId="276263F7" w14:textId="77777777" w:rsidR="00A71AF3" w:rsidRDefault="00A71AF3" w:rsidP="00A71AF3">
      <w:pPr>
        <w:widowControl w:val="0"/>
        <w:spacing w:after="0" w:line="240" w:lineRule="auto"/>
        <w:rPr>
          <w:rFonts w:ascii="Arial" w:eastAsia="Calibri" w:hAnsi="Arial" w:cs="Arial"/>
        </w:rPr>
      </w:pPr>
      <w:r>
        <w:rPr>
          <w:rFonts w:ascii="Arial" w:eastAsia="Times New Roman" w:hAnsi="Arial" w:cs="Arial"/>
        </w:rPr>
        <w:t> </w:t>
      </w:r>
    </w:p>
    <w:p w14:paraId="04A1BC85" w14:textId="77777777" w:rsidR="00A71AF3" w:rsidRDefault="00A71AF3" w:rsidP="00A71AF3">
      <w:pPr>
        <w:widowControl w:val="0"/>
        <w:spacing w:after="0" w:line="240" w:lineRule="auto"/>
        <w:rPr>
          <w:rFonts w:ascii="Arial" w:eastAsia="Times New Roman" w:hAnsi="Arial" w:cs="Arial"/>
        </w:rPr>
      </w:pPr>
      <w:r>
        <w:rPr>
          <w:rFonts w:ascii="Arial" w:eastAsia="Times New Roman" w:hAnsi="Arial" w:cs="Arial"/>
        </w:rPr>
        <w:t xml:space="preserve">This consultation closes on 22 January 2025. </w:t>
      </w:r>
    </w:p>
    <w:p w14:paraId="4BCA0039" w14:textId="77777777" w:rsidR="00A71AF3" w:rsidRDefault="00A71AF3" w:rsidP="00A71AF3">
      <w:pPr>
        <w:widowControl w:val="0"/>
        <w:spacing w:after="0" w:line="240" w:lineRule="auto"/>
        <w:rPr>
          <w:rFonts w:ascii="Arial" w:eastAsia="Times New Roman" w:hAnsi="Arial" w:cs="Arial"/>
        </w:rPr>
      </w:pPr>
    </w:p>
    <w:p w14:paraId="1F77769B" w14:textId="77777777" w:rsidR="00A71AF3" w:rsidRDefault="00A71AF3" w:rsidP="00A71AF3">
      <w:pPr>
        <w:widowControl w:val="0"/>
        <w:spacing w:after="0" w:line="240" w:lineRule="auto"/>
        <w:rPr>
          <w:rFonts w:ascii="Arial" w:eastAsia="Times New Roman" w:hAnsi="Arial" w:cs="Arial"/>
          <w:b/>
          <w:bCs/>
        </w:rPr>
      </w:pPr>
      <w:r>
        <w:rPr>
          <w:rFonts w:ascii="Arial" w:eastAsia="Times New Roman" w:hAnsi="Arial" w:cs="Arial"/>
          <w:b/>
          <w:bCs/>
        </w:rPr>
        <w:lastRenderedPageBreak/>
        <w:t>Children’s Pensions and Apprenticeships</w:t>
      </w:r>
    </w:p>
    <w:p w14:paraId="450DE15D" w14:textId="77777777" w:rsidR="00A71AF3" w:rsidRDefault="00A71AF3" w:rsidP="00A71AF3">
      <w:pPr>
        <w:widowControl w:val="0"/>
        <w:spacing w:after="0" w:line="240" w:lineRule="auto"/>
        <w:rPr>
          <w:rFonts w:ascii="Arial" w:eastAsia="Times New Roman" w:hAnsi="Arial" w:cs="Arial"/>
        </w:rPr>
      </w:pPr>
    </w:p>
    <w:p w14:paraId="408B8A72" w14:textId="77777777" w:rsidR="00A71AF3" w:rsidRDefault="00A71AF3" w:rsidP="00A71AF3">
      <w:pPr>
        <w:rPr>
          <w:rFonts w:ascii="Arial" w:hAnsi="Arial" w:cs="Arial"/>
          <w:szCs w:val="24"/>
        </w:rPr>
      </w:pPr>
      <w:r>
        <w:rPr>
          <w:rFonts w:ascii="Arial" w:hAnsi="Arial" w:cs="Arial"/>
          <w:szCs w:val="24"/>
        </w:rPr>
        <w:t xml:space="preserve">At the last Fire Technical meeting there was a decision made that the Apprentice and apprenticeships meets the definition of a vocational course because they've got to do a minimum of 20% of the job whilst in training and both LGA NPCC and the Home Office all agree that an apprenticeship is a vocational course, and that the child is entitled to receive their children's pension. </w:t>
      </w:r>
    </w:p>
    <w:p w14:paraId="444B1334" w14:textId="77777777" w:rsidR="00A71AF3" w:rsidRDefault="00A71AF3" w:rsidP="00A71AF3">
      <w:pPr>
        <w:rPr>
          <w:rFonts w:ascii="Arial" w:hAnsi="Arial" w:cs="Arial"/>
          <w:szCs w:val="24"/>
        </w:rPr>
      </w:pPr>
      <w:r>
        <w:rPr>
          <w:rFonts w:ascii="Arial" w:hAnsi="Arial" w:cs="Arial"/>
          <w:szCs w:val="24"/>
        </w:rPr>
        <w:t>WYPF are proposing to adopt this but because FRAs are the scheme managers, you need to agree this decision.</w:t>
      </w:r>
    </w:p>
    <w:p w14:paraId="0F2C78ED" w14:textId="77777777" w:rsidR="00A71AF3" w:rsidRDefault="00A71AF3" w:rsidP="00A71AF3">
      <w:pPr>
        <w:widowControl w:val="0"/>
        <w:spacing w:after="0" w:line="240" w:lineRule="auto"/>
        <w:rPr>
          <w:rFonts w:ascii="Arial" w:eastAsia="Times New Roman" w:hAnsi="Arial" w:cs="Arial"/>
          <w:color w:val="FF0000"/>
        </w:rPr>
      </w:pPr>
      <w:r>
        <w:rPr>
          <w:rFonts w:ascii="Arial" w:eastAsia="Times New Roman" w:hAnsi="Arial" w:cs="Arial"/>
          <w:color w:val="FF0000"/>
        </w:rPr>
        <w:t>Action – FRA to contact Helen Scargill at WYPF if you do not want WYPF to make this change. If you do not get in touch then this will be taken as your agreement to our proposal.</w:t>
      </w:r>
    </w:p>
    <w:p w14:paraId="221450B7" w14:textId="77777777" w:rsidR="00FF3B2D" w:rsidRDefault="00FF3B2D" w:rsidP="00A71AF3">
      <w:pPr>
        <w:widowControl w:val="0"/>
        <w:spacing w:after="0" w:line="240" w:lineRule="auto"/>
        <w:rPr>
          <w:rFonts w:ascii="Arial" w:eastAsia="Times New Roman" w:hAnsi="Arial" w:cs="Arial"/>
          <w:color w:val="FF0000"/>
        </w:rPr>
      </w:pPr>
    </w:p>
    <w:p w14:paraId="40807C78" w14:textId="77777777" w:rsidR="00FF3B2D" w:rsidRDefault="00FF3B2D" w:rsidP="00FF3B2D">
      <w:pPr>
        <w:rPr>
          <w:rFonts w:ascii="Arial" w:hAnsi="Arial" w:cs="Arial"/>
          <w:b/>
          <w:bCs/>
        </w:rPr>
      </w:pPr>
      <w:r>
        <w:rPr>
          <w:rFonts w:ascii="Arial" w:hAnsi="Arial" w:cs="Arial"/>
          <w:b/>
          <w:bCs/>
        </w:rPr>
        <w:t>Scheme Returns</w:t>
      </w:r>
    </w:p>
    <w:p w14:paraId="1C33EA34" w14:textId="77777777" w:rsidR="00FF3B2D" w:rsidRDefault="00FF3B2D" w:rsidP="00FF3B2D">
      <w:pPr>
        <w:rPr>
          <w:rFonts w:ascii="Arial" w:hAnsi="Arial" w:cs="Arial"/>
        </w:rPr>
      </w:pPr>
      <w:r>
        <w:rPr>
          <w:rFonts w:ascii="Arial" w:hAnsi="Arial" w:cs="Arial"/>
        </w:rPr>
        <w:t>Scheme Returns must be completed and submitted by 22 November at the latest.</w:t>
      </w:r>
    </w:p>
    <w:p w14:paraId="0EAC81DE" w14:textId="77777777" w:rsidR="00FF3B2D" w:rsidRDefault="00FF3B2D" w:rsidP="00FF3B2D">
      <w:pPr>
        <w:rPr>
          <w:rFonts w:ascii="Arial" w:eastAsia="Calibri" w:hAnsi="Arial" w:cs="Arial"/>
        </w:rPr>
      </w:pPr>
      <w:r>
        <w:rPr>
          <w:rFonts w:ascii="Arial" w:hAnsi="Arial" w:cs="Arial"/>
        </w:rPr>
        <w:t>WYPF have completed all returns where details have been provided and confirmed by the FRA.</w:t>
      </w:r>
    </w:p>
    <w:p w14:paraId="6B727F24" w14:textId="77777777" w:rsidR="00A71AF3" w:rsidRDefault="00A71AF3" w:rsidP="00A71AF3">
      <w:pPr>
        <w:tabs>
          <w:tab w:val="center" w:pos="4513"/>
        </w:tabs>
        <w:rPr>
          <w:rFonts w:ascii="Arial" w:eastAsia="Calibri" w:hAnsi="Arial" w:cs="Arial"/>
          <w:b/>
          <w:color w:val="0070C0"/>
          <w:sz w:val="28"/>
          <w:szCs w:val="28"/>
        </w:rPr>
      </w:pPr>
      <w:r>
        <w:rPr>
          <w:rFonts w:ascii="Arial" w:eastAsia="Calibri" w:hAnsi="Arial" w:cs="Arial"/>
          <w:b/>
          <w:color w:val="0070C0"/>
          <w:sz w:val="28"/>
          <w:szCs w:val="28"/>
        </w:rPr>
        <w:t>6. Communication &amp; Training</w:t>
      </w:r>
    </w:p>
    <w:p w14:paraId="22846B5C" w14:textId="77777777" w:rsidR="00A71AF3" w:rsidRDefault="00A71AF3" w:rsidP="00A71AF3">
      <w:pPr>
        <w:spacing w:after="0" w:line="240" w:lineRule="auto"/>
        <w:rPr>
          <w:rFonts w:ascii="Arial" w:hAnsi="Arial" w:cs="Arial"/>
          <w:b/>
          <w:bCs/>
          <w:kern w:val="2"/>
          <w14:ligatures w14:val="standardContextual"/>
        </w:rPr>
      </w:pPr>
      <w:r>
        <w:rPr>
          <w:rFonts w:ascii="Arial" w:hAnsi="Arial" w:cs="Arial"/>
          <w:b/>
          <w:bCs/>
          <w:kern w:val="2"/>
          <w14:ligatures w14:val="standardContextual"/>
        </w:rPr>
        <w:t>Employer Engagement</w:t>
      </w:r>
    </w:p>
    <w:p w14:paraId="4D1775D3" w14:textId="77777777" w:rsidR="00A71AF3" w:rsidRDefault="00A71AF3" w:rsidP="00A71AF3">
      <w:pPr>
        <w:spacing w:after="0" w:line="240" w:lineRule="auto"/>
        <w:rPr>
          <w:rFonts w:ascii="Arial" w:hAnsi="Arial" w:cs="Arial"/>
          <w:b/>
          <w:bCs/>
          <w:kern w:val="2"/>
          <w14:ligatures w14:val="standardContextual"/>
        </w:rPr>
      </w:pPr>
    </w:p>
    <w:p w14:paraId="180FEB7C" w14:textId="77777777" w:rsidR="00A71AF3" w:rsidRDefault="00A71AF3" w:rsidP="00A71AF3">
      <w:pPr>
        <w:shd w:val="clear" w:color="auto" w:fill="FFFFFF"/>
        <w:spacing w:after="0" w:line="240" w:lineRule="auto"/>
        <w:rPr>
          <w:rFonts w:ascii="Arial" w:eastAsia="Times New Roman" w:hAnsi="Arial" w:cs="Arial"/>
          <w:color w:val="141412"/>
          <w:sz w:val="24"/>
          <w:szCs w:val="24"/>
          <w:lang w:eastAsia="en-GB"/>
        </w:rPr>
      </w:pPr>
      <w:r>
        <w:rPr>
          <w:rFonts w:ascii="Arial" w:eastAsia="Times New Roman" w:hAnsi="Arial" w:cs="Arial"/>
          <w:color w:val="141412"/>
          <w:sz w:val="24"/>
          <w:szCs w:val="24"/>
          <w:lang w:eastAsia="en-GB"/>
        </w:rPr>
        <w:t>The remaining Autumn 2024 series of employer training webinars have now been completed and work will shortly commence on our next set of session. If there is anything specific you would like us to cover, please let David Parrington know.</w:t>
      </w:r>
    </w:p>
    <w:p w14:paraId="35C9A0A1" w14:textId="77777777" w:rsidR="00A71AF3" w:rsidRDefault="00A71AF3" w:rsidP="00A71AF3">
      <w:pPr>
        <w:shd w:val="clear" w:color="auto" w:fill="FFFFFF"/>
        <w:spacing w:after="0" w:line="240" w:lineRule="auto"/>
        <w:rPr>
          <w:rFonts w:ascii="Arial" w:eastAsia="Times New Roman" w:hAnsi="Arial" w:cs="Arial"/>
          <w:b/>
          <w:bCs/>
          <w:color w:val="141412"/>
          <w:sz w:val="24"/>
          <w:szCs w:val="24"/>
          <w:lang w:eastAsia="en-GB"/>
        </w:rPr>
      </w:pPr>
    </w:p>
    <w:p w14:paraId="13241D41" w14:textId="77777777" w:rsidR="00A71AF3" w:rsidRDefault="00A71AF3" w:rsidP="00A71AF3">
      <w:pPr>
        <w:shd w:val="clear" w:color="auto" w:fill="FFFFFF"/>
        <w:spacing w:after="0" w:line="240" w:lineRule="auto"/>
        <w:rPr>
          <w:rFonts w:ascii="Arial" w:eastAsia="Times New Roman" w:hAnsi="Arial" w:cs="Arial"/>
          <w:b/>
          <w:bCs/>
          <w:color w:val="141412"/>
          <w:sz w:val="24"/>
          <w:szCs w:val="24"/>
          <w:lang w:eastAsia="en-GB"/>
        </w:rPr>
      </w:pPr>
      <w:r>
        <w:rPr>
          <w:rFonts w:ascii="Arial" w:eastAsia="Times New Roman" w:hAnsi="Arial" w:cs="Arial"/>
          <w:b/>
          <w:bCs/>
          <w:color w:val="141412"/>
          <w:sz w:val="24"/>
          <w:szCs w:val="24"/>
          <w:lang w:eastAsia="en-GB"/>
        </w:rPr>
        <w:t>Member Engagement</w:t>
      </w:r>
    </w:p>
    <w:p w14:paraId="6B82F524" w14:textId="77777777" w:rsidR="00A71AF3" w:rsidRDefault="00A71AF3" w:rsidP="00A71AF3">
      <w:pPr>
        <w:shd w:val="clear" w:color="auto" w:fill="FFFFFF"/>
        <w:spacing w:after="0" w:line="240" w:lineRule="auto"/>
        <w:rPr>
          <w:rFonts w:ascii="Arial" w:eastAsia="Times New Roman" w:hAnsi="Arial" w:cs="Arial"/>
          <w:color w:val="141412"/>
          <w:sz w:val="24"/>
          <w:szCs w:val="24"/>
          <w:lang w:eastAsia="en-GB"/>
        </w:rPr>
      </w:pPr>
    </w:p>
    <w:p w14:paraId="1A035E91" w14:textId="77777777" w:rsidR="00A71AF3" w:rsidRDefault="00A71AF3" w:rsidP="00A71AF3">
      <w:pPr>
        <w:shd w:val="clear" w:color="auto" w:fill="FFFFFF"/>
        <w:spacing w:after="0" w:line="240" w:lineRule="auto"/>
        <w:rPr>
          <w:rFonts w:ascii="Arial" w:eastAsia="Times New Roman" w:hAnsi="Arial" w:cs="Arial"/>
          <w:color w:val="141412"/>
          <w:sz w:val="24"/>
          <w:szCs w:val="24"/>
          <w:lang w:eastAsia="en-GB"/>
        </w:rPr>
      </w:pPr>
      <w:r>
        <w:rPr>
          <w:rFonts w:ascii="Arial" w:eastAsia="Times New Roman" w:hAnsi="Arial" w:cs="Arial"/>
          <w:color w:val="141412"/>
          <w:sz w:val="24"/>
          <w:szCs w:val="24"/>
          <w:lang w:eastAsia="en-GB"/>
        </w:rPr>
        <w:t>Affinity Connect meeting are continuing with dates for upcoming sessions, this will include an additional date due to demand on the 18</w:t>
      </w:r>
      <w:r>
        <w:rPr>
          <w:rFonts w:ascii="Arial" w:eastAsia="Times New Roman" w:hAnsi="Arial" w:cs="Arial"/>
          <w:color w:val="141412"/>
          <w:sz w:val="24"/>
          <w:szCs w:val="24"/>
          <w:vertAlign w:val="superscript"/>
          <w:lang w:eastAsia="en-GB"/>
        </w:rPr>
        <w:t xml:space="preserve">th </w:t>
      </w:r>
      <w:r>
        <w:rPr>
          <w:rFonts w:ascii="Arial" w:eastAsia="Times New Roman" w:hAnsi="Arial" w:cs="Arial"/>
          <w:color w:val="141412"/>
          <w:sz w:val="24"/>
          <w:szCs w:val="24"/>
          <w:lang w:eastAsia="en-GB"/>
        </w:rPr>
        <w:t>December 2024.</w:t>
      </w:r>
    </w:p>
    <w:p w14:paraId="0E4F9727" w14:textId="77777777" w:rsidR="00A71AF3" w:rsidRDefault="00A71AF3" w:rsidP="00A71AF3">
      <w:pPr>
        <w:shd w:val="clear" w:color="auto" w:fill="FFFFFF"/>
        <w:spacing w:after="0" w:line="240" w:lineRule="auto"/>
        <w:rPr>
          <w:rFonts w:ascii="Arial" w:eastAsia="Times New Roman" w:hAnsi="Arial" w:cs="Arial"/>
          <w:color w:val="141412"/>
          <w:sz w:val="24"/>
          <w:szCs w:val="24"/>
          <w:lang w:eastAsia="en-GB"/>
        </w:rPr>
      </w:pPr>
    </w:p>
    <w:p w14:paraId="1E6668AB" w14:textId="77777777" w:rsidR="00A71AF3" w:rsidRDefault="00A71AF3" w:rsidP="00A71AF3">
      <w:pPr>
        <w:shd w:val="clear" w:color="auto" w:fill="FFFFFF"/>
        <w:spacing w:after="0" w:line="240" w:lineRule="auto"/>
        <w:rPr>
          <w:rFonts w:ascii="Arial" w:eastAsia="Times New Roman" w:hAnsi="Arial" w:cs="Arial"/>
          <w:color w:val="141412"/>
          <w:sz w:val="24"/>
          <w:szCs w:val="24"/>
          <w:lang w:eastAsia="en-GB"/>
        </w:rPr>
      </w:pPr>
    </w:p>
    <w:tbl>
      <w:tblPr>
        <w:tblStyle w:val="TableGrid"/>
        <w:tblW w:w="0" w:type="auto"/>
        <w:tblLook w:val="04A0" w:firstRow="1" w:lastRow="0" w:firstColumn="1" w:lastColumn="0" w:noHBand="0" w:noVBand="1"/>
      </w:tblPr>
      <w:tblGrid>
        <w:gridCol w:w="4508"/>
        <w:gridCol w:w="4508"/>
      </w:tblGrid>
      <w:tr w:rsidR="00A71AF3" w14:paraId="1D699A4D" w14:textId="77777777" w:rsidTr="00A71AF3">
        <w:tc>
          <w:tcPr>
            <w:tcW w:w="4508" w:type="dxa"/>
            <w:tcBorders>
              <w:top w:val="single" w:sz="4" w:space="0" w:color="auto"/>
              <w:left w:val="single" w:sz="4" w:space="0" w:color="auto"/>
              <w:bottom w:val="single" w:sz="4" w:space="0" w:color="auto"/>
              <w:right w:val="single" w:sz="4" w:space="0" w:color="auto"/>
            </w:tcBorders>
            <w:hideMark/>
          </w:tcPr>
          <w:p w14:paraId="59CA361F" w14:textId="77777777" w:rsidR="00A71AF3" w:rsidRDefault="00A71AF3">
            <w:pPr>
              <w:jc w:val="center"/>
              <w:rPr>
                <w:rFonts w:ascii="Arial" w:eastAsia="Times New Roman" w:hAnsi="Arial" w:cs="Arial"/>
                <w:b/>
                <w:bCs/>
                <w:color w:val="141412"/>
                <w:sz w:val="24"/>
                <w:szCs w:val="24"/>
                <w:lang w:eastAsia="en-GB"/>
              </w:rPr>
            </w:pPr>
            <w:r>
              <w:rPr>
                <w:rFonts w:ascii="Arial" w:eastAsia="Times New Roman" w:hAnsi="Arial" w:cs="Arial"/>
                <w:b/>
                <w:bCs/>
                <w:color w:val="141412"/>
                <w:sz w:val="24"/>
                <w:szCs w:val="24"/>
                <w:lang w:eastAsia="en-GB"/>
              </w:rPr>
              <w:t>Event Date</w:t>
            </w:r>
          </w:p>
        </w:tc>
        <w:tc>
          <w:tcPr>
            <w:tcW w:w="4508" w:type="dxa"/>
            <w:tcBorders>
              <w:top w:val="single" w:sz="4" w:space="0" w:color="auto"/>
              <w:left w:val="single" w:sz="4" w:space="0" w:color="auto"/>
              <w:bottom w:val="single" w:sz="4" w:space="0" w:color="auto"/>
              <w:right w:val="single" w:sz="4" w:space="0" w:color="auto"/>
            </w:tcBorders>
            <w:hideMark/>
          </w:tcPr>
          <w:p w14:paraId="3D8B2079" w14:textId="77777777" w:rsidR="00A71AF3" w:rsidRDefault="00A71AF3">
            <w:pPr>
              <w:jc w:val="center"/>
              <w:rPr>
                <w:rFonts w:ascii="Arial" w:eastAsia="Times New Roman" w:hAnsi="Arial" w:cs="Arial"/>
                <w:b/>
                <w:bCs/>
                <w:color w:val="141412"/>
                <w:sz w:val="24"/>
                <w:szCs w:val="24"/>
                <w:lang w:eastAsia="en-GB"/>
              </w:rPr>
            </w:pPr>
            <w:r>
              <w:rPr>
                <w:rFonts w:ascii="Arial" w:eastAsia="Times New Roman" w:hAnsi="Arial" w:cs="Arial"/>
                <w:b/>
                <w:bCs/>
                <w:color w:val="141412"/>
                <w:sz w:val="24"/>
                <w:szCs w:val="24"/>
                <w:lang w:eastAsia="en-GB"/>
              </w:rPr>
              <w:t>Event Category</w:t>
            </w:r>
          </w:p>
        </w:tc>
      </w:tr>
      <w:tr w:rsidR="00A71AF3" w14:paraId="2222629B" w14:textId="77777777" w:rsidTr="00A71AF3">
        <w:tc>
          <w:tcPr>
            <w:tcW w:w="4508" w:type="dxa"/>
            <w:tcBorders>
              <w:top w:val="single" w:sz="4" w:space="0" w:color="auto"/>
              <w:left w:val="single" w:sz="4" w:space="0" w:color="auto"/>
              <w:bottom w:val="single" w:sz="4" w:space="0" w:color="auto"/>
              <w:right w:val="single" w:sz="4" w:space="0" w:color="auto"/>
            </w:tcBorders>
            <w:hideMark/>
          </w:tcPr>
          <w:p w14:paraId="7751355D" w14:textId="77777777" w:rsidR="00A71AF3" w:rsidRDefault="00A71AF3">
            <w:pPr>
              <w:jc w:val="center"/>
              <w:rPr>
                <w:rFonts w:ascii="Arial" w:eastAsia="Times New Roman" w:hAnsi="Arial" w:cs="Arial"/>
                <w:color w:val="141412"/>
                <w:sz w:val="24"/>
                <w:szCs w:val="24"/>
                <w:lang w:eastAsia="en-GB"/>
              </w:rPr>
            </w:pPr>
            <w:r>
              <w:rPr>
                <w:rFonts w:ascii="Arial" w:eastAsia="Times New Roman" w:hAnsi="Arial" w:cs="Arial"/>
                <w:color w:val="141412"/>
                <w:sz w:val="24"/>
                <w:szCs w:val="24"/>
                <w:lang w:eastAsia="en-GB"/>
              </w:rPr>
              <w:t>26 November 2024</w:t>
            </w:r>
          </w:p>
        </w:tc>
        <w:tc>
          <w:tcPr>
            <w:tcW w:w="4508" w:type="dxa"/>
            <w:tcBorders>
              <w:top w:val="single" w:sz="4" w:space="0" w:color="auto"/>
              <w:left w:val="single" w:sz="4" w:space="0" w:color="auto"/>
              <w:bottom w:val="single" w:sz="4" w:space="0" w:color="auto"/>
              <w:right w:val="single" w:sz="4" w:space="0" w:color="auto"/>
            </w:tcBorders>
            <w:hideMark/>
          </w:tcPr>
          <w:p w14:paraId="0179363D" w14:textId="77777777" w:rsidR="00A71AF3" w:rsidRDefault="00A71AF3">
            <w:pPr>
              <w:jc w:val="center"/>
              <w:rPr>
                <w:rFonts w:ascii="Arial" w:eastAsia="Times New Roman" w:hAnsi="Arial" w:cs="Arial"/>
                <w:color w:val="141412"/>
                <w:sz w:val="24"/>
                <w:szCs w:val="24"/>
                <w:lang w:eastAsia="en-GB"/>
              </w:rPr>
            </w:pPr>
            <w:r>
              <w:rPr>
                <w:rFonts w:ascii="Arial" w:eastAsia="Times New Roman" w:hAnsi="Arial" w:cs="Arial"/>
                <w:color w:val="141412"/>
                <w:sz w:val="24"/>
                <w:szCs w:val="24"/>
                <w:lang w:eastAsia="en-GB"/>
              </w:rPr>
              <w:t>Online Seminar</w:t>
            </w:r>
          </w:p>
        </w:tc>
      </w:tr>
      <w:tr w:rsidR="00A71AF3" w14:paraId="421B886E" w14:textId="77777777" w:rsidTr="00A71AF3">
        <w:tc>
          <w:tcPr>
            <w:tcW w:w="4508" w:type="dxa"/>
            <w:tcBorders>
              <w:top w:val="single" w:sz="4" w:space="0" w:color="auto"/>
              <w:left w:val="single" w:sz="4" w:space="0" w:color="auto"/>
              <w:bottom w:val="single" w:sz="4" w:space="0" w:color="auto"/>
              <w:right w:val="single" w:sz="4" w:space="0" w:color="auto"/>
            </w:tcBorders>
            <w:hideMark/>
          </w:tcPr>
          <w:p w14:paraId="1C2DA0BD" w14:textId="77777777" w:rsidR="00A71AF3" w:rsidRDefault="00A71AF3">
            <w:pPr>
              <w:jc w:val="center"/>
              <w:rPr>
                <w:rFonts w:ascii="Arial" w:eastAsia="Times New Roman" w:hAnsi="Arial" w:cs="Arial"/>
                <w:color w:val="141412"/>
                <w:sz w:val="24"/>
                <w:szCs w:val="24"/>
                <w:lang w:eastAsia="en-GB"/>
              </w:rPr>
            </w:pPr>
            <w:r>
              <w:rPr>
                <w:rFonts w:ascii="Arial" w:eastAsia="Times New Roman" w:hAnsi="Arial" w:cs="Arial"/>
                <w:color w:val="141412"/>
                <w:sz w:val="24"/>
                <w:szCs w:val="24"/>
                <w:lang w:eastAsia="en-GB"/>
              </w:rPr>
              <w:t>17 December 2024</w:t>
            </w:r>
          </w:p>
        </w:tc>
        <w:tc>
          <w:tcPr>
            <w:tcW w:w="4508" w:type="dxa"/>
            <w:tcBorders>
              <w:top w:val="single" w:sz="4" w:space="0" w:color="auto"/>
              <w:left w:val="single" w:sz="4" w:space="0" w:color="auto"/>
              <w:bottom w:val="single" w:sz="4" w:space="0" w:color="auto"/>
              <w:right w:val="single" w:sz="4" w:space="0" w:color="auto"/>
            </w:tcBorders>
            <w:hideMark/>
          </w:tcPr>
          <w:p w14:paraId="1D7C3C21" w14:textId="77777777" w:rsidR="00A71AF3" w:rsidRDefault="00A71AF3">
            <w:pPr>
              <w:jc w:val="center"/>
              <w:rPr>
                <w:rFonts w:ascii="Arial" w:eastAsia="Times New Roman" w:hAnsi="Arial" w:cs="Arial"/>
                <w:color w:val="141412"/>
                <w:sz w:val="24"/>
                <w:szCs w:val="24"/>
                <w:lang w:eastAsia="en-GB"/>
              </w:rPr>
            </w:pPr>
            <w:r>
              <w:rPr>
                <w:rFonts w:ascii="Arial" w:eastAsia="Times New Roman" w:hAnsi="Arial" w:cs="Arial"/>
                <w:color w:val="141412"/>
                <w:sz w:val="24"/>
                <w:szCs w:val="24"/>
                <w:lang w:eastAsia="en-GB"/>
              </w:rPr>
              <w:t>Online Seminar</w:t>
            </w:r>
          </w:p>
        </w:tc>
      </w:tr>
      <w:tr w:rsidR="00A71AF3" w14:paraId="5D4FE102" w14:textId="77777777" w:rsidTr="00A71AF3">
        <w:tc>
          <w:tcPr>
            <w:tcW w:w="4508" w:type="dxa"/>
            <w:tcBorders>
              <w:top w:val="single" w:sz="4" w:space="0" w:color="auto"/>
              <w:left w:val="single" w:sz="4" w:space="0" w:color="auto"/>
              <w:bottom w:val="single" w:sz="4" w:space="0" w:color="auto"/>
              <w:right w:val="single" w:sz="4" w:space="0" w:color="auto"/>
            </w:tcBorders>
            <w:hideMark/>
          </w:tcPr>
          <w:p w14:paraId="354DBC44" w14:textId="77777777" w:rsidR="00A71AF3" w:rsidRDefault="00A71AF3">
            <w:pPr>
              <w:jc w:val="center"/>
              <w:rPr>
                <w:rFonts w:ascii="Arial" w:eastAsia="Times New Roman" w:hAnsi="Arial" w:cs="Arial"/>
                <w:color w:val="141412"/>
                <w:sz w:val="24"/>
                <w:szCs w:val="24"/>
                <w:lang w:eastAsia="en-GB"/>
              </w:rPr>
            </w:pPr>
            <w:r>
              <w:rPr>
                <w:rFonts w:ascii="Arial" w:eastAsia="Times New Roman" w:hAnsi="Arial" w:cs="Arial"/>
                <w:color w:val="141412"/>
                <w:sz w:val="24"/>
                <w:szCs w:val="24"/>
                <w:lang w:eastAsia="en-GB"/>
              </w:rPr>
              <w:t>18 December 2024</w:t>
            </w:r>
          </w:p>
        </w:tc>
        <w:tc>
          <w:tcPr>
            <w:tcW w:w="4508" w:type="dxa"/>
            <w:tcBorders>
              <w:top w:val="single" w:sz="4" w:space="0" w:color="auto"/>
              <w:left w:val="single" w:sz="4" w:space="0" w:color="auto"/>
              <w:bottom w:val="single" w:sz="4" w:space="0" w:color="auto"/>
              <w:right w:val="single" w:sz="4" w:space="0" w:color="auto"/>
            </w:tcBorders>
            <w:hideMark/>
          </w:tcPr>
          <w:p w14:paraId="023C45D6" w14:textId="77777777" w:rsidR="00A71AF3" w:rsidRDefault="00A71AF3">
            <w:pPr>
              <w:jc w:val="center"/>
              <w:rPr>
                <w:rFonts w:ascii="Arial" w:eastAsia="Times New Roman" w:hAnsi="Arial" w:cs="Arial"/>
                <w:color w:val="141412"/>
                <w:sz w:val="24"/>
                <w:szCs w:val="24"/>
                <w:lang w:eastAsia="en-GB"/>
              </w:rPr>
            </w:pPr>
            <w:r>
              <w:rPr>
                <w:rFonts w:ascii="Arial" w:eastAsia="Times New Roman" w:hAnsi="Arial" w:cs="Arial"/>
                <w:color w:val="141412"/>
                <w:sz w:val="24"/>
                <w:szCs w:val="24"/>
                <w:lang w:eastAsia="en-GB"/>
              </w:rPr>
              <w:t>Online Seminar</w:t>
            </w:r>
          </w:p>
        </w:tc>
      </w:tr>
    </w:tbl>
    <w:p w14:paraId="5C77E165" w14:textId="77777777" w:rsidR="00A71AF3" w:rsidRDefault="00A71AF3" w:rsidP="00A71AF3">
      <w:pPr>
        <w:shd w:val="clear" w:color="auto" w:fill="FFFFFF"/>
        <w:spacing w:after="0" w:line="240" w:lineRule="auto"/>
        <w:rPr>
          <w:rFonts w:ascii="Arial" w:eastAsia="Times New Roman" w:hAnsi="Arial" w:cs="Arial"/>
          <w:color w:val="141412"/>
          <w:sz w:val="24"/>
          <w:szCs w:val="24"/>
          <w:lang w:eastAsia="en-GB"/>
        </w:rPr>
      </w:pPr>
    </w:p>
    <w:p w14:paraId="7E0EBE19" w14:textId="77777777" w:rsidR="00A71AF3" w:rsidRDefault="00A71AF3" w:rsidP="00A71AF3">
      <w:pPr>
        <w:shd w:val="clear" w:color="auto" w:fill="FFFFFF"/>
        <w:spacing w:after="0" w:line="240" w:lineRule="auto"/>
        <w:rPr>
          <w:rFonts w:ascii="Arial" w:eastAsia="Times New Roman" w:hAnsi="Arial" w:cs="Arial"/>
          <w:color w:val="141412"/>
          <w:sz w:val="24"/>
          <w:szCs w:val="24"/>
          <w:lang w:eastAsia="en-GB"/>
        </w:rPr>
      </w:pPr>
    </w:p>
    <w:p w14:paraId="169FC031" w14:textId="77777777" w:rsidR="00A71AF3" w:rsidRDefault="00A71AF3" w:rsidP="00A71AF3">
      <w:pPr>
        <w:shd w:val="clear" w:color="auto" w:fill="FFFFFF"/>
        <w:spacing w:after="0" w:line="240" w:lineRule="auto"/>
        <w:rPr>
          <w:rFonts w:ascii="Arial" w:eastAsia="Times New Roman" w:hAnsi="Arial" w:cs="Arial"/>
          <w:color w:val="0000FF"/>
          <w:sz w:val="24"/>
          <w:szCs w:val="24"/>
          <w:u w:val="single"/>
          <w:lang w:eastAsia="en-GB"/>
        </w:rPr>
      </w:pPr>
      <w:r>
        <w:rPr>
          <w:rFonts w:ascii="Arial" w:eastAsia="Times New Roman" w:hAnsi="Arial" w:cs="Arial"/>
          <w:color w:val="141412"/>
          <w:sz w:val="24"/>
          <w:szCs w:val="24"/>
          <w:lang w:eastAsia="en-GB"/>
        </w:rPr>
        <w:t xml:space="preserve">These sessions can be booked via our website </w:t>
      </w:r>
      <w:hyperlink r:id="rId36" w:history="1">
        <w:r>
          <w:rPr>
            <w:rStyle w:val="Hyperlink"/>
            <w:rFonts w:ascii="Arial" w:eastAsia="Times New Roman" w:hAnsi="Arial" w:cs="Arial"/>
            <w:color w:val="0000FF"/>
            <w:sz w:val="24"/>
            <w:szCs w:val="24"/>
            <w:lang w:eastAsia="en-GB"/>
          </w:rPr>
          <w:t>here</w:t>
        </w:r>
      </w:hyperlink>
    </w:p>
    <w:p w14:paraId="099CDC10" w14:textId="77777777" w:rsidR="00A71AF3" w:rsidRDefault="00A71AF3" w:rsidP="00A71AF3">
      <w:pPr>
        <w:shd w:val="clear" w:color="auto" w:fill="FFFFFF"/>
        <w:spacing w:after="0" w:line="240" w:lineRule="auto"/>
        <w:rPr>
          <w:rFonts w:ascii="Arial" w:eastAsia="Calibri" w:hAnsi="Arial" w:cs="Arial"/>
          <w:b/>
          <w:color w:val="0070C0"/>
          <w:sz w:val="28"/>
          <w:szCs w:val="28"/>
        </w:rPr>
      </w:pPr>
    </w:p>
    <w:p w14:paraId="61B3177E" w14:textId="77777777" w:rsidR="00A71AF3" w:rsidRDefault="00A71AF3" w:rsidP="00A71AF3">
      <w:pPr>
        <w:spacing w:after="0" w:line="240" w:lineRule="auto"/>
        <w:rPr>
          <w:rFonts w:ascii="Arial" w:hAnsi="Arial" w:cs="Arial"/>
          <w:b/>
          <w:bCs/>
        </w:rPr>
      </w:pPr>
      <w:r>
        <w:rPr>
          <w:rFonts w:ascii="Arial" w:hAnsi="Arial" w:cs="Arial"/>
          <w:b/>
          <w:bCs/>
        </w:rPr>
        <w:t>Staff Update</w:t>
      </w:r>
    </w:p>
    <w:p w14:paraId="2E993A21" w14:textId="77777777" w:rsidR="00A71AF3" w:rsidRDefault="00A71AF3" w:rsidP="00A71AF3">
      <w:pPr>
        <w:spacing w:after="0" w:line="240" w:lineRule="auto"/>
        <w:rPr>
          <w:rFonts w:ascii="Arial" w:hAnsi="Arial" w:cs="Arial"/>
          <w:b/>
          <w:bCs/>
        </w:rPr>
      </w:pPr>
    </w:p>
    <w:p w14:paraId="4757D968" w14:textId="77777777" w:rsidR="00A71AF3" w:rsidRDefault="00A71AF3" w:rsidP="00A71AF3">
      <w:pPr>
        <w:spacing w:after="0" w:line="240" w:lineRule="auto"/>
        <w:rPr>
          <w:rFonts w:ascii="Arial" w:hAnsi="Arial" w:cs="Arial"/>
        </w:rPr>
      </w:pPr>
      <w:r>
        <w:rPr>
          <w:rFonts w:ascii="Arial" w:hAnsi="Arial" w:cs="Arial"/>
        </w:rPr>
        <w:t>Two Pensions Officers have recently been recruited and joined Team Fire on a full time, permanent basis.  Leon Donoghue joined us on 23</w:t>
      </w:r>
      <w:r>
        <w:rPr>
          <w:rFonts w:ascii="Arial" w:hAnsi="Arial" w:cs="Arial"/>
          <w:vertAlign w:val="superscript"/>
        </w:rPr>
        <w:t>rd</w:t>
      </w:r>
      <w:r>
        <w:rPr>
          <w:rFonts w:ascii="Arial" w:hAnsi="Arial" w:cs="Arial"/>
        </w:rPr>
        <w:t xml:space="preserve"> September and Haleema Khan joined us on 28</w:t>
      </w:r>
      <w:r>
        <w:rPr>
          <w:rFonts w:ascii="Arial" w:hAnsi="Arial" w:cs="Arial"/>
          <w:vertAlign w:val="superscript"/>
        </w:rPr>
        <w:t>th</w:t>
      </w:r>
      <w:r>
        <w:rPr>
          <w:rFonts w:ascii="Arial" w:hAnsi="Arial" w:cs="Arial"/>
        </w:rPr>
        <w:t xml:space="preserve"> October.</w:t>
      </w:r>
    </w:p>
    <w:p w14:paraId="103C4752" w14:textId="77777777" w:rsidR="00A71AF3" w:rsidRDefault="00A71AF3" w:rsidP="00A71AF3">
      <w:pPr>
        <w:spacing w:after="0" w:line="240" w:lineRule="auto"/>
        <w:rPr>
          <w:rFonts w:ascii="Arial" w:hAnsi="Arial" w:cs="Arial"/>
        </w:rPr>
      </w:pPr>
    </w:p>
    <w:p w14:paraId="7388D4C6" w14:textId="77777777" w:rsidR="00A71AF3" w:rsidRDefault="00A71AF3" w:rsidP="00A71AF3">
      <w:pPr>
        <w:spacing w:after="0" w:line="240" w:lineRule="auto"/>
        <w:rPr>
          <w:rFonts w:ascii="Arial" w:hAnsi="Arial" w:cs="Arial"/>
        </w:rPr>
      </w:pPr>
    </w:p>
    <w:p w14:paraId="6357B4C7" w14:textId="77777777" w:rsidR="00A71AF3" w:rsidRDefault="00A71AF3" w:rsidP="00A71AF3">
      <w:pPr>
        <w:spacing w:after="0" w:line="240" w:lineRule="auto"/>
        <w:rPr>
          <w:rFonts w:ascii="Arial" w:hAnsi="Arial" w:cs="Arial"/>
        </w:rPr>
      </w:pPr>
    </w:p>
    <w:p w14:paraId="74D48F36" w14:textId="77777777" w:rsidR="00A71AF3" w:rsidRDefault="00A71AF3" w:rsidP="00A71AF3">
      <w:pPr>
        <w:spacing w:after="0" w:line="240" w:lineRule="auto"/>
        <w:rPr>
          <w:rFonts w:ascii="Arial" w:hAnsi="Arial" w:cs="Arial"/>
        </w:rPr>
      </w:pPr>
    </w:p>
    <w:p w14:paraId="69727198" w14:textId="77777777" w:rsidR="00A71AF3" w:rsidRDefault="00A71AF3" w:rsidP="00A71AF3">
      <w:pPr>
        <w:spacing w:after="0" w:line="240" w:lineRule="auto"/>
        <w:rPr>
          <w:rFonts w:ascii="Arial" w:hAnsi="Arial" w:cs="Arial"/>
        </w:rPr>
      </w:pPr>
    </w:p>
    <w:p w14:paraId="599B56B2" w14:textId="77777777" w:rsidR="00A71AF3" w:rsidRDefault="00A71AF3" w:rsidP="00A71AF3">
      <w:pPr>
        <w:spacing w:after="0" w:line="240" w:lineRule="auto"/>
        <w:rPr>
          <w:rFonts w:ascii="Arial" w:hAnsi="Arial" w:cs="Arial"/>
        </w:rPr>
      </w:pPr>
    </w:p>
    <w:p w14:paraId="0BD123A6" w14:textId="77777777" w:rsidR="00A71AF3" w:rsidRDefault="00A71AF3" w:rsidP="00A71AF3">
      <w:pPr>
        <w:spacing w:after="0" w:line="240" w:lineRule="auto"/>
        <w:rPr>
          <w:rFonts w:ascii="Arial" w:hAnsi="Arial" w:cs="Arial"/>
        </w:rPr>
      </w:pPr>
    </w:p>
    <w:p w14:paraId="474612BA" w14:textId="77777777" w:rsidR="00A71AF3" w:rsidRDefault="00A71AF3" w:rsidP="00A71AF3">
      <w:pPr>
        <w:ind w:left="851" w:hanging="851"/>
        <w:rPr>
          <w:rFonts w:ascii="Arial" w:eastAsia="Calibri" w:hAnsi="Arial" w:cs="Arial"/>
          <w:b/>
          <w:color w:val="2E74B5"/>
          <w:sz w:val="28"/>
          <w:szCs w:val="28"/>
        </w:rPr>
      </w:pPr>
      <w:r>
        <w:rPr>
          <w:rFonts w:ascii="Arial" w:eastAsia="Calibri" w:hAnsi="Arial" w:cs="Arial"/>
          <w:b/>
          <w:color w:val="0070C0"/>
          <w:sz w:val="28"/>
          <w:szCs w:val="28"/>
        </w:rPr>
        <w:lastRenderedPageBreak/>
        <w:t>7.</w:t>
      </w:r>
      <w:r>
        <w:rPr>
          <w:rFonts w:ascii="Arial" w:eastAsia="Calibri" w:hAnsi="Arial" w:cs="Arial"/>
          <w:b/>
          <w:color w:val="2E74B5"/>
          <w:sz w:val="28"/>
          <w:szCs w:val="28"/>
        </w:rPr>
        <w:t xml:space="preserve"> Member Update</w:t>
      </w:r>
    </w:p>
    <w:p w14:paraId="66494189" w14:textId="77777777" w:rsidR="00A71AF3" w:rsidRDefault="00A71AF3" w:rsidP="00A71AF3">
      <w:pPr>
        <w:spacing w:after="0" w:line="240" w:lineRule="auto"/>
        <w:rPr>
          <w:rFonts w:ascii="Arial" w:eastAsia="Calibri" w:hAnsi="Arial" w:cs="Arial"/>
          <w:bCs/>
        </w:rPr>
      </w:pPr>
      <w:bookmarkStart w:id="4" w:name="_Hlk169172249"/>
      <w:r>
        <w:rPr>
          <w:rFonts w:ascii="Arial" w:eastAsia="Calibri" w:hAnsi="Arial" w:cs="Arial"/>
          <w:bCs/>
        </w:rPr>
        <w:t>None</w:t>
      </w:r>
      <w:bookmarkEnd w:id="4"/>
    </w:p>
    <w:p w14:paraId="2364080D" w14:textId="77777777" w:rsidR="00A71AF3" w:rsidRDefault="00A71AF3" w:rsidP="00A71AF3">
      <w:pPr>
        <w:spacing w:after="0" w:line="240" w:lineRule="auto"/>
        <w:rPr>
          <w:rFonts w:ascii="Arial" w:eastAsia="Calibri" w:hAnsi="Arial" w:cs="Arial"/>
          <w:bCs/>
        </w:rPr>
      </w:pPr>
    </w:p>
    <w:p w14:paraId="4F95A80C" w14:textId="77777777" w:rsidR="00A71AF3" w:rsidRDefault="00A71AF3" w:rsidP="00A71AF3">
      <w:pPr>
        <w:ind w:left="851" w:hanging="851"/>
        <w:rPr>
          <w:rFonts w:ascii="Arial" w:eastAsia="Calibri" w:hAnsi="Arial" w:cs="Arial"/>
          <w:b/>
          <w:color w:val="2E74B5"/>
          <w:sz w:val="28"/>
          <w:szCs w:val="28"/>
        </w:rPr>
      </w:pPr>
      <w:r>
        <w:rPr>
          <w:rFonts w:ascii="Arial" w:eastAsia="Calibri" w:hAnsi="Arial" w:cs="Arial"/>
          <w:b/>
          <w:color w:val="0070C0"/>
          <w:sz w:val="28"/>
          <w:szCs w:val="28"/>
        </w:rPr>
        <w:t>8.</w:t>
      </w:r>
      <w:r>
        <w:rPr>
          <w:rFonts w:ascii="Arial" w:eastAsia="Calibri" w:hAnsi="Arial" w:cs="Arial"/>
          <w:b/>
          <w:color w:val="2E74B5"/>
          <w:sz w:val="28"/>
          <w:szCs w:val="28"/>
        </w:rPr>
        <w:t xml:space="preserve"> IT Update</w:t>
      </w:r>
    </w:p>
    <w:p w14:paraId="0490189B" w14:textId="77777777" w:rsidR="00872688" w:rsidRPr="00872688" w:rsidRDefault="00872688" w:rsidP="00872688">
      <w:pPr>
        <w:spacing w:after="0" w:line="240" w:lineRule="auto"/>
        <w:rPr>
          <w:rFonts w:ascii="Aptos" w:eastAsia="Aptos" w:hAnsi="Aptos" w:cs="Aptos"/>
          <w:b/>
          <w:bCs/>
        </w:rPr>
      </w:pPr>
      <w:bookmarkStart w:id="5" w:name="_Hlk182567914"/>
    </w:p>
    <w:p w14:paraId="270CB299" w14:textId="77777777" w:rsidR="00872688" w:rsidRPr="00872688" w:rsidRDefault="00872688" w:rsidP="00872688">
      <w:pPr>
        <w:spacing w:after="0" w:line="240" w:lineRule="auto"/>
        <w:rPr>
          <w:rFonts w:ascii="Arial" w:eastAsia="Aptos" w:hAnsi="Arial" w:cs="Arial"/>
          <w:b/>
          <w:bCs/>
        </w:rPr>
      </w:pPr>
      <w:r w:rsidRPr="00872688">
        <w:rPr>
          <w:rFonts w:ascii="Arial" w:eastAsia="Aptos" w:hAnsi="Arial" w:cs="Arial"/>
          <w:b/>
          <w:bCs/>
        </w:rPr>
        <w:t xml:space="preserve">TPR Dashboard Readiness Survey </w:t>
      </w:r>
    </w:p>
    <w:p w14:paraId="2D2C6B94" w14:textId="77777777" w:rsidR="00872688" w:rsidRPr="00872688" w:rsidRDefault="00872688" w:rsidP="00872688">
      <w:pPr>
        <w:spacing w:after="0" w:line="240" w:lineRule="auto"/>
        <w:rPr>
          <w:rFonts w:ascii="Arial" w:eastAsia="Aptos" w:hAnsi="Arial" w:cs="Arial"/>
          <w:b/>
          <w:bCs/>
        </w:rPr>
      </w:pPr>
    </w:p>
    <w:p w14:paraId="1C27D7FF"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 xml:space="preserve">WYPF have received many queries about the TPR survey. </w:t>
      </w:r>
    </w:p>
    <w:p w14:paraId="3F961333" w14:textId="77777777" w:rsidR="00872688" w:rsidRPr="00872688" w:rsidRDefault="00872688" w:rsidP="00872688">
      <w:pPr>
        <w:spacing w:after="0" w:line="240" w:lineRule="auto"/>
        <w:rPr>
          <w:rFonts w:ascii="Arial" w:eastAsia="Aptos" w:hAnsi="Arial" w:cs="Arial"/>
        </w:rPr>
      </w:pPr>
    </w:p>
    <w:p w14:paraId="7B6B62E4"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Clearly much of the information requested by TPR is unknown to FRAs, therefore, we have produced a template of correct answers based on our current understanding for each FRA to submit to TPR.</w:t>
      </w:r>
    </w:p>
    <w:p w14:paraId="61BDBD16" w14:textId="77777777" w:rsidR="00872688" w:rsidRPr="00872688" w:rsidRDefault="00872688" w:rsidP="00872688">
      <w:pPr>
        <w:spacing w:after="0" w:line="240" w:lineRule="auto"/>
        <w:rPr>
          <w:rFonts w:ascii="Arial" w:eastAsia="Aptos" w:hAnsi="Arial" w:cs="Arial"/>
        </w:rPr>
      </w:pPr>
    </w:p>
    <w:p w14:paraId="470BE35D"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Some of the questions (about DC) are not relevant for FPS, if you can complete the survey without answering them , great. If not, any of the answers will do – they are all wrong!</w:t>
      </w:r>
    </w:p>
    <w:p w14:paraId="2E1E2F9E"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An apology – we gave you the wrong answer for the AVC question – you’re all aware that there are not any for the FPS!</w:t>
      </w:r>
    </w:p>
    <w:p w14:paraId="57158927" w14:textId="77777777" w:rsidR="00872688" w:rsidRPr="00872688" w:rsidRDefault="00872688" w:rsidP="00872688">
      <w:pPr>
        <w:spacing w:after="0" w:line="240" w:lineRule="auto"/>
        <w:rPr>
          <w:rFonts w:ascii="Arial" w:eastAsia="Aptos" w:hAnsi="Arial" w:cs="Arial"/>
        </w:rPr>
      </w:pPr>
    </w:p>
    <w:p w14:paraId="703B8551"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We have been asked about submitting a survey for all three schemes.</w:t>
      </w:r>
    </w:p>
    <w:p w14:paraId="367660B3" w14:textId="77777777" w:rsidR="00872688" w:rsidRPr="00872688" w:rsidRDefault="00872688" w:rsidP="00872688">
      <w:pPr>
        <w:spacing w:after="0" w:line="240" w:lineRule="auto"/>
        <w:rPr>
          <w:rFonts w:ascii="Arial" w:eastAsia="Aptos" w:hAnsi="Arial" w:cs="Arial"/>
        </w:rPr>
      </w:pPr>
    </w:p>
    <w:p w14:paraId="766878A2"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We’ve taken an overarching approach that the survey focus is about Dashboards and not about scheme specifics.</w:t>
      </w:r>
    </w:p>
    <w:p w14:paraId="20E8D53E" w14:textId="77777777" w:rsidR="00872688" w:rsidRPr="00872688" w:rsidRDefault="00872688" w:rsidP="00872688">
      <w:pPr>
        <w:spacing w:after="0" w:line="240" w:lineRule="auto"/>
        <w:rPr>
          <w:rFonts w:ascii="Arial" w:eastAsia="Aptos" w:hAnsi="Arial" w:cs="Arial"/>
        </w:rPr>
      </w:pPr>
    </w:p>
    <w:p w14:paraId="1F495EB4"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 xml:space="preserve">We have contacted TPR to seek further clarity but as yet we have not had a response. </w:t>
      </w:r>
    </w:p>
    <w:p w14:paraId="5CC2D530"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If we receive further information we will share with all FRAs</w:t>
      </w:r>
    </w:p>
    <w:p w14:paraId="39797C50" w14:textId="77777777" w:rsidR="00872688" w:rsidRPr="00872688" w:rsidRDefault="00872688" w:rsidP="00872688">
      <w:pPr>
        <w:spacing w:after="0" w:line="240" w:lineRule="auto"/>
        <w:rPr>
          <w:rFonts w:ascii="Arial" w:eastAsia="Aptos" w:hAnsi="Arial" w:cs="Arial"/>
        </w:rPr>
      </w:pPr>
    </w:p>
    <w:p w14:paraId="04A2D5CB"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Each FRA should have received their survey on Thursday 14 or Friday 15 November.</w:t>
      </w:r>
    </w:p>
    <w:p w14:paraId="75F08038" w14:textId="77777777" w:rsidR="00872688" w:rsidRPr="00872688" w:rsidRDefault="00872688" w:rsidP="00872688">
      <w:pPr>
        <w:spacing w:after="0" w:line="240" w:lineRule="auto"/>
        <w:rPr>
          <w:rFonts w:ascii="Arial" w:eastAsia="Aptos" w:hAnsi="Arial" w:cs="Arial"/>
        </w:rPr>
      </w:pPr>
      <w:r w:rsidRPr="00872688">
        <w:rPr>
          <w:rFonts w:ascii="Arial" w:eastAsia="Aptos" w:hAnsi="Arial" w:cs="Arial"/>
        </w:rPr>
        <w:t>If you have any questions please contact Matt Mott</w:t>
      </w:r>
    </w:p>
    <w:p w14:paraId="2673DC61" w14:textId="77777777" w:rsidR="00872688" w:rsidRPr="00872688" w:rsidRDefault="00872688" w:rsidP="00872688">
      <w:pPr>
        <w:spacing w:after="0" w:line="240" w:lineRule="auto"/>
        <w:rPr>
          <w:rFonts w:ascii="Arial" w:eastAsia="Aptos" w:hAnsi="Arial" w:cs="Arial"/>
        </w:rPr>
      </w:pPr>
    </w:p>
    <w:p w14:paraId="45DA4EC7" w14:textId="77777777" w:rsidR="00872688" w:rsidRPr="00872688" w:rsidRDefault="00872688" w:rsidP="00872688">
      <w:pPr>
        <w:spacing w:line="252" w:lineRule="auto"/>
        <w:rPr>
          <w:rFonts w:ascii="Arial" w:eastAsia="Aptos" w:hAnsi="Arial" w:cs="Arial"/>
          <w:b/>
          <w:bCs/>
        </w:rPr>
      </w:pPr>
      <w:r w:rsidRPr="00872688">
        <w:rPr>
          <w:rFonts w:ascii="Arial" w:eastAsia="Aptos" w:hAnsi="Arial" w:cs="Arial"/>
          <w:b/>
          <w:bCs/>
        </w:rPr>
        <w:t>Connection to the Dashboard ecosystem</w:t>
      </w:r>
    </w:p>
    <w:p w14:paraId="630D0474" w14:textId="77777777" w:rsidR="00872688" w:rsidRPr="00872688" w:rsidRDefault="00872688" w:rsidP="00872688">
      <w:pPr>
        <w:spacing w:line="252" w:lineRule="auto"/>
        <w:rPr>
          <w:rFonts w:ascii="Arial" w:eastAsia="Aptos" w:hAnsi="Arial" w:cs="Arial"/>
        </w:rPr>
      </w:pPr>
      <w:r w:rsidRPr="00872688">
        <w:rPr>
          <w:rFonts w:ascii="Arial" w:eastAsia="Aptos" w:hAnsi="Arial" w:cs="Arial"/>
        </w:rPr>
        <w:t>WYPF are also working on further information for FRAs to consider, such as matching criteria and registering for the Dashboard ecosystem.</w:t>
      </w:r>
    </w:p>
    <w:p w14:paraId="0570C005" w14:textId="77777777" w:rsidR="00872688" w:rsidRPr="00872688" w:rsidRDefault="00872688" w:rsidP="00872688">
      <w:pPr>
        <w:spacing w:line="252" w:lineRule="auto"/>
        <w:rPr>
          <w:rFonts w:ascii="Arial" w:eastAsia="Aptos" w:hAnsi="Arial" w:cs="Arial"/>
        </w:rPr>
      </w:pPr>
      <w:r w:rsidRPr="00872688">
        <w:rPr>
          <w:rFonts w:ascii="Arial" w:eastAsia="Aptos" w:hAnsi="Arial" w:cs="Arial"/>
        </w:rPr>
        <w:t xml:space="preserve">It is our understanding FRAs as scheme manager will have to formally agree the matching criteria and nominate WYPF to deliver Dashboard requirements on their behalf. </w:t>
      </w:r>
    </w:p>
    <w:p w14:paraId="5183262E" w14:textId="77777777" w:rsidR="00872688" w:rsidRPr="00872688" w:rsidRDefault="00872688" w:rsidP="00872688">
      <w:pPr>
        <w:spacing w:line="252" w:lineRule="auto"/>
        <w:rPr>
          <w:rFonts w:ascii="Arial" w:eastAsia="Aptos" w:hAnsi="Arial" w:cs="Arial"/>
        </w:rPr>
      </w:pPr>
      <w:r w:rsidRPr="00872688">
        <w:rPr>
          <w:rFonts w:ascii="Arial" w:eastAsia="Aptos" w:hAnsi="Arial" w:cs="Arial"/>
        </w:rPr>
        <w:t>We hope to provide this information next month and on receipt FRAs may wish to discuss it at their Pension Board meetings and consider adding Pension Dashboards to their risk register.</w:t>
      </w:r>
    </w:p>
    <w:bookmarkEnd w:id="5"/>
    <w:p w14:paraId="4A03250F" w14:textId="77777777" w:rsidR="0034769C" w:rsidRDefault="0034769C" w:rsidP="0034769C">
      <w:pPr>
        <w:spacing w:after="0" w:line="240" w:lineRule="auto"/>
        <w:rPr>
          <w:rFonts w:ascii="Arial" w:eastAsia="Calibri" w:hAnsi="Arial" w:cs="Arial"/>
          <w:bCs/>
        </w:rPr>
      </w:pPr>
    </w:p>
    <w:bookmarkEnd w:id="1"/>
    <w:p w14:paraId="08E88660" w14:textId="1921378D" w:rsidR="005F6F1D" w:rsidRPr="005F6F1D" w:rsidRDefault="005F6F1D" w:rsidP="0034769C">
      <w:pPr>
        <w:spacing w:after="0"/>
        <w:rPr>
          <w:rFonts w:ascii="Calibri" w:eastAsia="Calibri" w:hAnsi="Calibri" w:cs="Times New Roman"/>
          <w:noProof/>
          <w:lang w:eastAsia="en-GB"/>
        </w:rPr>
        <w:sectPr w:rsidR="005F6F1D" w:rsidRPr="005F6F1D" w:rsidSect="004D4F70">
          <w:pgSz w:w="11906" w:h="16838" w:code="9"/>
          <w:pgMar w:top="1440" w:right="1440" w:bottom="1134" w:left="1134" w:header="709" w:footer="709" w:gutter="0"/>
          <w:cols w:space="708"/>
          <w:docGrid w:linePitch="360"/>
        </w:sectPr>
      </w:pPr>
    </w:p>
    <w:p w14:paraId="5AA91A58" w14:textId="59473C53" w:rsidR="00D21DD1" w:rsidRDefault="000B4D18" w:rsidP="00D21DD1">
      <w:pPr>
        <w:spacing w:after="0"/>
        <w:rPr>
          <w:rFonts w:ascii="Arial" w:hAnsi="Arial" w:cs="Arial"/>
          <w:b/>
          <w:color w:val="0070C0"/>
          <w:sz w:val="28"/>
          <w:szCs w:val="28"/>
        </w:rPr>
      </w:pPr>
      <w:r>
        <w:rPr>
          <w:rFonts w:ascii="Arial" w:eastAsia="Calibri" w:hAnsi="Arial" w:cs="Arial"/>
          <w:b/>
          <w:color w:val="0070C0"/>
          <w:sz w:val="28"/>
          <w:szCs w:val="28"/>
        </w:rPr>
        <w:lastRenderedPageBreak/>
        <w:t>9</w:t>
      </w:r>
      <w:r w:rsidR="00D21DD1">
        <w:rPr>
          <w:rFonts w:ascii="Arial" w:hAnsi="Arial" w:cs="Arial"/>
          <w:b/>
          <w:color w:val="0070C0"/>
          <w:sz w:val="28"/>
          <w:szCs w:val="28"/>
        </w:rPr>
        <w:t>. Five Year Audit Plan 2023 – 2027</w:t>
      </w:r>
    </w:p>
    <w:tbl>
      <w:tblPr>
        <w:tblW w:w="5100" w:type="pct"/>
        <w:tblLook w:val="04A0" w:firstRow="1" w:lastRow="0" w:firstColumn="1" w:lastColumn="0" w:noHBand="0" w:noVBand="1"/>
      </w:tblPr>
      <w:tblGrid>
        <w:gridCol w:w="7222"/>
        <w:gridCol w:w="571"/>
        <w:gridCol w:w="1292"/>
        <w:gridCol w:w="962"/>
        <w:gridCol w:w="767"/>
        <w:gridCol w:w="767"/>
        <w:gridCol w:w="767"/>
        <w:gridCol w:w="767"/>
        <w:gridCol w:w="767"/>
        <w:gridCol w:w="767"/>
      </w:tblGrid>
      <w:tr w:rsidR="00D21DD1" w14:paraId="531DAE38" w14:textId="77777777" w:rsidTr="00D21DD1">
        <w:trPr>
          <w:trHeight w:val="198"/>
          <w:tblHeader/>
        </w:trPr>
        <w:tc>
          <w:tcPr>
            <w:tcW w:w="2300" w:type="pct"/>
            <w:tcBorders>
              <w:top w:val="single" w:sz="4" w:space="0" w:color="auto"/>
              <w:left w:val="single" w:sz="4" w:space="0" w:color="auto"/>
              <w:bottom w:val="single" w:sz="4" w:space="0" w:color="auto"/>
              <w:right w:val="single" w:sz="4" w:space="0" w:color="auto"/>
            </w:tcBorders>
            <w:noWrap/>
            <w:hideMark/>
          </w:tcPr>
          <w:p w14:paraId="246476C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West Yorkshire Pension Fund Five Year Audit Plan 2022 - 2027</w:t>
            </w:r>
          </w:p>
        </w:tc>
        <w:tc>
          <w:tcPr>
            <w:tcW w:w="218" w:type="pct"/>
            <w:tcBorders>
              <w:top w:val="single" w:sz="4" w:space="0" w:color="auto"/>
              <w:left w:val="nil"/>
              <w:bottom w:val="single" w:sz="4" w:space="0" w:color="auto"/>
              <w:right w:val="single" w:sz="4" w:space="0" w:color="auto"/>
            </w:tcBorders>
            <w:noWrap/>
            <w:hideMark/>
          </w:tcPr>
          <w:p w14:paraId="3D2DEE89"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Frq</w:t>
            </w:r>
          </w:p>
        </w:tc>
        <w:tc>
          <w:tcPr>
            <w:tcW w:w="443" w:type="pct"/>
            <w:tcBorders>
              <w:top w:val="single" w:sz="4" w:space="0" w:color="auto"/>
              <w:left w:val="nil"/>
              <w:bottom w:val="single" w:sz="4" w:space="0" w:color="auto"/>
              <w:right w:val="single" w:sz="4" w:space="0" w:color="auto"/>
            </w:tcBorders>
            <w:noWrap/>
            <w:hideMark/>
          </w:tcPr>
          <w:p w14:paraId="2624DEBB"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Last Audit</w:t>
            </w:r>
          </w:p>
        </w:tc>
        <w:tc>
          <w:tcPr>
            <w:tcW w:w="340" w:type="pct"/>
            <w:tcBorders>
              <w:top w:val="single" w:sz="4" w:space="0" w:color="auto"/>
              <w:left w:val="nil"/>
              <w:bottom w:val="single" w:sz="4" w:space="0" w:color="auto"/>
              <w:right w:val="single" w:sz="4" w:space="0" w:color="auto"/>
            </w:tcBorders>
            <w:noWrap/>
            <w:hideMark/>
          </w:tcPr>
          <w:p w14:paraId="6F81610E"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Rcmnd</w:t>
            </w:r>
          </w:p>
        </w:tc>
        <w:tc>
          <w:tcPr>
            <w:tcW w:w="304" w:type="pct"/>
            <w:tcBorders>
              <w:top w:val="single" w:sz="4" w:space="0" w:color="auto"/>
              <w:left w:val="nil"/>
              <w:bottom w:val="single" w:sz="4" w:space="0" w:color="auto"/>
              <w:right w:val="single" w:sz="4" w:space="0" w:color="auto"/>
            </w:tcBorders>
            <w:noWrap/>
            <w:hideMark/>
          </w:tcPr>
          <w:p w14:paraId="51754DF8"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Days</w:t>
            </w:r>
          </w:p>
        </w:tc>
        <w:tc>
          <w:tcPr>
            <w:tcW w:w="279" w:type="pct"/>
            <w:tcBorders>
              <w:top w:val="single" w:sz="4" w:space="0" w:color="auto"/>
              <w:left w:val="nil"/>
              <w:bottom w:val="single" w:sz="4" w:space="0" w:color="auto"/>
              <w:right w:val="single" w:sz="4" w:space="0" w:color="auto"/>
            </w:tcBorders>
            <w:shd w:val="clear" w:color="auto" w:fill="D9D9D9"/>
            <w:noWrap/>
            <w:hideMark/>
          </w:tcPr>
          <w:p w14:paraId="1C3D14E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23/24</w:t>
            </w:r>
          </w:p>
        </w:tc>
        <w:tc>
          <w:tcPr>
            <w:tcW w:w="279" w:type="pct"/>
            <w:tcBorders>
              <w:top w:val="single" w:sz="4" w:space="0" w:color="auto"/>
              <w:left w:val="nil"/>
              <w:bottom w:val="single" w:sz="4" w:space="0" w:color="auto"/>
              <w:right w:val="single" w:sz="4" w:space="0" w:color="auto"/>
            </w:tcBorders>
            <w:shd w:val="clear" w:color="auto" w:fill="D9D9D9"/>
            <w:noWrap/>
            <w:hideMark/>
          </w:tcPr>
          <w:p w14:paraId="6E58051C"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24/25</w:t>
            </w:r>
          </w:p>
        </w:tc>
        <w:tc>
          <w:tcPr>
            <w:tcW w:w="279" w:type="pct"/>
            <w:tcBorders>
              <w:top w:val="single" w:sz="4" w:space="0" w:color="auto"/>
              <w:left w:val="nil"/>
              <w:bottom w:val="single" w:sz="4" w:space="0" w:color="auto"/>
              <w:right w:val="single" w:sz="4" w:space="0" w:color="auto"/>
            </w:tcBorders>
            <w:shd w:val="clear" w:color="auto" w:fill="D9D9D9"/>
            <w:noWrap/>
            <w:hideMark/>
          </w:tcPr>
          <w:p w14:paraId="41C8F48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25/26</w:t>
            </w:r>
          </w:p>
        </w:tc>
        <w:tc>
          <w:tcPr>
            <w:tcW w:w="279" w:type="pct"/>
            <w:tcBorders>
              <w:top w:val="single" w:sz="4" w:space="0" w:color="auto"/>
              <w:left w:val="nil"/>
              <w:bottom w:val="single" w:sz="4" w:space="0" w:color="auto"/>
              <w:right w:val="single" w:sz="4" w:space="0" w:color="auto"/>
            </w:tcBorders>
            <w:shd w:val="clear" w:color="auto" w:fill="D9D9D9"/>
            <w:noWrap/>
            <w:hideMark/>
          </w:tcPr>
          <w:p w14:paraId="555A253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26/27</w:t>
            </w:r>
          </w:p>
        </w:tc>
        <w:tc>
          <w:tcPr>
            <w:tcW w:w="279" w:type="pct"/>
            <w:tcBorders>
              <w:top w:val="single" w:sz="4" w:space="0" w:color="auto"/>
              <w:left w:val="nil"/>
              <w:bottom w:val="single" w:sz="4" w:space="0" w:color="auto"/>
              <w:right w:val="single" w:sz="4" w:space="0" w:color="auto"/>
            </w:tcBorders>
            <w:shd w:val="clear" w:color="auto" w:fill="D9D9D9"/>
            <w:noWrap/>
            <w:hideMark/>
          </w:tcPr>
          <w:p w14:paraId="7E530CC4"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27/28</w:t>
            </w:r>
          </w:p>
        </w:tc>
      </w:tr>
      <w:tr w:rsidR="00D21DD1" w14:paraId="6928928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B16D4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5BA8CA6"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0B26AD6"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47B965D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E85AC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5928FD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8382A1"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371157"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FA0E896"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7B077BE2" w14:textId="77777777" w:rsidR="00D21DD1" w:rsidRDefault="00D21DD1">
            <w:pPr>
              <w:spacing w:after="0"/>
              <w:rPr>
                <w:sz w:val="20"/>
                <w:szCs w:val="20"/>
                <w:lang w:eastAsia="en-GB"/>
              </w:rPr>
            </w:pPr>
          </w:p>
        </w:tc>
      </w:tr>
      <w:tr w:rsidR="00D21DD1" w14:paraId="5713EBC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AF20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Accounts Verification</w:t>
            </w:r>
          </w:p>
        </w:tc>
        <w:tc>
          <w:tcPr>
            <w:tcW w:w="218" w:type="pct"/>
            <w:tcBorders>
              <w:top w:val="nil"/>
              <w:left w:val="nil"/>
              <w:bottom w:val="single" w:sz="4" w:space="0" w:color="auto"/>
              <w:right w:val="single" w:sz="4" w:space="0" w:color="auto"/>
            </w:tcBorders>
            <w:noWrap/>
            <w:vAlign w:val="center"/>
            <w:hideMark/>
          </w:tcPr>
          <w:p w14:paraId="7173E9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06CB463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20/09/21</w:t>
            </w:r>
          </w:p>
        </w:tc>
        <w:tc>
          <w:tcPr>
            <w:tcW w:w="340" w:type="pct"/>
            <w:tcBorders>
              <w:top w:val="nil"/>
              <w:left w:val="nil"/>
              <w:bottom w:val="single" w:sz="4" w:space="0" w:color="auto"/>
              <w:right w:val="single" w:sz="4" w:space="0" w:color="auto"/>
            </w:tcBorders>
            <w:noWrap/>
            <w:vAlign w:val="center"/>
            <w:hideMark/>
          </w:tcPr>
          <w:p w14:paraId="3F51417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nil"/>
            </w:tcBorders>
            <w:noWrap/>
            <w:vAlign w:val="center"/>
            <w:hideMark/>
          </w:tcPr>
          <w:p w14:paraId="2B4A10E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single" w:sz="4" w:space="0" w:color="auto"/>
              <w:left w:val="single" w:sz="4" w:space="0" w:color="auto"/>
              <w:bottom w:val="single" w:sz="4" w:space="0" w:color="auto"/>
              <w:right w:val="single" w:sz="4" w:space="0" w:color="auto"/>
            </w:tcBorders>
            <w:noWrap/>
            <w:vAlign w:val="bottom"/>
            <w:hideMark/>
          </w:tcPr>
          <w:p w14:paraId="53776C7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27892FC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54FACC9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3488B5B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7BB12CE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D33D07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24875E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center"/>
            <w:hideMark/>
          </w:tcPr>
          <w:p w14:paraId="20DEEAA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2DC6E5F"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7D82EF5A"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3253C6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8B9DE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5366AC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63AA704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CA1A7B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00ACB8A2"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r>
      <w:tr w:rsidR="00D21DD1" w14:paraId="0E48D24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7D0D56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 </w:t>
            </w:r>
          </w:p>
        </w:tc>
        <w:tc>
          <w:tcPr>
            <w:tcW w:w="218" w:type="pct"/>
            <w:tcBorders>
              <w:top w:val="nil"/>
              <w:left w:val="nil"/>
              <w:bottom w:val="single" w:sz="4" w:space="0" w:color="auto"/>
              <w:right w:val="single" w:sz="4" w:space="0" w:color="auto"/>
            </w:tcBorders>
            <w:noWrap/>
            <w:vAlign w:val="center"/>
            <w:hideMark/>
          </w:tcPr>
          <w:p w14:paraId="3198692D"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3F07AE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24AFE61B"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B1B63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C674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7AF9B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CAD23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0A2E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A5BCCD" w14:textId="77777777" w:rsidR="00D21DD1" w:rsidRDefault="00D21DD1">
            <w:pPr>
              <w:spacing w:after="0"/>
              <w:rPr>
                <w:sz w:val="20"/>
                <w:szCs w:val="20"/>
                <w:lang w:eastAsia="en-GB"/>
              </w:rPr>
            </w:pPr>
          </w:p>
        </w:tc>
      </w:tr>
      <w:tr w:rsidR="00D21DD1" w14:paraId="4A4B9CA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AB6A98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Local Government Scheme Contributions</w:t>
            </w:r>
          </w:p>
        </w:tc>
        <w:tc>
          <w:tcPr>
            <w:tcW w:w="218" w:type="pct"/>
            <w:tcBorders>
              <w:top w:val="nil"/>
              <w:left w:val="nil"/>
              <w:bottom w:val="single" w:sz="4" w:space="0" w:color="auto"/>
              <w:right w:val="single" w:sz="4" w:space="0" w:color="auto"/>
            </w:tcBorders>
            <w:noWrap/>
            <w:vAlign w:val="center"/>
            <w:hideMark/>
          </w:tcPr>
          <w:p w14:paraId="6C9391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443" w:type="pct"/>
            <w:tcBorders>
              <w:top w:val="nil"/>
              <w:left w:val="nil"/>
              <w:bottom w:val="single" w:sz="4" w:space="0" w:color="auto"/>
              <w:right w:val="single" w:sz="4" w:space="0" w:color="auto"/>
            </w:tcBorders>
            <w:noWrap/>
            <w:vAlign w:val="bottom"/>
            <w:hideMark/>
          </w:tcPr>
          <w:p w14:paraId="7439A28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01/11/21</w:t>
            </w:r>
          </w:p>
        </w:tc>
        <w:tc>
          <w:tcPr>
            <w:tcW w:w="340" w:type="pct"/>
            <w:tcBorders>
              <w:top w:val="nil"/>
              <w:left w:val="nil"/>
              <w:bottom w:val="single" w:sz="4" w:space="0" w:color="auto"/>
              <w:right w:val="single" w:sz="4" w:space="0" w:color="auto"/>
            </w:tcBorders>
            <w:noWrap/>
            <w:vAlign w:val="center"/>
            <w:hideMark/>
          </w:tcPr>
          <w:p w14:paraId="621C8BA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7C27511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0B5E2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73C139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6C8769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7AB74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D51321" w14:textId="77777777" w:rsidR="00D21DD1" w:rsidRDefault="00D21DD1">
            <w:pPr>
              <w:spacing w:after="0"/>
              <w:rPr>
                <w:sz w:val="20"/>
                <w:szCs w:val="20"/>
                <w:lang w:eastAsia="en-GB"/>
              </w:rPr>
            </w:pPr>
          </w:p>
        </w:tc>
      </w:tr>
      <w:tr w:rsidR="00D21DD1" w14:paraId="0D1D328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1C566F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New Pensions and Lump Sums - WYPF</w:t>
            </w:r>
          </w:p>
        </w:tc>
        <w:tc>
          <w:tcPr>
            <w:tcW w:w="218" w:type="pct"/>
            <w:tcBorders>
              <w:top w:val="nil"/>
              <w:left w:val="nil"/>
              <w:bottom w:val="single" w:sz="4" w:space="0" w:color="auto"/>
              <w:right w:val="single" w:sz="4" w:space="0" w:color="auto"/>
            </w:tcBorders>
            <w:noWrap/>
            <w:vAlign w:val="center"/>
            <w:hideMark/>
          </w:tcPr>
          <w:p w14:paraId="1D0C09B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1DC9DB8"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379B948E"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center"/>
            <w:hideMark/>
          </w:tcPr>
          <w:p w14:paraId="669ED70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6AC71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07BBD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1FB7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DDD0B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9CA2C5" w14:textId="77777777" w:rsidR="00D21DD1" w:rsidRDefault="00D21DD1">
            <w:pPr>
              <w:spacing w:after="0"/>
              <w:rPr>
                <w:sz w:val="20"/>
                <w:szCs w:val="20"/>
                <w:lang w:eastAsia="en-GB"/>
              </w:rPr>
            </w:pPr>
          </w:p>
        </w:tc>
      </w:tr>
      <w:tr w:rsidR="00D21DD1" w14:paraId="3224DE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27A85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07259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DE3C7F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09/10/19</w:t>
            </w:r>
          </w:p>
        </w:tc>
        <w:tc>
          <w:tcPr>
            <w:tcW w:w="340" w:type="pct"/>
            <w:tcBorders>
              <w:top w:val="nil"/>
              <w:left w:val="nil"/>
              <w:bottom w:val="single" w:sz="4" w:space="0" w:color="auto"/>
              <w:right w:val="single" w:sz="4" w:space="0" w:color="auto"/>
            </w:tcBorders>
            <w:noWrap/>
            <w:vAlign w:val="center"/>
            <w:hideMark/>
          </w:tcPr>
          <w:p w14:paraId="567B9E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center"/>
            <w:hideMark/>
          </w:tcPr>
          <w:p w14:paraId="5F826E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9E7F51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2B13FE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4ED59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094781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ACFD4D6" w14:textId="77777777" w:rsidR="00D21DD1" w:rsidRDefault="00D21DD1">
            <w:pPr>
              <w:rPr>
                <w:rFonts w:ascii="Wingdings" w:eastAsia="Times New Roman" w:hAnsi="Wingdings" w:cs="Arial"/>
                <w:b/>
                <w:bCs/>
                <w:lang w:eastAsia="en-GB"/>
              </w:rPr>
            </w:pPr>
          </w:p>
        </w:tc>
      </w:tr>
      <w:tr w:rsidR="00D21DD1" w14:paraId="3229A3E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B72D6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Death in Service, Post Retirement Widow and Dependent Benefits</w:t>
            </w:r>
          </w:p>
        </w:tc>
        <w:tc>
          <w:tcPr>
            <w:tcW w:w="218" w:type="pct"/>
            <w:tcBorders>
              <w:top w:val="nil"/>
              <w:left w:val="nil"/>
              <w:bottom w:val="single" w:sz="4" w:space="0" w:color="auto"/>
              <w:right w:val="single" w:sz="4" w:space="0" w:color="auto"/>
            </w:tcBorders>
            <w:noWrap/>
            <w:vAlign w:val="center"/>
            <w:hideMark/>
          </w:tcPr>
          <w:p w14:paraId="0F9D87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95142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08/10/21</w:t>
            </w:r>
          </w:p>
        </w:tc>
        <w:tc>
          <w:tcPr>
            <w:tcW w:w="340" w:type="pct"/>
            <w:tcBorders>
              <w:top w:val="nil"/>
              <w:left w:val="nil"/>
              <w:bottom w:val="single" w:sz="4" w:space="0" w:color="auto"/>
              <w:right w:val="single" w:sz="4" w:space="0" w:color="auto"/>
            </w:tcBorders>
            <w:noWrap/>
            <w:vAlign w:val="center"/>
            <w:hideMark/>
          </w:tcPr>
          <w:p w14:paraId="2D7F5B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9E5117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33DBDA4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451735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C1B3A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15131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8A068A" w14:textId="77777777" w:rsidR="00D21DD1" w:rsidRDefault="00D21DD1">
            <w:pPr>
              <w:spacing w:after="0"/>
              <w:rPr>
                <w:sz w:val="20"/>
                <w:szCs w:val="20"/>
                <w:lang w:eastAsia="en-GB"/>
              </w:rPr>
            </w:pPr>
          </w:p>
        </w:tc>
      </w:tr>
      <w:tr w:rsidR="00D21DD1" w14:paraId="689E313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282224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Pensions</w:t>
            </w:r>
          </w:p>
        </w:tc>
        <w:tc>
          <w:tcPr>
            <w:tcW w:w="218" w:type="pct"/>
            <w:tcBorders>
              <w:top w:val="nil"/>
              <w:left w:val="nil"/>
              <w:bottom w:val="single" w:sz="4" w:space="0" w:color="auto"/>
              <w:right w:val="single" w:sz="4" w:space="0" w:color="auto"/>
            </w:tcBorders>
            <w:noWrap/>
            <w:vAlign w:val="center"/>
            <w:hideMark/>
          </w:tcPr>
          <w:p w14:paraId="556A92B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48BD09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11/07/23</w:t>
            </w:r>
          </w:p>
        </w:tc>
        <w:tc>
          <w:tcPr>
            <w:tcW w:w="340" w:type="pct"/>
            <w:tcBorders>
              <w:top w:val="nil"/>
              <w:left w:val="nil"/>
              <w:bottom w:val="single" w:sz="4" w:space="0" w:color="auto"/>
              <w:right w:val="single" w:sz="4" w:space="0" w:color="auto"/>
            </w:tcBorders>
            <w:noWrap/>
            <w:vAlign w:val="center"/>
            <w:hideMark/>
          </w:tcPr>
          <w:p w14:paraId="32CE65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307C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C0814A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D0CBF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D1B8F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5529C7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D49F08E" w14:textId="77777777" w:rsidR="00D21DD1" w:rsidRDefault="00D21DD1">
            <w:pPr>
              <w:rPr>
                <w:rFonts w:ascii="Wingdings" w:eastAsia="Times New Roman" w:hAnsi="Wingdings" w:cs="Arial"/>
                <w:b/>
                <w:bCs/>
                <w:lang w:eastAsia="en-GB"/>
              </w:rPr>
            </w:pPr>
          </w:p>
        </w:tc>
      </w:tr>
      <w:tr w:rsidR="00D21DD1" w14:paraId="261F884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28BE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Flexible Retirements</w:t>
            </w:r>
          </w:p>
        </w:tc>
        <w:tc>
          <w:tcPr>
            <w:tcW w:w="218" w:type="pct"/>
            <w:tcBorders>
              <w:top w:val="nil"/>
              <w:left w:val="nil"/>
              <w:bottom w:val="single" w:sz="4" w:space="0" w:color="auto"/>
              <w:right w:val="single" w:sz="4" w:space="0" w:color="auto"/>
            </w:tcBorders>
            <w:noWrap/>
            <w:vAlign w:val="center"/>
            <w:hideMark/>
          </w:tcPr>
          <w:p w14:paraId="034D17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F8A438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30/11/20</w:t>
            </w:r>
          </w:p>
        </w:tc>
        <w:tc>
          <w:tcPr>
            <w:tcW w:w="340" w:type="pct"/>
            <w:tcBorders>
              <w:top w:val="nil"/>
              <w:left w:val="nil"/>
              <w:bottom w:val="single" w:sz="4" w:space="0" w:color="auto"/>
              <w:right w:val="single" w:sz="4" w:space="0" w:color="auto"/>
            </w:tcBorders>
            <w:noWrap/>
            <w:vAlign w:val="center"/>
            <w:hideMark/>
          </w:tcPr>
          <w:p w14:paraId="364DE30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650B18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75AA41C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FAA05D9"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8AF23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E780A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93E4D12" w14:textId="77777777" w:rsidR="00D21DD1" w:rsidRDefault="00D21DD1">
            <w:pPr>
              <w:spacing w:after="0"/>
              <w:rPr>
                <w:sz w:val="20"/>
                <w:szCs w:val="20"/>
                <w:lang w:eastAsia="en-GB"/>
              </w:rPr>
            </w:pPr>
          </w:p>
        </w:tc>
      </w:tr>
      <w:tr w:rsidR="00D21DD1" w14:paraId="69CC60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2BCC6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3F2604C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091D66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28/06/22</w:t>
            </w:r>
          </w:p>
        </w:tc>
        <w:tc>
          <w:tcPr>
            <w:tcW w:w="340" w:type="pct"/>
            <w:tcBorders>
              <w:top w:val="nil"/>
              <w:left w:val="nil"/>
              <w:bottom w:val="single" w:sz="4" w:space="0" w:color="auto"/>
              <w:right w:val="single" w:sz="4" w:space="0" w:color="auto"/>
            </w:tcBorders>
            <w:noWrap/>
            <w:vAlign w:val="center"/>
            <w:hideMark/>
          </w:tcPr>
          <w:p w14:paraId="65DB094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1EFFDD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8D424B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D9265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47808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1B3394"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C96A1DC" w14:textId="77777777" w:rsidR="00D21DD1" w:rsidRDefault="00D21DD1">
            <w:pPr>
              <w:spacing w:after="0"/>
              <w:rPr>
                <w:sz w:val="20"/>
                <w:szCs w:val="20"/>
                <w:lang w:eastAsia="en-GB"/>
              </w:rPr>
            </w:pPr>
          </w:p>
        </w:tc>
      </w:tr>
      <w:tr w:rsidR="00D21DD1" w14:paraId="2A6EF70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0A841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Out</w:t>
            </w:r>
          </w:p>
        </w:tc>
        <w:tc>
          <w:tcPr>
            <w:tcW w:w="218" w:type="pct"/>
            <w:tcBorders>
              <w:top w:val="nil"/>
              <w:left w:val="nil"/>
              <w:bottom w:val="single" w:sz="4" w:space="0" w:color="auto"/>
              <w:right w:val="single" w:sz="4" w:space="0" w:color="auto"/>
            </w:tcBorders>
            <w:noWrap/>
            <w:vAlign w:val="center"/>
            <w:hideMark/>
          </w:tcPr>
          <w:p w14:paraId="31E7809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93DB7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07/10/20</w:t>
            </w:r>
          </w:p>
        </w:tc>
        <w:tc>
          <w:tcPr>
            <w:tcW w:w="340" w:type="pct"/>
            <w:tcBorders>
              <w:top w:val="nil"/>
              <w:left w:val="nil"/>
              <w:bottom w:val="single" w:sz="4" w:space="0" w:color="auto"/>
              <w:right w:val="single" w:sz="4" w:space="0" w:color="auto"/>
            </w:tcBorders>
            <w:noWrap/>
            <w:vAlign w:val="center"/>
            <w:hideMark/>
          </w:tcPr>
          <w:p w14:paraId="6FC749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4B61A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BEE915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A4A8DF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355B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F0439B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0279A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EBB1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E06755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In</w:t>
            </w:r>
          </w:p>
        </w:tc>
        <w:tc>
          <w:tcPr>
            <w:tcW w:w="218" w:type="pct"/>
            <w:tcBorders>
              <w:top w:val="nil"/>
              <w:left w:val="nil"/>
              <w:bottom w:val="single" w:sz="4" w:space="0" w:color="auto"/>
              <w:right w:val="single" w:sz="4" w:space="0" w:color="auto"/>
            </w:tcBorders>
            <w:noWrap/>
            <w:vAlign w:val="center"/>
            <w:hideMark/>
          </w:tcPr>
          <w:p w14:paraId="58D1841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8C56AC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17/05/21</w:t>
            </w:r>
          </w:p>
        </w:tc>
        <w:tc>
          <w:tcPr>
            <w:tcW w:w="340" w:type="pct"/>
            <w:tcBorders>
              <w:top w:val="nil"/>
              <w:left w:val="nil"/>
              <w:bottom w:val="single" w:sz="4" w:space="0" w:color="auto"/>
              <w:right w:val="single" w:sz="4" w:space="0" w:color="auto"/>
            </w:tcBorders>
            <w:noWrap/>
            <w:vAlign w:val="center"/>
            <w:hideMark/>
          </w:tcPr>
          <w:p w14:paraId="489D466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4A1D02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EBC3F7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6DC82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962E9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084F39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78211A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5CF4DE9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3FF64F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Reimbursement of Agency Payments</w:t>
            </w:r>
          </w:p>
        </w:tc>
        <w:tc>
          <w:tcPr>
            <w:tcW w:w="218" w:type="pct"/>
            <w:tcBorders>
              <w:top w:val="nil"/>
              <w:left w:val="nil"/>
              <w:bottom w:val="single" w:sz="4" w:space="0" w:color="auto"/>
              <w:right w:val="single" w:sz="4" w:space="0" w:color="auto"/>
            </w:tcBorders>
            <w:noWrap/>
            <w:vAlign w:val="center"/>
            <w:hideMark/>
          </w:tcPr>
          <w:p w14:paraId="27D15C6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5D3B5D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10/03/23</w:t>
            </w:r>
          </w:p>
        </w:tc>
        <w:tc>
          <w:tcPr>
            <w:tcW w:w="340" w:type="pct"/>
            <w:tcBorders>
              <w:top w:val="nil"/>
              <w:left w:val="nil"/>
              <w:bottom w:val="single" w:sz="4" w:space="0" w:color="auto"/>
              <w:right w:val="single" w:sz="4" w:space="0" w:color="auto"/>
            </w:tcBorders>
            <w:noWrap/>
            <w:vAlign w:val="center"/>
            <w:hideMark/>
          </w:tcPr>
          <w:p w14:paraId="45F2BBD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C1CE15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4AFD0C29"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8C86705"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B251AC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806C8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ED1429A" w14:textId="77777777" w:rsidR="00D21DD1" w:rsidRDefault="00D21DD1">
            <w:pPr>
              <w:rPr>
                <w:rFonts w:ascii="Wingdings" w:eastAsia="Times New Roman" w:hAnsi="Wingdings" w:cs="Arial"/>
                <w:b/>
                <w:bCs/>
                <w:lang w:eastAsia="en-GB"/>
              </w:rPr>
            </w:pPr>
          </w:p>
        </w:tc>
      </w:tr>
      <w:tr w:rsidR="00D21DD1" w14:paraId="6C921DE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90B4B9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Life Existence / Certificates</w:t>
            </w:r>
          </w:p>
        </w:tc>
        <w:tc>
          <w:tcPr>
            <w:tcW w:w="218" w:type="pct"/>
            <w:tcBorders>
              <w:top w:val="nil"/>
              <w:left w:val="nil"/>
              <w:bottom w:val="single" w:sz="4" w:space="0" w:color="auto"/>
              <w:right w:val="single" w:sz="4" w:space="0" w:color="auto"/>
            </w:tcBorders>
            <w:noWrap/>
            <w:vAlign w:val="center"/>
            <w:hideMark/>
          </w:tcPr>
          <w:p w14:paraId="01600E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0B41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11/08/21</w:t>
            </w:r>
          </w:p>
        </w:tc>
        <w:tc>
          <w:tcPr>
            <w:tcW w:w="340" w:type="pct"/>
            <w:tcBorders>
              <w:top w:val="nil"/>
              <w:left w:val="nil"/>
              <w:bottom w:val="single" w:sz="4" w:space="0" w:color="auto"/>
              <w:right w:val="single" w:sz="4" w:space="0" w:color="auto"/>
            </w:tcBorders>
            <w:noWrap/>
            <w:vAlign w:val="center"/>
            <w:hideMark/>
          </w:tcPr>
          <w:p w14:paraId="13DFEE6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center"/>
            <w:hideMark/>
          </w:tcPr>
          <w:p w14:paraId="10CA0C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23D741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A9B6B9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CA7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3B52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2E7401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CC5B28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C91EA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AVC Arrangements</w:t>
            </w:r>
          </w:p>
        </w:tc>
        <w:tc>
          <w:tcPr>
            <w:tcW w:w="218" w:type="pct"/>
            <w:tcBorders>
              <w:top w:val="nil"/>
              <w:left w:val="nil"/>
              <w:bottom w:val="single" w:sz="4" w:space="0" w:color="auto"/>
              <w:right w:val="single" w:sz="4" w:space="0" w:color="auto"/>
            </w:tcBorders>
            <w:noWrap/>
            <w:vAlign w:val="center"/>
            <w:hideMark/>
          </w:tcPr>
          <w:p w14:paraId="44D2AB3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FF9D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21/12/22</w:t>
            </w:r>
          </w:p>
        </w:tc>
        <w:tc>
          <w:tcPr>
            <w:tcW w:w="340" w:type="pct"/>
            <w:tcBorders>
              <w:top w:val="nil"/>
              <w:left w:val="nil"/>
              <w:bottom w:val="single" w:sz="4" w:space="0" w:color="auto"/>
              <w:right w:val="single" w:sz="4" w:space="0" w:color="auto"/>
            </w:tcBorders>
            <w:noWrap/>
            <w:vAlign w:val="center"/>
            <w:hideMark/>
          </w:tcPr>
          <w:p w14:paraId="495756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69061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BF624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E352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7E149C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8D8172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4FC43E6" w14:textId="77777777" w:rsidR="00D21DD1" w:rsidRDefault="00D21DD1">
            <w:pPr>
              <w:spacing w:after="0"/>
              <w:rPr>
                <w:sz w:val="20"/>
                <w:szCs w:val="20"/>
                <w:lang w:eastAsia="en-GB"/>
              </w:rPr>
            </w:pPr>
          </w:p>
        </w:tc>
      </w:tr>
      <w:tr w:rsidR="00D21DD1" w14:paraId="49690AB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75E0A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Admission of New Bodies</w:t>
            </w:r>
          </w:p>
        </w:tc>
        <w:tc>
          <w:tcPr>
            <w:tcW w:w="218" w:type="pct"/>
            <w:tcBorders>
              <w:top w:val="nil"/>
              <w:left w:val="nil"/>
              <w:bottom w:val="single" w:sz="4" w:space="0" w:color="auto"/>
              <w:right w:val="single" w:sz="4" w:space="0" w:color="auto"/>
            </w:tcBorders>
            <w:noWrap/>
            <w:vAlign w:val="center"/>
            <w:hideMark/>
          </w:tcPr>
          <w:p w14:paraId="1DD52C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615B8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07/02/20</w:t>
            </w:r>
          </w:p>
        </w:tc>
        <w:tc>
          <w:tcPr>
            <w:tcW w:w="340" w:type="pct"/>
            <w:tcBorders>
              <w:top w:val="nil"/>
              <w:left w:val="nil"/>
              <w:bottom w:val="single" w:sz="4" w:space="0" w:color="auto"/>
              <w:right w:val="single" w:sz="4" w:space="0" w:color="auto"/>
            </w:tcBorders>
            <w:noWrap/>
            <w:vAlign w:val="center"/>
            <w:hideMark/>
          </w:tcPr>
          <w:p w14:paraId="5A64FEF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6F964E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45CD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9E259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8912B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A03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DF952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F8F4A7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DCD3F1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Pensioners Payroll</w:t>
            </w:r>
          </w:p>
        </w:tc>
        <w:tc>
          <w:tcPr>
            <w:tcW w:w="218" w:type="pct"/>
            <w:tcBorders>
              <w:top w:val="nil"/>
              <w:left w:val="nil"/>
              <w:bottom w:val="single" w:sz="4" w:space="0" w:color="auto"/>
              <w:right w:val="single" w:sz="4" w:space="0" w:color="auto"/>
            </w:tcBorders>
            <w:noWrap/>
            <w:vAlign w:val="center"/>
            <w:hideMark/>
          </w:tcPr>
          <w:p w14:paraId="25FA0D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04EC7CA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17/11/20</w:t>
            </w:r>
          </w:p>
        </w:tc>
        <w:tc>
          <w:tcPr>
            <w:tcW w:w="340" w:type="pct"/>
            <w:tcBorders>
              <w:top w:val="nil"/>
              <w:left w:val="nil"/>
              <w:bottom w:val="single" w:sz="4" w:space="0" w:color="auto"/>
              <w:right w:val="single" w:sz="4" w:space="0" w:color="auto"/>
            </w:tcBorders>
            <w:noWrap/>
            <w:vAlign w:val="center"/>
            <w:hideMark/>
          </w:tcPr>
          <w:p w14:paraId="7F76A00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4E52C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66F9E6A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126AF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9F28FB"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9F3DA1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B023A9C" w14:textId="77777777" w:rsidR="00D21DD1" w:rsidRDefault="00D21DD1">
            <w:pPr>
              <w:spacing w:after="0"/>
              <w:rPr>
                <w:sz w:val="20"/>
                <w:szCs w:val="20"/>
                <w:lang w:eastAsia="en-GB"/>
              </w:rPr>
            </w:pPr>
          </w:p>
        </w:tc>
      </w:tr>
      <w:tr w:rsidR="00D21DD1" w14:paraId="5AA9E43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972C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Purchase of Additional Pension</w:t>
            </w:r>
          </w:p>
        </w:tc>
        <w:tc>
          <w:tcPr>
            <w:tcW w:w="218" w:type="pct"/>
            <w:tcBorders>
              <w:top w:val="nil"/>
              <w:left w:val="nil"/>
              <w:bottom w:val="single" w:sz="4" w:space="0" w:color="auto"/>
              <w:right w:val="single" w:sz="4" w:space="0" w:color="auto"/>
            </w:tcBorders>
            <w:noWrap/>
            <w:vAlign w:val="center"/>
            <w:hideMark/>
          </w:tcPr>
          <w:p w14:paraId="4C242BC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2AF7C8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29/03/22</w:t>
            </w:r>
          </w:p>
        </w:tc>
        <w:tc>
          <w:tcPr>
            <w:tcW w:w="340" w:type="pct"/>
            <w:tcBorders>
              <w:top w:val="nil"/>
              <w:left w:val="nil"/>
              <w:bottom w:val="single" w:sz="4" w:space="0" w:color="auto"/>
              <w:right w:val="single" w:sz="4" w:space="0" w:color="auto"/>
            </w:tcBorders>
            <w:noWrap/>
            <w:vAlign w:val="center"/>
            <w:hideMark/>
          </w:tcPr>
          <w:p w14:paraId="414A2D9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5C340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E7B843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38CE72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F8BEE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64694B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CC48833" w14:textId="77777777" w:rsidR="00D21DD1" w:rsidRDefault="00D21DD1">
            <w:pPr>
              <w:spacing w:after="0"/>
              <w:rPr>
                <w:sz w:val="20"/>
                <w:szCs w:val="20"/>
                <w:lang w:eastAsia="en-GB"/>
              </w:rPr>
            </w:pPr>
          </w:p>
        </w:tc>
      </w:tr>
      <w:tr w:rsidR="00D21DD1" w14:paraId="108B968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2A4199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Benefits Statements</w:t>
            </w:r>
          </w:p>
        </w:tc>
        <w:tc>
          <w:tcPr>
            <w:tcW w:w="218" w:type="pct"/>
            <w:tcBorders>
              <w:top w:val="nil"/>
              <w:left w:val="nil"/>
              <w:bottom w:val="single" w:sz="4" w:space="0" w:color="auto"/>
              <w:right w:val="single" w:sz="4" w:space="0" w:color="auto"/>
            </w:tcBorders>
            <w:noWrap/>
            <w:vAlign w:val="center"/>
            <w:hideMark/>
          </w:tcPr>
          <w:p w14:paraId="2C75D3D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3F4D15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30/09/22</w:t>
            </w:r>
          </w:p>
        </w:tc>
        <w:tc>
          <w:tcPr>
            <w:tcW w:w="340" w:type="pct"/>
            <w:tcBorders>
              <w:top w:val="nil"/>
              <w:left w:val="nil"/>
              <w:bottom w:val="single" w:sz="4" w:space="0" w:color="auto"/>
              <w:right w:val="single" w:sz="4" w:space="0" w:color="auto"/>
            </w:tcBorders>
            <w:noWrap/>
            <w:vAlign w:val="center"/>
            <w:hideMark/>
          </w:tcPr>
          <w:p w14:paraId="0B40C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021A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40</w:t>
            </w:r>
          </w:p>
        </w:tc>
        <w:tc>
          <w:tcPr>
            <w:tcW w:w="279" w:type="pct"/>
            <w:tcBorders>
              <w:top w:val="nil"/>
              <w:left w:val="nil"/>
              <w:bottom w:val="single" w:sz="4" w:space="0" w:color="auto"/>
              <w:right w:val="single" w:sz="4" w:space="0" w:color="auto"/>
            </w:tcBorders>
            <w:noWrap/>
            <w:vAlign w:val="bottom"/>
            <w:hideMark/>
          </w:tcPr>
          <w:p w14:paraId="371322F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4307E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6BED6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E7F76F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B02ABF4" w14:textId="77777777" w:rsidR="00D21DD1" w:rsidRDefault="00D21DD1">
            <w:pPr>
              <w:rPr>
                <w:rFonts w:ascii="Wingdings" w:eastAsia="Times New Roman" w:hAnsi="Wingdings" w:cs="Arial"/>
                <w:b/>
                <w:bCs/>
                <w:lang w:eastAsia="en-GB"/>
              </w:rPr>
            </w:pPr>
          </w:p>
        </w:tc>
      </w:tr>
      <w:tr w:rsidR="00D21DD1" w14:paraId="3975A87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61A2ED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Fire Service New Pensions and Lump Sums</w:t>
            </w:r>
          </w:p>
        </w:tc>
        <w:tc>
          <w:tcPr>
            <w:tcW w:w="218" w:type="pct"/>
            <w:tcBorders>
              <w:top w:val="nil"/>
              <w:left w:val="nil"/>
              <w:bottom w:val="single" w:sz="4" w:space="0" w:color="auto"/>
              <w:right w:val="single" w:sz="4" w:space="0" w:color="auto"/>
            </w:tcBorders>
            <w:noWrap/>
            <w:vAlign w:val="center"/>
            <w:hideMark/>
          </w:tcPr>
          <w:p w14:paraId="4584466C" w14:textId="77777777" w:rsidR="00D21DD1" w:rsidRDefault="00D21DD1">
            <w:pPr>
              <w:rPr>
                <w:rFonts w:ascii="Arial" w:eastAsia="Times New Roman" w:hAnsi="Arial" w:cs="Arial"/>
                <w:lang w:eastAsia="en-GB"/>
              </w:rPr>
            </w:pPr>
          </w:p>
        </w:tc>
        <w:tc>
          <w:tcPr>
            <w:tcW w:w="443" w:type="pct"/>
            <w:noWrap/>
            <w:vAlign w:val="bottom"/>
            <w:hideMark/>
          </w:tcPr>
          <w:p w14:paraId="7E8E8648" w14:textId="77777777" w:rsidR="00D21DD1" w:rsidRDefault="00D21DD1">
            <w:pPr>
              <w:spacing w:after="0"/>
              <w:rPr>
                <w:sz w:val="20"/>
                <w:szCs w:val="20"/>
                <w:lang w:eastAsia="en-GB"/>
              </w:rPr>
            </w:pPr>
          </w:p>
        </w:tc>
        <w:tc>
          <w:tcPr>
            <w:tcW w:w="340" w:type="pct"/>
            <w:tcBorders>
              <w:top w:val="nil"/>
              <w:left w:val="single" w:sz="4" w:space="0" w:color="auto"/>
              <w:bottom w:val="single" w:sz="4" w:space="0" w:color="auto"/>
              <w:right w:val="single" w:sz="4" w:space="0" w:color="auto"/>
            </w:tcBorders>
            <w:noWrap/>
            <w:vAlign w:val="center"/>
            <w:hideMark/>
          </w:tcPr>
          <w:p w14:paraId="3CC26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noWrap/>
            <w:vAlign w:val="bottom"/>
            <w:hideMark/>
          </w:tcPr>
          <w:p w14:paraId="099C09AD" w14:textId="77777777" w:rsidR="00D21DD1" w:rsidRDefault="00D21DD1">
            <w:pPr>
              <w:rPr>
                <w:rFonts w:ascii="Arial" w:eastAsia="Times New Roman" w:hAnsi="Arial" w:cs="Arial"/>
                <w:lang w:eastAsia="en-GB"/>
              </w:rPr>
            </w:pPr>
          </w:p>
        </w:tc>
        <w:tc>
          <w:tcPr>
            <w:tcW w:w="279" w:type="pct"/>
            <w:tcBorders>
              <w:top w:val="nil"/>
              <w:left w:val="single" w:sz="4" w:space="0" w:color="auto"/>
              <w:bottom w:val="single" w:sz="4" w:space="0" w:color="auto"/>
              <w:right w:val="single" w:sz="4" w:space="0" w:color="auto"/>
            </w:tcBorders>
            <w:noWrap/>
            <w:vAlign w:val="bottom"/>
            <w:hideMark/>
          </w:tcPr>
          <w:p w14:paraId="422BE00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83D5C0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FF83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704FD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33144" w14:textId="77777777" w:rsidR="00D21DD1" w:rsidRDefault="00D21DD1">
            <w:pPr>
              <w:spacing w:after="0"/>
              <w:rPr>
                <w:sz w:val="20"/>
                <w:szCs w:val="20"/>
                <w:lang w:eastAsia="en-GB"/>
              </w:rPr>
            </w:pPr>
          </w:p>
        </w:tc>
      </w:tr>
      <w:tr w:rsidR="00D21DD1" w14:paraId="0393B2E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1CD926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675A4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single" w:sz="4" w:space="0" w:color="auto"/>
              <w:left w:val="nil"/>
              <w:bottom w:val="single" w:sz="4" w:space="0" w:color="auto"/>
              <w:right w:val="single" w:sz="4" w:space="0" w:color="auto"/>
            </w:tcBorders>
            <w:noWrap/>
            <w:vAlign w:val="bottom"/>
            <w:hideMark/>
          </w:tcPr>
          <w:p w14:paraId="1A3B4A0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17/12/20</w:t>
            </w:r>
          </w:p>
        </w:tc>
        <w:tc>
          <w:tcPr>
            <w:tcW w:w="340" w:type="pct"/>
            <w:tcBorders>
              <w:top w:val="nil"/>
              <w:left w:val="nil"/>
              <w:bottom w:val="single" w:sz="4" w:space="0" w:color="auto"/>
              <w:right w:val="single" w:sz="4" w:space="0" w:color="auto"/>
            </w:tcBorders>
            <w:noWrap/>
            <w:vAlign w:val="center"/>
            <w:hideMark/>
          </w:tcPr>
          <w:p w14:paraId="6F94C0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single" w:sz="4" w:space="0" w:color="auto"/>
              <w:left w:val="nil"/>
              <w:bottom w:val="single" w:sz="4" w:space="0" w:color="auto"/>
              <w:right w:val="single" w:sz="4" w:space="0" w:color="auto"/>
            </w:tcBorders>
            <w:noWrap/>
            <w:vAlign w:val="center"/>
            <w:hideMark/>
          </w:tcPr>
          <w:p w14:paraId="38A5BD3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49585DEA"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E17B4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E7AFC15"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F2584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D47B91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FE79E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43B0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and Death Benefits</w:t>
            </w:r>
          </w:p>
        </w:tc>
        <w:tc>
          <w:tcPr>
            <w:tcW w:w="218" w:type="pct"/>
            <w:tcBorders>
              <w:top w:val="nil"/>
              <w:left w:val="nil"/>
              <w:bottom w:val="single" w:sz="4" w:space="0" w:color="auto"/>
              <w:right w:val="single" w:sz="4" w:space="0" w:color="auto"/>
            </w:tcBorders>
            <w:noWrap/>
            <w:vAlign w:val="center"/>
            <w:hideMark/>
          </w:tcPr>
          <w:p w14:paraId="43E52A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498E535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23/06/22</w:t>
            </w:r>
          </w:p>
        </w:tc>
        <w:tc>
          <w:tcPr>
            <w:tcW w:w="340" w:type="pct"/>
            <w:tcBorders>
              <w:top w:val="nil"/>
              <w:left w:val="nil"/>
              <w:bottom w:val="single" w:sz="4" w:space="0" w:color="auto"/>
              <w:right w:val="single" w:sz="4" w:space="0" w:color="auto"/>
            </w:tcBorders>
            <w:noWrap/>
            <w:vAlign w:val="center"/>
            <w:hideMark/>
          </w:tcPr>
          <w:p w14:paraId="7420D7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2AFEC6D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0B1FDC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06D7B1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317655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97817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64F6BC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0FE2569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3A6EE8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061985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1C1FFB37" w14:textId="77777777" w:rsidR="00D21DD1" w:rsidRDefault="00D21DD1">
            <w:pPr>
              <w:rPr>
                <w:rFonts w:ascii="Arial" w:eastAsia="Times New Roman" w:hAnsi="Arial" w:cs="Arial"/>
                <w:lang w:eastAsia="en-GB"/>
              </w:rPr>
            </w:pPr>
          </w:p>
        </w:tc>
        <w:tc>
          <w:tcPr>
            <w:tcW w:w="340" w:type="pct"/>
            <w:tcBorders>
              <w:top w:val="nil"/>
              <w:left w:val="nil"/>
              <w:bottom w:val="single" w:sz="4" w:space="0" w:color="auto"/>
              <w:right w:val="single" w:sz="4" w:space="0" w:color="auto"/>
            </w:tcBorders>
            <w:noWrap/>
            <w:vAlign w:val="center"/>
            <w:hideMark/>
          </w:tcPr>
          <w:p w14:paraId="11F5404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8B0A33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7B72354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7726C0F"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BA86D1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76EE06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3A4AF34" w14:textId="77777777" w:rsidR="00D21DD1" w:rsidRDefault="00D21DD1">
            <w:pPr>
              <w:rPr>
                <w:rFonts w:ascii="Wingdings" w:eastAsia="Times New Roman" w:hAnsi="Wingdings" w:cs="Arial"/>
                <w:b/>
                <w:bCs/>
                <w:lang w:eastAsia="en-GB"/>
              </w:rPr>
            </w:pPr>
          </w:p>
        </w:tc>
      </w:tr>
      <w:tr w:rsidR="00D21DD1" w14:paraId="005D15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211D65"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0671A887"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515AE7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277CB757"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69239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BD8C7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1CC22F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60B6A07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59370C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2FF90C6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r>
      <w:tr w:rsidR="00D21DD1" w14:paraId="33F9B43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E161E7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019A813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F5ACFC2"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9E10FC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4A2786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5B3A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EEF5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57889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E1F02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A49BCC" w14:textId="77777777" w:rsidR="00D21DD1" w:rsidRDefault="00D21DD1">
            <w:pPr>
              <w:spacing w:after="0"/>
              <w:rPr>
                <w:sz w:val="20"/>
                <w:szCs w:val="20"/>
                <w:lang w:eastAsia="en-GB"/>
              </w:rPr>
            </w:pPr>
          </w:p>
        </w:tc>
      </w:tr>
      <w:tr w:rsidR="00D21DD1" w14:paraId="6D64F13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83199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Equities</w:t>
            </w:r>
          </w:p>
        </w:tc>
        <w:tc>
          <w:tcPr>
            <w:tcW w:w="218" w:type="pct"/>
            <w:tcBorders>
              <w:top w:val="nil"/>
              <w:left w:val="nil"/>
              <w:bottom w:val="single" w:sz="4" w:space="0" w:color="auto"/>
              <w:right w:val="single" w:sz="4" w:space="0" w:color="auto"/>
            </w:tcBorders>
            <w:noWrap/>
            <w:vAlign w:val="bottom"/>
            <w:hideMark/>
          </w:tcPr>
          <w:p w14:paraId="7979828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4590881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01/02/23</w:t>
            </w:r>
          </w:p>
        </w:tc>
        <w:tc>
          <w:tcPr>
            <w:tcW w:w="340" w:type="pct"/>
            <w:tcBorders>
              <w:top w:val="nil"/>
              <w:left w:val="nil"/>
              <w:bottom w:val="single" w:sz="4" w:space="0" w:color="auto"/>
              <w:right w:val="single" w:sz="4" w:space="0" w:color="auto"/>
            </w:tcBorders>
            <w:noWrap/>
            <w:vAlign w:val="bottom"/>
            <w:hideMark/>
          </w:tcPr>
          <w:p w14:paraId="54C1FD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3114B6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029BFFD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5B355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BEA442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5469F5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15C4F8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6660E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5F99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Fixed and Index Linked Public and Corporate Bonds</w:t>
            </w:r>
          </w:p>
        </w:tc>
        <w:tc>
          <w:tcPr>
            <w:tcW w:w="218" w:type="pct"/>
            <w:tcBorders>
              <w:top w:val="nil"/>
              <w:left w:val="nil"/>
              <w:bottom w:val="single" w:sz="4" w:space="0" w:color="auto"/>
              <w:right w:val="single" w:sz="4" w:space="0" w:color="auto"/>
            </w:tcBorders>
            <w:noWrap/>
            <w:vAlign w:val="bottom"/>
            <w:hideMark/>
          </w:tcPr>
          <w:p w14:paraId="32C5A5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36F97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18/08/22</w:t>
            </w:r>
          </w:p>
        </w:tc>
        <w:tc>
          <w:tcPr>
            <w:tcW w:w="340" w:type="pct"/>
            <w:tcBorders>
              <w:top w:val="nil"/>
              <w:left w:val="nil"/>
              <w:bottom w:val="single" w:sz="4" w:space="0" w:color="auto"/>
              <w:right w:val="single" w:sz="4" w:space="0" w:color="auto"/>
            </w:tcBorders>
            <w:noWrap/>
            <w:vAlign w:val="bottom"/>
            <w:hideMark/>
          </w:tcPr>
          <w:p w14:paraId="4B0D78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5EC7A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C4740F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49325A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C1787A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DBBD64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A19307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B60DD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9FBB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Unit Trusts (Property and Other)</w:t>
            </w:r>
          </w:p>
        </w:tc>
        <w:tc>
          <w:tcPr>
            <w:tcW w:w="218" w:type="pct"/>
            <w:tcBorders>
              <w:top w:val="nil"/>
              <w:left w:val="nil"/>
              <w:bottom w:val="single" w:sz="4" w:space="0" w:color="auto"/>
              <w:right w:val="single" w:sz="4" w:space="0" w:color="auto"/>
            </w:tcBorders>
            <w:noWrap/>
            <w:vAlign w:val="bottom"/>
            <w:hideMark/>
          </w:tcPr>
          <w:p w14:paraId="7FF88C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7D2551C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06/02/23</w:t>
            </w:r>
          </w:p>
        </w:tc>
        <w:tc>
          <w:tcPr>
            <w:tcW w:w="340" w:type="pct"/>
            <w:tcBorders>
              <w:top w:val="nil"/>
              <w:left w:val="nil"/>
              <w:bottom w:val="single" w:sz="4" w:space="0" w:color="auto"/>
              <w:right w:val="single" w:sz="4" w:space="0" w:color="auto"/>
            </w:tcBorders>
            <w:noWrap/>
            <w:vAlign w:val="bottom"/>
            <w:hideMark/>
          </w:tcPr>
          <w:p w14:paraId="1BBE9C7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7A84D64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51DF86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CE61E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D8EAB6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551F87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5BE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1B653C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25D04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Fund of Hedge Funds</w:t>
            </w:r>
          </w:p>
        </w:tc>
        <w:tc>
          <w:tcPr>
            <w:tcW w:w="218" w:type="pct"/>
            <w:tcBorders>
              <w:top w:val="nil"/>
              <w:left w:val="nil"/>
              <w:bottom w:val="single" w:sz="4" w:space="0" w:color="auto"/>
              <w:right w:val="single" w:sz="4" w:space="0" w:color="auto"/>
            </w:tcBorders>
            <w:noWrap/>
            <w:vAlign w:val="bottom"/>
            <w:hideMark/>
          </w:tcPr>
          <w:p w14:paraId="3BB3183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B5D9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09/06/16</w:t>
            </w:r>
          </w:p>
        </w:tc>
        <w:tc>
          <w:tcPr>
            <w:tcW w:w="340" w:type="pct"/>
            <w:tcBorders>
              <w:top w:val="nil"/>
              <w:left w:val="nil"/>
              <w:bottom w:val="single" w:sz="4" w:space="0" w:color="auto"/>
              <w:right w:val="single" w:sz="4" w:space="0" w:color="auto"/>
            </w:tcBorders>
            <w:noWrap/>
            <w:vAlign w:val="bottom"/>
            <w:hideMark/>
          </w:tcPr>
          <w:p w14:paraId="3B55332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4E9807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96C687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EF19D6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2FC33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1611688"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4AA3B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9A669B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ABA012B"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Private Equities</w:t>
            </w:r>
          </w:p>
        </w:tc>
        <w:tc>
          <w:tcPr>
            <w:tcW w:w="218" w:type="pct"/>
            <w:tcBorders>
              <w:top w:val="nil"/>
              <w:left w:val="nil"/>
              <w:bottom w:val="single" w:sz="4" w:space="0" w:color="auto"/>
              <w:right w:val="single" w:sz="4" w:space="0" w:color="auto"/>
            </w:tcBorders>
            <w:noWrap/>
            <w:vAlign w:val="bottom"/>
            <w:hideMark/>
          </w:tcPr>
          <w:p w14:paraId="3CCBA7B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BEDC9D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31/03/22</w:t>
            </w:r>
          </w:p>
        </w:tc>
        <w:tc>
          <w:tcPr>
            <w:tcW w:w="340" w:type="pct"/>
            <w:tcBorders>
              <w:top w:val="nil"/>
              <w:left w:val="nil"/>
              <w:bottom w:val="single" w:sz="4" w:space="0" w:color="auto"/>
              <w:right w:val="single" w:sz="4" w:space="0" w:color="auto"/>
            </w:tcBorders>
            <w:noWrap/>
            <w:vAlign w:val="bottom"/>
            <w:hideMark/>
          </w:tcPr>
          <w:p w14:paraId="1C64CC9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620A93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ADAC73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6195F1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12A6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8A57F3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00E8F91" w14:textId="77777777" w:rsidR="00D21DD1" w:rsidRDefault="00D21DD1">
            <w:pPr>
              <w:rPr>
                <w:rFonts w:ascii="Wingdings" w:eastAsia="Times New Roman" w:hAnsi="Wingdings" w:cs="Arial"/>
                <w:b/>
                <w:bCs/>
                <w:lang w:eastAsia="en-GB"/>
              </w:rPr>
            </w:pPr>
          </w:p>
        </w:tc>
      </w:tr>
      <w:tr w:rsidR="00D21DD1" w14:paraId="3973092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31981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Global Bonds</w:t>
            </w:r>
          </w:p>
        </w:tc>
        <w:tc>
          <w:tcPr>
            <w:tcW w:w="218" w:type="pct"/>
            <w:tcBorders>
              <w:top w:val="nil"/>
              <w:left w:val="nil"/>
              <w:bottom w:val="single" w:sz="4" w:space="0" w:color="auto"/>
              <w:right w:val="single" w:sz="4" w:space="0" w:color="auto"/>
            </w:tcBorders>
            <w:noWrap/>
            <w:vAlign w:val="bottom"/>
            <w:hideMark/>
          </w:tcPr>
          <w:p w14:paraId="49A4C70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17450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11/12/18</w:t>
            </w:r>
          </w:p>
        </w:tc>
        <w:tc>
          <w:tcPr>
            <w:tcW w:w="340" w:type="pct"/>
            <w:tcBorders>
              <w:top w:val="nil"/>
              <w:left w:val="nil"/>
              <w:bottom w:val="single" w:sz="4" w:space="0" w:color="auto"/>
              <w:right w:val="single" w:sz="4" w:space="0" w:color="auto"/>
            </w:tcBorders>
            <w:noWrap/>
            <w:vAlign w:val="bottom"/>
            <w:hideMark/>
          </w:tcPr>
          <w:p w14:paraId="7640389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18C855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82C6A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C0C2FD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A941AE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D8FAE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51ECB88" w14:textId="77777777" w:rsidR="00D21DD1" w:rsidRDefault="00D21DD1">
            <w:pPr>
              <w:spacing w:after="0"/>
              <w:rPr>
                <w:sz w:val="20"/>
                <w:szCs w:val="20"/>
                <w:lang w:eastAsia="en-GB"/>
              </w:rPr>
            </w:pPr>
          </w:p>
        </w:tc>
      </w:tr>
      <w:tr w:rsidR="00D21DD1" w14:paraId="080F48F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331AF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Treasury Management (Short Term Cash Lending)</w:t>
            </w:r>
          </w:p>
        </w:tc>
        <w:tc>
          <w:tcPr>
            <w:tcW w:w="218" w:type="pct"/>
            <w:tcBorders>
              <w:top w:val="nil"/>
              <w:left w:val="nil"/>
              <w:bottom w:val="single" w:sz="4" w:space="0" w:color="auto"/>
              <w:right w:val="single" w:sz="4" w:space="0" w:color="auto"/>
            </w:tcBorders>
            <w:noWrap/>
            <w:vAlign w:val="bottom"/>
            <w:hideMark/>
          </w:tcPr>
          <w:p w14:paraId="7C9E9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6BB982F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18/12/22</w:t>
            </w:r>
          </w:p>
        </w:tc>
        <w:tc>
          <w:tcPr>
            <w:tcW w:w="340" w:type="pct"/>
            <w:tcBorders>
              <w:top w:val="nil"/>
              <w:left w:val="nil"/>
              <w:bottom w:val="single" w:sz="4" w:space="0" w:color="auto"/>
              <w:right w:val="single" w:sz="4" w:space="0" w:color="auto"/>
            </w:tcBorders>
            <w:noWrap/>
            <w:vAlign w:val="bottom"/>
            <w:hideMark/>
          </w:tcPr>
          <w:p w14:paraId="46E2000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287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1652D6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303CB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3A9713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9C5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2DA9EE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DA573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D6F941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lastRenderedPageBreak/>
              <w:t>Stock Lending</w:t>
            </w:r>
          </w:p>
        </w:tc>
        <w:tc>
          <w:tcPr>
            <w:tcW w:w="218" w:type="pct"/>
            <w:tcBorders>
              <w:top w:val="nil"/>
              <w:left w:val="nil"/>
              <w:bottom w:val="single" w:sz="4" w:space="0" w:color="auto"/>
              <w:right w:val="single" w:sz="4" w:space="0" w:color="auto"/>
            </w:tcBorders>
            <w:noWrap/>
            <w:vAlign w:val="bottom"/>
            <w:hideMark/>
          </w:tcPr>
          <w:p w14:paraId="4C90CDB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A31728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24/11/21</w:t>
            </w:r>
          </w:p>
        </w:tc>
        <w:tc>
          <w:tcPr>
            <w:tcW w:w="340" w:type="pct"/>
            <w:tcBorders>
              <w:top w:val="nil"/>
              <w:left w:val="nil"/>
              <w:bottom w:val="single" w:sz="4" w:space="0" w:color="auto"/>
              <w:right w:val="single" w:sz="4" w:space="0" w:color="auto"/>
            </w:tcBorders>
            <w:noWrap/>
            <w:vAlign w:val="bottom"/>
            <w:hideMark/>
          </w:tcPr>
          <w:p w14:paraId="060449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6D75B8B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3C6D3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136D94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03A7420"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D85C8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071ED32" w14:textId="77777777" w:rsidR="00D21DD1" w:rsidRDefault="00D21DD1">
            <w:pPr>
              <w:rPr>
                <w:rFonts w:ascii="Wingdings" w:eastAsia="Times New Roman" w:hAnsi="Wingdings" w:cs="Arial"/>
                <w:b/>
                <w:bCs/>
                <w:lang w:eastAsia="en-GB"/>
              </w:rPr>
            </w:pPr>
          </w:p>
        </w:tc>
      </w:tr>
      <w:tr w:rsidR="00D21DD1" w14:paraId="3D2FD4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F4900E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Compliance with IAP Investment Decisions and Policies</w:t>
            </w:r>
          </w:p>
        </w:tc>
        <w:tc>
          <w:tcPr>
            <w:tcW w:w="218" w:type="pct"/>
            <w:tcBorders>
              <w:top w:val="nil"/>
              <w:left w:val="nil"/>
              <w:bottom w:val="single" w:sz="4" w:space="0" w:color="auto"/>
              <w:right w:val="single" w:sz="4" w:space="0" w:color="auto"/>
            </w:tcBorders>
            <w:noWrap/>
            <w:vAlign w:val="bottom"/>
            <w:hideMark/>
          </w:tcPr>
          <w:p w14:paraId="2EB4405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413FEE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22/02/21</w:t>
            </w:r>
          </w:p>
        </w:tc>
        <w:tc>
          <w:tcPr>
            <w:tcW w:w="340" w:type="pct"/>
            <w:tcBorders>
              <w:top w:val="nil"/>
              <w:left w:val="nil"/>
              <w:bottom w:val="single" w:sz="4" w:space="0" w:color="auto"/>
              <w:right w:val="single" w:sz="4" w:space="0" w:color="auto"/>
            </w:tcBorders>
            <w:noWrap/>
            <w:vAlign w:val="bottom"/>
            <w:hideMark/>
          </w:tcPr>
          <w:p w14:paraId="1E2796F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FD7B63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4176E53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44BC3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CF52AC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477C36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18F2FF7" w14:textId="77777777" w:rsidR="00D21DD1" w:rsidRDefault="00D21DD1">
            <w:pPr>
              <w:spacing w:after="0"/>
              <w:rPr>
                <w:sz w:val="20"/>
                <w:szCs w:val="20"/>
                <w:lang w:eastAsia="en-GB"/>
              </w:rPr>
            </w:pPr>
          </w:p>
        </w:tc>
      </w:tr>
      <w:tr w:rsidR="00D21DD1" w14:paraId="0BADC4F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F4135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2496B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444F324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2D4901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4B9093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29A43CA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B6D3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CE2FF2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B63E95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2FC7F55" w14:textId="77777777" w:rsidR="00D21DD1" w:rsidRDefault="00D21DD1">
            <w:pPr>
              <w:spacing w:after="0"/>
              <w:rPr>
                <w:sz w:val="20"/>
                <w:szCs w:val="20"/>
                <w:lang w:eastAsia="en-GB"/>
              </w:rPr>
            </w:pPr>
          </w:p>
        </w:tc>
      </w:tr>
      <w:tr w:rsidR="00D21DD1" w14:paraId="0F9E989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469C61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08E241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B089A9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44202744"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08F38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173224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8F5EDDC"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7DB2C70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89EA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EA8936" w14:textId="77777777" w:rsidR="00D21DD1" w:rsidRDefault="00D21DD1">
            <w:pPr>
              <w:spacing w:after="0"/>
              <w:rPr>
                <w:sz w:val="20"/>
                <w:szCs w:val="20"/>
                <w:lang w:eastAsia="en-GB"/>
              </w:rPr>
            </w:pPr>
          </w:p>
        </w:tc>
      </w:tr>
      <w:tr w:rsidR="00D21DD1" w14:paraId="5B9313AB"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24F8BC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Listed Alternatives</w:t>
            </w:r>
          </w:p>
        </w:tc>
        <w:tc>
          <w:tcPr>
            <w:tcW w:w="218" w:type="pct"/>
            <w:tcBorders>
              <w:top w:val="nil"/>
              <w:left w:val="nil"/>
              <w:bottom w:val="single" w:sz="4" w:space="0" w:color="auto"/>
              <w:right w:val="single" w:sz="4" w:space="0" w:color="auto"/>
            </w:tcBorders>
            <w:noWrap/>
            <w:vAlign w:val="bottom"/>
            <w:hideMark/>
          </w:tcPr>
          <w:p w14:paraId="50B2255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5032F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00/01/00</w:t>
            </w:r>
          </w:p>
        </w:tc>
        <w:tc>
          <w:tcPr>
            <w:tcW w:w="340" w:type="pct"/>
            <w:tcBorders>
              <w:top w:val="nil"/>
              <w:left w:val="nil"/>
              <w:bottom w:val="single" w:sz="4" w:space="0" w:color="auto"/>
              <w:right w:val="single" w:sz="4" w:space="0" w:color="auto"/>
            </w:tcBorders>
            <w:noWrap/>
            <w:vAlign w:val="bottom"/>
            <w:hideMark/>
          </w:tcPr>
          <w:p w14:paraId="68C0AAFC"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426C83A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036C0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654BBB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B112A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326321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B5D7660" w14:textId="77777777" w:rsidR="00D21DD1" w:rsidRDefault="00D21DD1">
            <w:pPr>
              <w:spacing w:after="0"/>
              <w:rPr>
                <w:sz w:val="20"/>
                <w:szCs w:val="20"/>
                <w:lang w:eastAsia="en-GB"/>
              </w:rPr>
            </w:pPr>
          </w:p>
        </w:tc>
      </w:tr>
      <w:tr w:rsidR="00D21DD1" w14:paraId="1C6B7C0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667C4F"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5ABBBFD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6FBB461D"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E7DAA6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5FF834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5CA58C"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4B47A26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162E529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0A241AE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2629609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r>
      <w:tr w:rsidR="00D21DD1" w14:paraId="45F89F4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28256C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3D483DF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77E7B5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4D5738"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417F12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8B88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FB22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72726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9BBD2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B42B94" w14:textId="77777777" w:rsidR="00D21DD1" w:rsidRDefault="00D21DD1">
            <w:pPr>
              <w:spacing w:after="0"/>
              <w:rPr>
                <w:sz w:val="20"/>
                <w:szCs w:val="20"/>
                <w:lang w:eastAsia="en-GB"/>
              </w:rPr>
            </w:pPr>
          </w:p>
        </w:tc>
      </w:tr>
      <w:tr w:rsidR="00D21DD1" w14:paraId="76BFAA6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02A6A7"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Additional work outside plan</w:t>
            </w:r>
          </w:p>
        </w:tc>
        <w:tc>
          <w:tcPr>
            <w:tcW w:w="218" w:type="pct"/>
            <w:tcBorders>
              <w:top w:val="nil"/>
              <w:left w:val="nil"/>
              <w:bottom w:val="single" w:sz="4" w:space="0" w:color="auto"/>
              <w:right w:val="single" w:sz="4" w:space="0" w:color="auto"/>
            </w:tcBorders>
            <w:noWrap/>
            <w:vAlign w:val="bottom"/>
            <w:hideMark/>
          </w:tcPr>
          <w:p w14:paraId="76C04249"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8BBE0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AD1E06"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E65B36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EA1685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2CA2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875F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B372D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3491BE4" w14:textId="77777777" w:rsidR="00D21DD1" w:rsidRDefault="00D21DD1">
            <w:pPr>
              <w:spacing w:after="0"/>
              <w:rPr>
                <w:sz w:val="20"/>
                <w:szCs w:val="20"/>
                <w:lang w:eastAsia="en-GB"/>
              </w:rPr>
            </w:pPr>
          </w:p>
        </w:tc>
      </w:tr>
      <w:tr w:rsidR="00D21DD1" w14:paraId="0126132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1F8400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 of Data to New Pensions System</w:t>
            </w:r>
          </w:p>
        </w:tc>
        <w:tc>
          <w:tcPr>
            <w:tcW w:w="218" w:type="pct"/>
            <w:tcBorders>
              <w:top w:val="nil"/>
              <w:left w:val="nil"/>
              <w:bottom w:val="single" w:sz="4" w:space="0" w:color="auto"/>
              <w:right w:val="single" w:sz="4" w:space="0" w:color="auto"/>
            </w:tcBorders>
            <w:noWrap/>
            <w:vAlign w:val="bottom"/>
            <w:hideMark/>
          </w:tcPr>
          <w:p w14:paraId="1BBE137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FD361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02/07/12</w:t>
            </w:r>
          </w:p>
        </w:tc>
        <w:tc>
          <w:tcPr>
            <w:tcW w:w="340" w:type="pct"/>
            <w:tcBorders>
              <w:top w:val="nil"/>
              <w:left w:val="nil"/>
              <w:bottom w:val="single" w:sz="4" w:space="0" w:color="auto"/>
              <w:right w:val="single" w:sz="4" w:space="0" w:color="auto"/>
            </w:tcBorders>
            <w:noWrap/>
            <w:vAlign w:val="bottom"/>
            <w:hideMark/>
          </w:tcPr>
          <w:p w14:paraId="3E10C7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24D0CD1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57E63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2761B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DC50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80F89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29942C" w14:textId="77777777" w:rsidR="00D21DD1" w:rsidRDefault="00D21DD1">
            <w:pPr>
              <w:spacing w:after="0"/>
              <w:rPr>
                <w:sz w:val="20"/>
                <w:szCs w:val="20"/>
                <w:lang w:eastAsia="en-GB"/>
              </w:rPr>
            </w:pPr>
          </w:p>
        </w:tc>
      </w:tr>
      <w:tr w:rsidR="00D21DD1" w14:paraId="27D9E2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CB8CD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Monthly Contribution Data Usage</w:t>
            </w:r>
          </w:p>
        </w:tc>
        <w:tc>
          <w:tcPr>
            <w:tcW w:w="218" w:type="pct"/>
            <w:tcBorders>
              <w:top w:val="nil"/>
              <w:left w:val="nil"/>
              <w:bottom w:val="single" w:sz="4" w:space="0" w:color="auto"/>
              <w:right w:val="single" w:sz="4" w:space="0" w:color="auto"/>
            </w:tcBorders>
            <w:noWrap/>
            <w:vAlign w:val="bottom"/>
            <w:hideMark/>
          </w:tcPr>
          <w:p w14:paraId="48A5132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FDD1E5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20/08/15</w:t>
            </w:r>
          </w:p>
        </w:tc>
        <w:tc>
          <w:tcPr>
            <w:tcW w:w="340" w:type="pct"/>
            <w:tcBorders>
              <w:top w:val="nil"/>
              <w:left w:val="nil"/>
              <w:bottom w:val="single" w:sz="4" w:space="0" w:color="auto"/>
              <w:right w:val="single" w:sz="4" w:space="0" w:color="auto"/>
            </w:tcBorders>
            <w:noWrap/>
            <w:vAlign w:val="bottom"/>
            <w:hideMark/>
          </w:tcPr>
          <w:p w14:paraId="60E1DD4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3F3A9D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C67E6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AEC408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75938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DAA6DC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E413D4E" w14:textId="77777777" w:rsidR="00D21DD1" w:rsidRDefault="00D21DD1">
            <w:pPr>
              <w:spacing w:after="0"/>
              <w:rPr>
                <w:sz w:val="20"/>
                <w:szCs w:val="20"/>
                <w:lang w:eastAsia="en-GB"/>
              </w:rPr>
            </w:pPr>
          </w:p>
        </w:tc>
      </w:tr>
      <w:tr w:rsidR="00D21DD1" w14:paraId="02CC36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CCE859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Information Governance Including GDPR</w:t>
            </w:r>
          </w:p>
        </w:tc>
        <w:tc>
          <w:tcPr>
            <w:tcW w:w="218" w:type="pct"/>
            <w:tcBorders>
              <w:top w:val="nil"/>
              <w:left w:val="nil"/>
              <w:bottom w:val="single" w:sz="4" w:space="0" w:color="auto"/>
              <w:right w:val="single" w:sz="4" w:space="0" w:color="auto"/>
            </w:tcBorders>
            <w:noWrap/>
            <w:vAlign w:val="bottom"/>
            <w:hideMark/>
          </w:tcPr>
          <w:p w14:paraId="49E8EB3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793AD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01/05/19</w:t>
            </w:r>
          </w:p>
        </w:tc>
        <w:tc>
          <w:tcPr>
            <w:tcW w:w="340" w:type="pct"/>
            <w:tcBorders>
              <w:top w:val="nil"/>
              <w:left w:val="nil"/>
              <w:bottom w:val="single" w:sz="4" w:space="0" w:color="auto"/>
              <w:right w:val="single" w:sz="4" w:space="0" w:color="auto"/>
            </w:tcBorders>
            <w:noWrap/>
            <w:vAlign w:val="bottom"/>
            <w:hideMark/>
          </w:tcPr>
          <w:p w14:paraId="4765041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095B601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823BD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C3F10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749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6C2A2F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255A4" w14:textId="77777777" w:rsidR="00D21DD1" w:rsidRDefault="00D21DD1">
            <w:pPr>
              <w:spacing w:after="0"/>
              <w:rPr>
                <w:sz w:val="20"/>
                <w:szCs w:val="20"/>
                <w:lang w:eastAsia="en-GB"/>
              </w:rPr>
            </w:pPr>
          </w:p>
        </w:tc>
      </w:tr>
      <w:tr w:rsidR="00D21DD1" w14:paraId="52A7A02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5CD9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 of Data From Outside Bodies</w:t>
            </w:r>
          </w:p>
        </w:tc>
        <w:tc>
          <w:tcPr>
            <w:tcW w:w="218" w:type="pct"/>
            <w:tcBorders>
              <w:top w:val="nil"/>
              <w:left w:val="nil"/>
              <w:bottom w:val="single" w:sz="4" w:space="0" w:color="auto"/>
              <w:right w:val="single" w:sz="4" w:space="0" w:color="auto"/>
            </w:tcBorders>
            <w:noWrap/>
            <w:vAlign w:val="bottom"/>
            <w:hideMark/>
          </w:tcPr>
          <w:p w14:paraId="580D687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56C7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10/06/19</w:t>
            </w:r>
          </w:p>
        </w:tc>
        <w:tc>
          <w:tcPr>
            <w:tcW w:w="340" w:type="pct"/>
            <w:tcBorders>
              <w:top w:val="nil"/>
              <w:left w:val="nil"/>
              <w:bottom w:val="single" w:sz="4" w:space="0" w:color="auto"/>
              <w:right w:val="single" w:sz="4" w:space="0" w:color="auto"/>
            </w:tcBorders>
            <w:noWrap/>
            <w:vAlign w:val="bottom"/>
            <w:hideMark/>
          </w:tcPr>
          <w:p w14:paraId="7C7600B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607880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FB9E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F153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225B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2780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725EB2" w14:textId="77777777" w:rsidR="00D21DD1" w:rsidRDefault="00D21DD1">
            <w:pPr>
              <w:spacing w:after="0"/>
              <w:rPr>
                <w:sz w:val="20"/>
                <w:szCs w:val="20"/>
                <w:lang w:eastAsia="en-GB"/>
              </w:rPr>
            </w:pPr>
          </w:p>
        </w:tc>
      </w:tr>
      <w:tr w:rsidR="00D21DD1" w14:paraId="659F9B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3B757E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Pooling Arrangements</w:t>
            </w:r>
          </w:p>
        </w:tc>
        <w:tc>
          <w:tcPr>
            <w:tcW w:w="218" w:type="pct"/>
            <w:tcBorders>
              <w:top w:val="nil"/>
              <w:left w:val="nil"/>
              <w:bottom w:val="single" w:sz="4" w:space="0" w:color="auto"/>
              <w:right w:val="single" w:sz="4" w:space="0" w:color="auto"/>
            </w:tcBorders>
            <w:noWrap/>
            <w:vAlign w:val="bottom"/>
            <w:hideMark/>
          </w:tcPr>
          <w:p w14:paraId="2BB2FB3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C5BB0A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20/03/19</w:t>
            </w:r>
          </w:p>
        </w:tc>
        <w:tc>
          <w:tcPr>
            <w:tcW w:w="340" w:type="pct"/>
            <w:tcBorders>
              <w:top w:val="nil"/>
              <w:left w:val="nil"/>
              <w:bottom w:val="single" w:sz="4" w:space="0" w:color="auto"/>
              <w:right w:val="single" w:sz="4" w:space="0" w:color="auto"/>
            </w:tcBorders>
            <w:noWrap/>
            <w:vAlign w:val="bottom"/>
            <w:hideMark/>
          </w:tcPr>
          <w:p w14:paraId="34953B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C0A44D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00D75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2AEA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703FC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0A5D3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A720BC" w14:textId="77777777" w:rsidR="00D21DD1" w:rsidRDefault="00D21DD1">
            <w:pPr>
              <w:spacing w:after="0"/>
              <w:rPr>
                <w:sz w:val="20"/>
                <w:szCs w:val="20"/>
                <w:lang w:eastAsia="en-GB"/>
              </w:rPr>
            </w:pPr>
          </w:p>
        </w:tc>
      </w:tr>
      <w:tr w:rsidR="00D21DD1" w14:paraId="3BAAC6F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2F07E" w14:textId="6945131B"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xml:space="preserve">Custodial Transfer </w:t>
            </w:r>
            <w:r w:rsidR="00557873">
              <w:rPr>
                <w:rFonts w:ascii="Arial" w:eastAsia="Times New Roman" w:hAnsi="Arial" w:cs="Arial"/>
                <w:lang w:eastAsia="en-GB"/>
              </w:rPr>
              <w:t>Arrangements</w:t>
            </w:r>
          </w:p>
        </w:tc>
        <w:tc>
          <w:tcPr>
            <w:tcW w:w="218" w:type="pct"/>
            <w:tcBorders>
              <w:top w:val="nil"/>
              <w:left w:val="nil"/>
              <w:bottom w:val="single" w:sz="4" w:space="0" w:color="auto"/>
              <w:right w:val="single" w:sz="4" w:space="0" w:color="auto"/>
            </w:tcBorders>
            <w:noWrap/>
            <w:vAlign w:val="bottom"/>
            <w:hideMark/>
          </w:tcPr>
          <w:p w14:paraId="5270ECA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133F5E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01/07/20</w:t>
            </w:r>
          </w:p>
        </w:tc>
        <w:tc>
          <w:tcPr>
            <w:tcW w:w="340" w:type="pct"/>
            <w:tcBorders>
              <w:top w:val="nil"/>
              <w:left w:val="nil"/>
              <w:bottom w:val="single" w:sz="4" w:space="0" w:color="auto"/>
              <w:right w:val="single" w:sz="4" w:space="0" w:color="auto"/>
            </w:tcBorders>
            <w:noWrap/>
            <w:vAlign w:val="bottom"/>
            <w:hideMark/>
          </w:tcPr>
          <w:p w14:paraId="516D3E9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07E0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43C9C0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3B0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FD1C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4469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F84FB55" w14:textId="77777777" w:rsidR="00D21DD1" w:rsidRDefault="00D21DD1">
            <w:pPr>
              <w:spacing w:after="0"/>
              <w:rPr>
                <w:sz w:val="20"/>
                <w:szCs w:val="20"/>
                <w:lang w:eastAsia="en-GB"/>
              </w:rPr>
            </w:pPr>
          </w:p>
        </w:tc>
      </w:tr>
      <w:tr w:rsidR="00D21DD1" w14:paraId="2162E41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1A0D35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w:t>
            </w:r>
          </w:p>
        </w:tc>
        <w:tc>
          <w:tcPr>
            <w:tcW w:w="218" w:type="pct"/>
            <w:tcBorders>
              <w:top w:val="nil"/>
              <w:left w:val="nil"/>
              <w:bottom w:val="single" w:sz="4" w:space="0" w:color="auto"/>
              <w:right w:val="single" w:sz="4" w:space="0" w:color="auto"/>
            </w:tcBorders>
            <w:noWrap/>
            <w:vAlign w:val="bottom"/>
            <w:hideMark/>
          </w:tcPr>
          <w:p w14:paraId="31D7AA7C"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9B42BA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10/02/20</w:t>
            </w:r>
          </w:p>
        </w:tc>
        <w:tc>
          <w:tcPr>
            <w:tcW w:w="340" w:type="pct"/>
            <w:tcBorders>
              <w:top w:val="nil"/>
              <w:left w:val="nil"/>
              <w:bottom w:val="single" w:sz="4" w:space="0" w:color="auto"/>
              <w:right w:val="single" w:sz="4" w:space="0" w:color="auto"/>
            </w:tcBorders>
            <w:noWrap/>
            <w:vAlign w:val="bottom"/>
            <w:hideMark/>
          </w:tcPr>
          <w:p w14:paraId="4FFB0F3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6D8291C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1E99D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200A9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6D5F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F387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D9D94D0" w14:textId="77777777" w:rsidR="00D21DD1" w:rsidRDefault="00D21DD1">
            <w:pPr>
              <w:spacing w:after="0"/>
              <w:rPr>
                <w:sz w:val="20"/>
                <w:szCs w:val="20"/>
                <w:lang w:eastAsia="en-GB"/>
              </w:rPr>
            </w:pPr>
          </w:p>
        </w:tc>
      </w:tr>
      <w:tr w:rsidR="00D21DD1" w14:paraId="2CAFCE7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9D4981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GLIL</w:t>
            </w:r>
          </w:p>
        </w:tc>
        <w:tc>
          <w:tcPr>
            <w:tcW w:w="218" w:type="pct"/>
            <w:tcBorders>
              <w:top w:val="nil"/>
              <w:left w:val="nil"/>
              <w:bottom w:val="single" w:sz="4" w:space="0" w:color="auto"/>
              <w:right w:val="single" w:sz="4" w:space="0" w:color="auto"/>
            </w:tcBorders>
            <w:noWrap/>
            <w:vAlign w:val="bottom"/>
            <w:hideMark/>
          </w:tcPr>
          <w:p w14:paraId="1BDCDAB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2BE94B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30/07/20</w:t>
            </w:r>
          </w:p>
        </w:tc>
        <w:tc>
          <w:tcPr>
            <w:tcW w:w="340" w:type="pct"/>
            <w:tcBorders>
              <w:top w:val="nil"/>
              <w:left w:val="nil"/>
              <w:bottom w:val="single" w:sz="4" w:space="0" w:color="auto"/>
              <w:right w:val="single" w:sz="4" w:space="0" w:color="auto"/>
            </w:tcBorders>
            <w:noWrap/>
            <w:vAlign w:val="bottom"/>
            <w:hideMark/>
          </w:tcPr>
          <w:p w14:paraId="645AFC5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118FEF6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9E0F4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052CE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F998F9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126414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A28407" w14:textId="77777777" w:rsidR="00D21DD1" w:rsidRDefault="00D21DD1">
            <w:pPr>
              <w:spacing w:after="0"/>
              <w:rPr>
                <w:sz w:val="20"/>
                <w:szCs w:val="20"/>
                <w:lang w:eastAsia="en-GB"/>
              </w:rPr>
            </w:pPr>
          </w:p>
        </w:tc>
      </w:tr>
      <w:tr w:rsidR="00D21DD1" w14:paraId="341B569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90A7D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 - Follow Up (i)</w:t>
            </w:r>
          </w:p>
        </w:tc>
        <w:tc>
          <w:tcPr>
            <w:tcW w:w="218" w:type="pct"/>
            <w:tcBorders>
              <w:top w:val="nil"/>
              <w:left w:val="nil"/>
              <w:bottom w:val="single" w:sz="4" w:space="0" w:color="auto"/>
              <w:right w:val="single" w:sz="4" w:space="0" w:color="auto"/>
            </w:tcBorders>
            <w:noWrap/>
            <w:vAlign w:val="bottom"/>
            <w:hideMark/>
          </w:tcPr>
          <w:p w14:paraId="1B83993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22993F6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05/11/21</w:t>
            </w:r>
          </w:p>
        </w:tc>
        <w:tc>
          <w:tcPr>
            <w:tcW w:w="340" w:type="pct"/>
            <w:tcBorders>
              <w:top w:val="nil"/>
              <w:left w:val="nil"/>
              <w:bottom w:val="single" w:sz="4" w:space="0" w:color="auto"/>
              <w:right w:val="single" w:sz="4" w:space="0" w:color="auto"/>
            </w:tcBorders>
            <w:noWrap/>
            <w:vAlign w:val="bottom"/>
            <w:hideMark/>
          </w:tcPr>
          <w:p w14:paraId="6C2302C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bottom"/>
            <w:hideMark/>
          </w:tcPr>
          <w:p w14:paraId="162E5F6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0E43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A497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05801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4DF77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91ACC46" w14:textId="77777777" w:rsidR="00D21DD1" w:rsidRDefault="00D21DD1">
            <w:pPr>
              <w:spacing w:after="0"/>
              <w:rPr>
                <w:sz w:val="20"/>
                <w:szCs w:val="20"/>
                <w:lang w:eastAsia="en-GB"/>
              </w:rPr>
            </w:pPr>
          </w:p>
        </w:tc>
      </w:tr>
      <w:tr w:rsidR="00D21DD1" w14:paraId="0E49E2D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5014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Common Custodian Arrangements</w:t>
            </w:r>
          </w:p>
        </w:tc>
        <w:tc>
          <w:tcPr>
            <w:tcW w:w="218" w:type="pct"/>
            <w:tcBorders>
              <w:top w:val="nil"/>
              <w:left w:val="nil"/>
              <w:bottom w:val="single" w:sz="4" w:space="0" w:color="auto"/>
              <w:right w:val="single" w:sz="4" w:space="0" w:color="auto"/>
            </w:tcBorders>
            <w:noWrap/>
            <w:vAlign w:val="bottom"/>
            <w:hideMark/>
          </w:tcPr>
          <w:p w14:paraId="619E92ED"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B7766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30/04/21</w:t>
            </w:r>
          </w:p>
        </w:tc>
        <w:tc>
          <w:tcPr>
            <w:tcW w:w="340" w:type="pct"/>
            <w:tcBorders>
              <w:top w:val="nil"/>
              <w:left w:val="nil"/>
              <w:bottom w:val="single" w:sz="4" w:space="0" w:color="auto"/>
              <w:right w:val="single" w:sz="4" w:space="0" w:color="auto"/>
            </w:tcBorders>
            <w:noWrap/>
            <w:vAlign w:val="bottom"/>
            <w:hideMark/>
          </w:tcPr>
          <w:p w14:paraId="4E9BF6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0543EB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AF6DED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BCF37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791AE4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AD6AB4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75E7C8" w14:textId="77777777" w:rsidR="00D21DD1" w:rsidRDefault="00D21DD1">
            <w:pPr>
              <w:spacing w:after="0"/>
              <w:rPr>
                <w:sz w:val="20"/>
                <w:szCs w:val="20"/>
                <w:lang w:eastAsia="en-GB"/>
              </w:rPr>
            </w:pPr>
          </w:p>
        </w:tc>
      </w:tr>
      <w:tr w:rsidR="00D21DD1" w14:paraId="70AE63B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38F02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Business Continuity</w:t>
            </w:r>
          </w:p>
        </w:tc>
        <w:tc>
          <w:tcPr>
            <w:tcW w:w="218" w:type="pct"/>
            <w:tcBorders>
              <w:top w:val="nil"/>
              <w:left w:val="nil"/>
              <w:bottom w:val="single" w:sz="4" w:space="0" w:color="auto"/>
              <w:right w:val="single" w:sz="4" w:space="0" w:color="auto"/>
            </w:tcBorders>
            <w:noWrap/>
            <w:vAlign w:val="bottom"/>
            <w:hideMark/>
          </w:tcPr>
          <w:p w14:paraId="605C162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7CA2C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17/01/22</w:t>
            </w:r>
          </w:p>
        </w:tc>
        <w:tc>
          <w:tcPr>
            <w:tcW w:w="340" w:type="pct"/>
            <w:tcBorders>
              <w:top w:val="nil"/>
              <w:left w:val="nil"/>
              <w:bottom w:val="single" w:sz="4" w:space="0" w:color="auto"/>
              <w:right w:val="single" w:sz="4" w:space="0" w:color="auto"/>
            </w:tcBorders>
            <w:noWrap/>
            <w:vAlign w:val="bottom"/>
            <w:hideMark/>
          </w:tcPr>
          <w:p w14:paraId="320912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304" w:type="pct"/>
            <w:tcBorders>
              <w:top w:val="nil"/>
              <w:left w:val="nil"/>
              <w:bottom w:val="single" w:sz="4" w:space="0" w:color="auto"/>
              <w:right w:val="single" w:sz="4" w:space="0" w:color="auto"/>
            </w:tcBorders>
            <w:noWrap/>
            <w:vAlign w:val="bottom"/>
            <w:hideMark/>
          </w:tcPr>
          <w:p w14:paraId="2109CE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056869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754D8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2C209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EC08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0CB5FC" w14:textId="77777777" w:rsidR="00D21DD1" w:rsidRDefault="00D21DD1">
            <w:pPr>
              <w:spacing w:after="0"/>
              <w:rPr>
                <w:sz w:val="20"/>
                <w:szCs w:val="20"/>
                <w:lang w:eastAsia="en-GB"/>
              </w:rPr>
            </w:pPr>
          </w:p>
        </w:tc>
      </w:tr>
      <w:tr w:rsidR="00D21DD1" w14:paraId="2F5B4D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D33E47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Shared Service Admission</w:t>
            </w:r>
          </w:p>
        </w:tc>
        <w:tc>
          <w:tcPr>
            <w:tcW w:w="218" w:type="pct"/>
            <w:tcBorders>
              <w:top w:val="nil"/>
              <w:left w:val="nil"/>
              <w:bottom w:val="single" w:sz="4" w:space="0" w:color="auto"/>
              <w:right w:val="single" w:sz="4" w:space="0" w:color="auto"/>
            </w:tcBorders>
            <w:noWrap/>
            <w:vAlign w:val="bottom"/>
            <w:hideMark/>
          </w:tcPr>
          <w:p w14:paraId="7AD01DE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D1889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07/04/22</w:t>
            </w:r>
          </w:p>
        </w:tc>
        <w:tc>
          <w:tcPr>
            <w:tcW w:w="340" w:type="pct"/>
            <w:tcBorders>
              <w:top w:val="nil"/>
              <w:left w:val="nil"/>
              <w:bottom w:val="single" w:sz="4" w:space="0" w:color="auto"/>
              <w:right w:val="single" w:sz="4" w:space="0" w:color="auto"/>
            </w:tcBorders>
            <w:noWrap/>
            <w:vAlign w:val="bottom"/>
            <w:hideMark/>
          </w:tcPr>
          <w:p w14:paraId="516E37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0C5632F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1EE8C5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78AD88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A23EC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F4E98C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546FCC1" w14:textId="77777777" w:rsidR="00D21DD1" w:rsidRDefault="00D21DD1">
            <w:pPr>
              <w:spacing w:after="0"/>
              <w:rPr>
                <w:sz w:val="20"/>
                <w:szCs w:val="20"/>
                <w:lang w:eastAsia="en-GB"/>
              </w:rPr>
            </w:pPr>
          </w:p>
        </w:tc>
      </w:tr>
      <w:tr w:rsidR="00D21DD1" w14:paraId="7C82C72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CB47733"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NPEP</w:t>
            </w:r>
          </w:p>
        </w:tc>
        <w:tc>
          <w:tcPr>
            <w:tcW w:w="218" w:type="pct"/>
            <w:tcBorders>
              <w:top w:val="nil"/>
              <w:left w:val="nil"/>
              <w:bottom w:val="single" w:sz="4" w:space="0" w:color="auto"/>
              <w:right w:val="single" w:sz="4" w:space="0" w:color="auto"/>
            </w:tcBorders>
            <w:noWrap/>
            <w:vAlign w:val="bottom"/>
            <w:hideMark/>
          </w:tcPr>
          <w:p w14:paraId="124DCE2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DE958F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29/06/22</w:t>
            </w:r>
          </w:p>
        </w:tc>
        <w:tc>
          <w:tcPr>
            <w:tcW w:w="340" w:type="pct"/>
            <w:tcBorders>
              <w:top w:val="nil"/>
              <w:left w:val="nil"/>
              <w:bottom w:val="single" w:sz="4" w:space="0" w:color="auto"/>
              <w:right w:val="single" w:sz="4" w:space="0" w:color="auto"/>
            </w:tcBorders>
            <w:noWrap/>
            <w:vAlign w:val="bottom"/>
            <w:hideMark/>
          </w:tcPr>
          <w:p w14:paraId="0C08116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2C90129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E267FA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FBFE1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506D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7A7FD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864E9E" w14:textId="77777777" w:rsidR="00D21DD1" w:rsidRDefault="00D21DD1">
            <w:pPr>
              <w:spacing w:after="0"/>
              <w:rPr>
                <w:sz w:val="20"/>
                <w:szCs w:val="20"/>
                <w:lang w:eastAsia="en-GB"/>
              </w:rPr>
            </w:pPr>
          </w:p>
        </w:tc>
      </w:tr>
      <w:tr w:rsidR="00D21DD1" w14:paraId="49EFDC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1E44F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GLIL Infrastructure</w:t>
            </w:r>
          </w:p>
        </w:tc>
        <w:tc>
          <w:tcPr>
            <w:tcW w:w="218" w:type="pct"/>
            <w:tcBorders>
              <w:top w:val="nil"/>
              <w:left w:val="nil"/>
              <w:bottom w:val="single" w:sz="4" w:space="0" w:color="auto"/>
              <w:right w:val="single" w:sz="4" w:space="0" w:color="auto"/>
            </w:tcBorders>
            <w:noWrap/>
            <w:vAlign w:val="bottom"/>
            <w:hideMark/>
          </w:tcPr>
          <w:p w14:paraId="6449451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9ECA9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18/04/23</w:t>
            </w:r>
          </w:p>
        </w:tc>
        <w:tc>
          <w:tcPr>
            <w:tcW w:w="340" w:type="pct"/>
            <w:tcBorders>
              <w:top w:val="nil"/>
              <w:left w:val="nil"/>
              <w:bottom w:val="single" w:sz="4" w:space="0" w:color="auto"/>
              <w:right w:val="single" w:sz="4" w:space="0" w:color="auto"/>
            </w:tcBorders>
            <w:noWrap/>
            <w:vAlign w:val="bottom"/>
            <w:hideMark/>
          </w:tcPr>
          <w:p w14:paraId="373CB489"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EE6C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C49D01"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1FC8250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C40519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86A02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9BA44D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08AF20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1D9A07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Exiting Employers</w:t>
            </w:r>
          </w:p>
        </w:tc>
        <w:tc>
          <w:tcPr>
            <w:tcW w:w="218" w:type="pct"/>
            <w:tcBorders>
              <w:top w:val="nil"/>
              <w:left w:val="nil"/>
              <w:bottom w:val="single" w:sz="4" w:space="0" w:color="auto"/>
              <w:right w:val="single" w:sz="4" w:space="0" w:color="auto"/>
            </w:tcBorders>
            <w:noWrap/>
            <w:vAlign w:val="bottom"/>
            <w:hideMark/>
          </w:tcPr>
          <w:p w14:paraId="64ECA7A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E795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25/04/23</w:t>
            </w:r>
          </w:p>
        </w:tc>
        <w:tc>
          <w:tcPr>
            <w:tcW w:w="340" w:type="pct"/>
            <w:tcBorders>
              <w:top w:val="nil"/>
              <w:left w:val="nil"/>
              <w:bottom w:val="single" w:sz="4" w:space="0" w:color="auto"/>
              <w:right w:val="single" w:sz="4" w:space="0" w:color="auto"/>
            </w:tcBorders>
            <w:noWrap/>
            <w:vAlign w:val="bottom"/>
            <w:hideMark/>
          </w:tcPr>
          <w:p w14:paraId="00517520"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500707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8B56A72"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22C16AF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131272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5B7B7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3F7E8E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3D429B7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183FFE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7FFE2AD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4BDA091"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9C5B24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054C18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9053C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EB7C1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2049B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5D9132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C1CF84" w14:textId="77777777" w:rsidR="00D21DD1" w:rsidRDefault="00D21DD1">
            <w:pPr>
              <w:spacing w:after="0"/>
              <w:rPr>
                <w:sz w:val="20"/>
                <w:szCs w:val="20"/>
                <w:lang w:eastAsia="en-GB"/>
              </w:rPr>
            </w:pPr>
          </w:p>
        </w:tc>
      </w:tr>
      <w:tr w:rsidR="00D21DD1" w14:paraId="495D3A4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F53445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No of audits</w:t>
            </w:r>
          </w:p>
        </w:tc>
        <w:tc>
          <w:tcPr>
            <w:tcW w:w="218" w:type="pct"/>
            <w:tcBorders>
              <w:top w:val="nil"/>
              <w:left w:val="nil"/>
              <w:bottom w:val="single" w:sz="4" w:space="0" w:color="auto"/>
              <w:right w:val="single" w:sz="4" w:space="0" w:color="auto"/>
            </w:tcBorders>
            <w:noWrap/>
            <w:vAlign w:val="bottom"/>
            <w:hideMark/>
          </w:tcPr>
          <w:p w14:paraId="787210E6"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AFF507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3FBE203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E6F96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F9F3C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c>
          <w:tcPr>
            <w:tcW w:w="279" w:type="pct"/>
            <w:tcBorders>
              <w:top w:val="nil"/>
              <w:left w:val="nil"/>
              <w:bottom w:val="single" w:sz="4" w:space="0" w:color="auto"/>
              <w:right w:val="single" w:sz="4" w:space="0" w:color="auto"/>
            </w:tcBorders>
            <w:noWrap/>
            <w:vAlign w:val="bottom"/>
            <w:hideMark/>
          </w:tcPr>
          <w:p w14:paraId="1E0AD92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2139E3F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44EC68E8"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10</w:t>
            </w:r>
          </w:p>
        </w:tc>
        <w:tc>
          <w:tcPr>
            <w:tcW w:w="279" w:type="pct"/>
            <w:tcBorders>
              <w:top w:val="nil"/>
              <w:left w:val="nil"/>
              <w:bottom w:val="single" w:sz="4" w:space="0" w:color="auto"/>
              <w:right w:val="single" w:sz="4" w:space="0" w:color="auto"/>
            </w:tcBorders>
            <w:noWrap/>
            <w:vAlign w:val="bottom"/>
            <w:hideMark/>
          </w:tcPr>
          <w:p w14:paraId="3C8159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r>
      <w:tr w:rsidR="00D21DD1" w14:paraId="48AFDB3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8915E4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BD9C0C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BC457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64F242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52A57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476AA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D0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2D9CF5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F53C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320497B" w14:textId="77777777" w:rsidR="00D21DD1" w:rsidRDefault="00D21DD1">
            <w:pPr>
              <w:spacing w:after="0"/>
              <w:rPr>
                <w:sz w:val="20"/>
                <w:szCs w:val="20"/>
                <w:lang w:eastAsia="en-GB"/>
              </w:rPr>
            </w:pPr>
          </w:p>
        </w:tc>
      </w:tr>
      <w:tr w:rsidR="00D21DD1" w14:paraId="08007747"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D7A67B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 days over five years</w:t>
            </w:r>
          </w:p>
        </w:tc>
        <w:tc>
          <w:tcPr>
            <w:tcW w:w="218" w:type="pct"/>
            <w:tcBorders>
              <w:top w:val="nil"/>
              <w:left w:val="nil"/>
              <w:bottom w:val="single" w:sz="4" w:space="0" w:color="auto"/>
              <w:right w:val="single" w:sz="4" w:space="0" w:color="auto"/>
            </w:tcBorders>
            <w:noWrap/>
            <w:vAlign w:val="bottom"/>
            <w:hideMark/>
          </w:tcPr>
          <w:p w14:paraId="7BE88B13"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32C445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445F7B2"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B3C55C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885</w:t>
            </w:r>
          </w:p>
        </w:tc>
        <w:tc>
          <w:tcPr>
            <w:tcW w:w="279" w:type="pct"/>
            <w:tcBorders>
              <w:top w:val="nil"/>
              <w:left w:val="nil"/>
              <w:bottom w:val="single" w:sz="4" w:space="0" w:color="auto"/>
              <w:right w:val="single" w:sz="4" w:space="0" w:color="auto"/>
            </w:tcBorders>
            <w:noWrap/>
            <w:vAlign w:val="bottom"/>
            <w:hideMark/>
          </w:tcPr>
          <w:p w14:paraId="14B4C0A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4F104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3005D9"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4E5D4D7E"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6C72B7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r>
      <w:tr w:rsidR="00D21DD1" w14:paraId="3E344D6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4ECA48E"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Resourced days</w:t>
            </w:r>
          </w:p>
        </w:tc>
        <w:tc>
          <w:tcPr>
            <w:tcW w:w="218" w:type="pct"/>
            <w:tcBorders>
              <w:top w:val="nil"/>
              <w:left w:val="nil"/>
              <w:bottom w:val="single" w:sz="4" w:space="0" w:color="auto"/>
              <w:right w:val="single" w:sz="4" w:space="0" w:color="auto"/>
            </w:tcBorders>
            <w:noWrap/>
            <w:vAlign w:val="bottom"/>
            <w:hideMark/>
          </w:tcPr>
          <w:p w14:paraId="5571932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0128436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0AD706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18BEC21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1,225</w:t>
            </w:r>
          </w:p>
        </w:tc>
        <w:tc>
          <w:tcPr>
            <w:tcW w:w="279" w:type="pct"/>
            <w:tcBorders>
              <w:top w:val="nil"/>
              <w:left w:val="nil"/>
              <w:bottom w:val="single" w:sz="4" w:space="0" w:color="auto"/>
              <w:right w:val="single" w:sz="4" w:space="0" w:color="auto"/>
            </w:tcBorders>
            <w:noWrap/>
            <w:vAlign w:val="bottom"/>
            <w:hideMark/>
          </w:tcPr>
          <w:p w14:paraId="6927DB8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91EABD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68B24F2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1B94AB3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17A5C5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r>
      <w:tr w:rsidR="00D21DD1" w14:paraId="5BA82D3F"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789D77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 xml:space="preserve">Headroom </w:t>
            </w:r>
          </w:p>
        </w:tc>
        <w:tc>
          <w:tcPr>
            <w:tcW w:w="218" w:type="pct"/>
            <w:tcBorders>
              <w:top w:val="nil"/>
              <w:left w:val="nil"/>
              <w:bottom w:val="single" w:sz="4" w:space="0" w:color="auto"/>
              <w:right w:val="single" w:sz="4" w:space="0" w:color="auto"/>
            </w:tcBorders>
            <w:noWrap/>
            <w:vAlign w:val="bottom"/>
            <w:hideMark/>
          </w:tcPr>
          <w:p w14:paraId="7E1C87E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797DE9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84285E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1769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340</w:t>
            </w:r>
          </w:p>
        </w:tc>
        <w:tc>
          <w:tcPr>
            <w:tcW w:w="279" w:type="pct"/>
            <w:tcBorders>
              <w:top w:val="nil"/>
              <w:left w:val="nil"/>
              <w:bottom w:val="single" w:sz="4" w:space="0" w:color="auto"/>
              <w:right w:val="single" w:sz="4" w:space="0" w:color="auto"/>
            </w:tcBorders>
            <w:noWrap/>
            <w:vAlign w:val="bottom"/>
            <w:hideMark/>
          </w:tcPr>
          <w:p w14:paraId="4C3810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1DDEAC3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282658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5F7E66F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F416AB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r>
    </w:tbl>
    <w:p w14:paraId="5948A122" w14:textId="5DDCB542" w:rsidR="005F6F1D" w:rsidRPr="005F6F1D" w:rsidRDefault="005F6F1D" w:rsidP="00D21DD1">
      <w:pPr>
        <w:spacing w:after="0"/>
        <w:rPr>
          <w:rFonts w:ascii="Arial" w:eastAsia="Calibri" w:hAnsi="Arial" w:cs="Arial"/>
          <w:sz w:val="56"/>
          <w:szCs w:val="56"/>
        </w:rPr>
        <w:sectPr w:rsidR="005F6F1D" w:rsidRPr="005F6F1D" w:rsidSect="009A5F55">
          <w:pgSz w:w="16838" w:h="11906" w:orient="landscape"/>
          <w:pgMar w:top="1134" w:right="1440" w:bottom="1440" w:left="1440" w:header="709" w:footer="709" w:gutter="0"/>
          <w:cols w:space="708"/>
          <w:docGrid w:linePitch="360"/>
        </w:sectPr>
      </w:pPr>
    </w:p>
    <w:p w14:paraId="525A8572" w14:textId="77777777" w:rsidR="005F6F1D" w:rsidRPr="005F6F1D" w:rsidRDefault="005F6F1D" w:rsidP="005F6F1D">
      <w:pPr>
        <w:spacing w:after="0"/>
        <w:ind w:left="567" w:hanging="567"/>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0</w:t>
      </w:r>
      <w:r w:rsidRPr="005F6F1D">
        <w:rPr>
          <w:rFonts w:ascii="Arial" w:eastAsia="Calibri" w:hAnsi="Arial" w:cs="Arial"/>
          <w:b/>
          <w:color w:val="0070C0"/>
          <w:sz w:val="28"/>
          <w:szCs w:val="28"/>
        </w:rPr>
        <w:t>.</w:t>
      </w:r>
      <w:r w:rsidRPr="005F6F1D">
        <w:rPr>
          <w:rFonts w:ascii="Arial" w:eastAsia="Calibri" w:hAnsi="Arial" w:cs="Arial"/>
          <w:b/>
          <w:color w:val="374C80"/>
          <w:sz w:val="28"/>
          <w:szCs w:val="28"/>
        </w:rPr>
        <w:t xml:space="preserve"> </w:t>
      </w:r>
      <w:r w:rsidRPr="005F6F1D">
        <w:rPr>
          <w:rFonts w:ascii="Arial" w:eastAsia="Calibri" w:hAnsi="Arial" w:cs="Arial"/>
          <w:b/>
          <w:color w:val="0070C0"/>
          <w:sz w:val="28"/>
          <w:szCs w:val="28"/>
        </w:rPr>
        <w:t>Overriding Disclosure Time Limits</w:t>
      </w:r>
    </w:p>
    <w:p w14:paraId="75BE360F" w14:textId="77777777" w:rsidR="005F6F1D" w:rsidRPr="005F6F1D" w:rsidRDefault="005F6F1D" w:rsidP="005F6F1D">
      <w:pPr>
        <w:rPr>
          <w:rFonts w:ascii="Arial" w:eastAsia="Calibri" w:hAnsi="Arial" w:cs="Arial"/>
          <w:b/>
          <w:sz w:val="24"/>
          <w:szCs w:val="24"/>
        </w:rPr>
      </w:pPr>
      <w:r w:rsidRPr="005F6F1D">
        <w:rPr>
          <w:rFonts w:ascii="Arial" w:eastAsia="Calibri" w:hAnsi="Arial" w:cs="Arial"/>
          <w:b/>
          <w:sz w:val="24"/>
          <w:szCs w:val="24"/>
        </w:rPr>
        <w:t xml:space="preserve"> </w:t>
      </w:r>
    </w:p>
    <w:tbl>
      <w:tblPr>
        <w:tblStyle w:val="TableGrid"/>
        <w:tblW w:w="9242" w:type="dxa"/>
        <w:tblInd w:w="108" w:type="dxa"/>
        <w:tblLook w:val="04A0" w:firstRow="1" w:lastRow="0" w:firstColumn="1" w:lastColumn="0" w:noHBand="0" w:noVBand="1"/>
      </w:tblPr>
      <w:tblGrid>
        <w:gridCol w:w="3544"/>
        <w:gridCol w:w="3402"/>
        <w:gridCol w:w="2296"/>
      </w:tblGrid>
      <w:tr w:rsidR="005F6F1D" w:rsidRPr="005F6F1D" w14:paraId="643B545C" w14:textId="77777777" w:rsidTr="009A5F55">
        <w:trPr>
          <w:trHeight w:val="759"/>
        </w:trPr>
        <w:tc>
          <w:tcPr>
            <w:tcW w:w="3544" w:type="dxa"/>
            <w:vAlign w:val="center"/>
          </w:tcPr>
          <w:p w14:paraId="1D2CE0E0" w14:textId="77777777" w:rsidR="005F6F1D" w:rsidRPr="005F6F1D" w:rsidRDefault="005F6F1D" w:rsidP="005F6F1D">
            <w:pPr>
              <w:rPr>
                <w:rFonts w:ascii="Arial" w:eastAsia="Calibri" w:hAnsi="Arial" w:cs="Arial"/>
                <w:b/>
              </w:rPr>
            </w:pPr>
            <w:r w:rsidRPr="005F6F1D">
              <w:rPr>
                <w:rFonts w:ascii="Arial" w:eastAsia="Calibri" w:hAnsi="Arial" w:cs="Arial"/>
                <w:b/>
              </w:rPr>
              <w:t>Disclosure Requirement</w:t>
            </w:r>
          </w:p>
        </w:tc>
        <w:tc>
          <w:tcPr>
            <w:tcW w:w="3402" w:type="dxa"/>
            <w:vAlign w:val="center"/>
          </w:tcPr>
          <w:p w14:paraId="5DBBBBED" w14:textId="77777777" w:rsidR="005F6F1D" w:rsidRPr="005F6F1D" w:rsidRDefault="005F6F1D" w:rsidP="005F6F1D">
            <w:pPr>
              <w:rPr>
                <w:rFonts w:ascii="Arial" w:eastAsia="Calibri" w:hAnsi="Arial" w:cs="Arial"/>
                <w:b/>
              </w:rPr>
            </w:pPr>
            <w:r w:rsidRPr="005F6F1D">
              <w:rPr>
                <w:rFonts w:ascii="Arial" w:eastAsia="Calibri" w:hAnsi="Arial" w:cs="Arial"/>
                <w:b/>
              </w:rPr>
              <w:t>Time Limit</w:t>
            </w:r>
          </w:p>
        </w:tc>
        <w:tc>
          <w:tcPr>
            <w:tcW w:w="2296" w:type="dxa"/>
            <w:vAlign w:val="center"/>
          </w:tcPr>
          <w:p w14:paraId="0625690A" w14:textId="77777777" w:rsidR="005F6F1D" w:rsidRPr="005F6F1D" w:rsidRDefault="005F6F1D" w:rsidP="005F6F1D">
            <w:pPr>
              <w:rPr>
                <w:rFonts w:ascii="Arial" w:eastAsia="Calibri" w:hAnsi="Arial" w:cs="Arial"/>
                <w:b/>
              </w:rPr>
            </w:pPr>
            <w:r w:rsidRPr="005F6F1D">
              <w:rPr>
                <w:rFonts w:ascii="Arial" w:eastAsia="Calibri" w:hAnsi="Arial" w:cs="Arial"/>
                <w:b/>
              </w:rPr>
              <w:t>Number of breaches in month</w:t>
            </w:r>
          </w:p>
        </w:tc>
      </w:tr>
      <w:tr w:rsidR="005F6F1D" w:rsidRPr="005F6F1D" w14:paraId="3B50711C" w14:textId="77777777" w:rsidTr="009A5F55">
        <w:trPr>
          <w:trHeight w:val="759"/>
        </w:trPr>
        <w:tc>
          <w:tcPr>
            <w:tcW w:w="3544" w:type="dxa"/>
            <w:vAlign w:val="center"/>
          </w:tcPr>
          <w:p w14:paraId="5320424F" w14:textId="77777777" w:rsidR="005F6F1D" w:rsidRPr="005F6F1D" w:rsidRDefault="005F6F1D" w:rsidP="005F6F1D">
            <w:pPr>
              <w:rPr>
                <w:rFonts w:ascii="Arial" w:eastAsia="Calibri" w:hAnsi="Arial" w:cs="Arial"/>
              </w:rPr>
            </w:pPr>
            <w:r w:rsidRPr="005F6F1D">
              <w:rPr>
                <w:rFonts w:ascii="Arial" w:eastAsia="Calibri" w:hAnsi="Arial" w:cs="Arial"/>
              </w:rPr>
              <w:t>Material alterations to basic scheme information</w:t>
            </w:r>
          </w:p>
        </w:tc>
        <w:tc>
          <w:tcPr>
            <w:tcW w:w="3402" w:type="dxa"/>
            <w:vAlign w:val="center"/>
          </w:tcPr>
          <w:p w14:paraId="179CB854" w14:textId="77777777" w:rsidR="005F6F1D" w:rsidRPr="005F6F1D" w:rsidRDefault="005F6F1D" w:rsidP="005F6F1D">
            <w:pPr>
              <w:rPr>
                <w:rFonts w:ascii="Arial" w:eastAsia="Calibri" w:hAnsi="Arial" w:cs="Arial"/>
              </w:rPr>
            </w:pPr>
            <w:r w:rsidRPr="005F6F1D">
              <w:rPr>
                <w:rFonts w:ascii="Arial" w:eastAsia="Calibri" w:hAnsi="Arial" w:cs="Arial"/>
              </w:rPr>
              <w:t>Within 3 months of the change taking effect</w:t>
            </w:r>
          </w:p>
        </w:tc>
        <w:tc>
          <w:tcPr>
            <w:tcW w:w="2296" w:type="dxa"/>
            <w:vAlign w:val="center"/>
          </w:tcPr>
          <w:p w14:paraId="72582A02"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50983C58" w14:textId="77777777" w:rsidTr="009A5F55">
        <w:trPr>
          <w:trHeight w:val="759"/>
        </w:trPr>
        <w:tc>
          <w:tcPr>
            <w:tcW w:w="3544" w:type="dxa"/>
            <w:vAlign w:val="center"/>
          </w:tcPr>
          <w:p w14:paraId="181005AF" w14:textId="77777777" w:rsidR="005F6F1D" w:rsidRPr="005F6F1D" w:rsidRDefault="005F6F1D" w:rsidP="005F6F1D">
            <w:pPr>
              <w:rPr>
                <w:rFonts w:ascii="Arial" w:eastAsia="Calibri" w:hAnsi="Arial" w:cs="Arial"/>
              </w:rPr>
            </w:pPr>
            <w:r w:rsidRPr="005F6F1D">
              <w:rPr>
                <w:rFonts w:ascii="Arial" w:eastAsia="Calibri" w:hAnsi="Arial" w:cs="Arial"/>
              </w:rPr>
              <w:t>Transfer Credits (quote)</w:t>
            </w:r>
          </w:p>
        </w:tc>
        <w:tc>
          <w:tcPr>
            <w:tcW w:w="3402" w:type="dxa"/>
            <w:vAlign w:val="center"/>
          </w:tcPr>
          <w:p w14:paraId="39B6BB21" w14:textId="77777777" w:rsidR="005F6F1D" w:rsidRPr="005F6F1D" w:rsidRDefault="005F6F1D" w:rsidP="005F6F1D">
            <w:pPr>
              <w:rPr>
                <w:rFonts w:ascii="Arial" w:eastAsia="Calibri" w:hAnsi="Arial" w:cs="Arial"/>
              </w:rPr>
            </w:pPr>
            <w:r w:rsidRPr="005F6F1D">
              <w:rPr>
                <w:rFonts w:ascii="Arial" w:eastAsia="Calibri" w:hAnsi="Arial" w:cs="Arial"/>
              </w:rPr>
              <w:t>Within 2 months</w:t>
            </w:r>
          </w:p>
        </w:tc>
        <w:tc>
          <w:tcPr>
            <w:tcW w:w="2296" w:type="dxa"/>
            <w:vAlign w:val="center"/>
          </w:tcPr>
          <w:p w14:paraId="3235AF70"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1ADE17E" w14:textId="77777777" w:rsidTr="009A5F55">
        <w:trPr>
          <w:trHeight w:val="759"/>
        </w:trPr>
        <w:tc>
          <w:tcPr>
            <w:tcW w:w="3544" w:type="dxa"/>
            <w:vAlign w:val="center"/>
          </w:tcPr>
          <w:p w14:paraId="7B4FE1F1"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Statements</w:t>
            </w:r>
          </w:p>
        </w:tc>
        <w:tc>
          <w:tcPr>
            <w:tcW w:w="3402" w:type="dxa"/>
            <w:vAlign w:val="center"/>
          </w:tcPr>
          <w:p w14:paraId="429BE2EC"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2E211B9F" w14:textId="77777777" w:rsidR="00BD112A" w:rsidRPr="00BD112A" w:rsidRDefault="00BD112A" w:rsidP="00BD112A">
            <w:pPr>
              <w:rPr>
                <w:rFonts w:ascii="Arial" w:eastAsia="Calibri" w:hAnsi="Arial" w:cs="Arial"/>
              </w:rPr>
            </w:pPr>
            <w:r w:rsidRPr="00BD112A">
              <w:rPr>
                <w:rFonts w:ascii="Arial" w:eastAsia="Calibri" w:hAnsi="Arial" w:cs="Arial"/>
              </w:rPr>
              <w:t>Breach for in scope scheme members</w:t>
            </w:r>
          </w:p>
          <w:p w14:paraId="715D41B0" w14:textId="1AAB0665" w:rsidR="005F6F1D" w:rsidRPr="005F6F1D" w:rsidRDefault="005F6F1D" w:rsidP="005F6F1D">
            <w:pPr>
              <w:jc w:val="center"/>
              <w:rPr>
                <w:rFonts w:ascii="Arial" w:eastAsia="Calibri" w:hAnsi="Arial" w:cs="Arial"/>
              </w:rPr>
            </w:pPr>
          </w:p>
        </w:tc>
      </w:tr>
      <w:tr w:rsidR="005F6F1D" w:rsidRPr="005F6F1D" w14:paraId="2F7BA656" w14:textId="77777777" w:rsidTr="009A5F55">
        <w:trPr>
          <w:trHeight w:val="759"/>
        </w:trPr>
        <w:tc>
          <w:tcPr>
            <w:tcW w:w="3544" w:type="dxa"/>
            <w:vAlign w:val="center"/>
          </w:tcPr>
          <w:p w14:paraId="26B06F9F"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 (upon request)</w:t>
            </w:r>
          </w:p>
        </w:tc>
        <w:tc>
          <w:tcPr>
            <w:tcW w:w="3402" w:type="dxa"/>
            <w:vAlign w:val="center"/>
          </w:tcPr>
          <w:p w14:paraId="59B7003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5C908643"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3FC97683" w14:textId="77777777" w:rsidTr="009A5F55">
        <w:trPr>
          <w:trHeight w:val="759"/>
        </w:trPr>
        <w:tc>
          <w:tcPr>
            <w:tcW w:w="3544" w:type="dxa"/>
            <w:vAlign w:val="center"/>
          </w:tcPr>
          <w:p w14:paraId="35A8FD98"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Statements</w:t>
            </w:r>
          </w:p>
        </w:tc>
        <w:tc>
          <w:tcPr>
            <w:tcW w:w="3402" w:type="dxa"/>
            <w:vAlign w:val="center"/>
          </w:tcPr>
          <w:p w14:paraId="2F158D95"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703D7EBB" w14:textId="5585979C" w:rsidR="00BD112A" w:rsidRPr="00BD112A" w:rsidRDefault="00BD112A" w:rsidP="00BD112A">
            <w:pPr>
              <w:rPr>
                <w:rFonts w:ascii="Arial" w:eastAsia="Calibri" w:hAnsi="Arial" w:cs="Arial"/>
              </w:rPr>
            </w:pPr>
            <w:r w:rsidRPr="00BD112A">
              <w:rPr>
                <w:rFonts w:ascii="Arial" w:eastAsia="Calibri" w:hAnsi="Arial" w:cs="Arial"/>
              </w:rPr>
              <w:t>Breach for in scope scheme members</w:t>
            </w:r>
          </w:p>
          <w:p w14:paraId="68E54D0A" w14:textId="0233C39A" w:rsidR="005F6F1D" w:rsidRPr="005F6F1D" w:rsidRDefault="005F6F1D" w:rsidP="005F6F1D">
            <w:pPr>
              <w:jc w:val="center"/>
              <w:rPr>
                <w:rFonts w:ascii="Arial" w:eastAsia="Calibri" w:hAnsi="Arial" w:cs="Arial"/>
              </w:rPr>
            </w:pPr>
          </w:p>
        </w:tc>
      </w:tr>
      <w:tr w:rsidR="005F6F1D" w:rsidRPr="005F6F1D" w14:paraId="0BB3FAF9" w14:textId="77777777" w:rsidTr="009A5F55">
        <w:trPr>
          <w:trHeight w:val="759"/>
        </w:trPr>
        <w:tc>
          <w:tcPr>
            <w:tcW w:w="3544" w:type="dxa"/>
            <w:vAlign w:val="center"/>
          </w:tcPr>
          <w:p w14:paraId="2ED45F6D"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 (upon request)</w:t>
            </w:r>
          </w:p>
        </w:tc>
        <w:tc>
          <w:tcPr>
            <w:tcW w:w="3402" w:type="dxa"/>
            <w:vAlign w:val="center"/>
          </w:tcPr>
          <w:p w14:paraId="245D984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35A8117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02DA7F48" w14:textId="77777777" w:rsidTr="009A5F55">
        <w:trPr>
          <w:trHeight w:val="759"/>
        </w:trPr>
        <w:tc>
          <w:tcPr>
            <w:tcW w:w="3544" w:type="dxa"/>
            <w:vAlign w:val="center"/>
          </w:tcPr>
          <w:p w14:paraId="12AFE106" w14:textId="77777777" w:rsidR="005F6F1D" w:rsidRPr="005F6F1D" w:rsidRDefault="005F6F1D" w:rsidP="005F6F1D">
            <w:pPr>
              <w:rPr>
                <w:rFonts w:ascii="Arial" w:eastAsia="Calibri" w:hAnsi="Arial" w:cs="Arial"/>
              </w:rPr>
            </w:pPr>
            <w:r w:rsidRPr="005F6F1D">
              <w:rPr>
                <w:rFonts w:ascii="Arial" w:eastAsia="Calibri" w:hAnsi="Arial" w:cs="Arial"/>
              </w:rPr>
              <w:t>Pension Savings Statements</w:t>
            </w:r>
          </w:p>
        </w:tc>
        <w:tc>
          <w:tcPr>
            <w:tcW w:w="3402" w:type="dxa"/>
            <w:vAlign w:val="center"/>
          </w:tcPr>
          <w:p w14:paraId="0058705C" w14:textId="77777777" w:rsidR="005F6F1D" w:rsidRPr="005F6F1D" w:rsidRDefault="005F6F1D" w:rsidP="005F6F1D">
            <w:pPr>
              <w:rPr>
                <w:rFonts w:ascii="Arial" w:eastAsia="Calibri" w:hAnsi="Arial" w:cs="Arial"/>
              </w:rPr>
            </w:pPr>
            <w:r w:rsidRPr="005F6F1D">
              <w:rPr>
                <w:rFonts w:ascii="Arial" w:eastAsia="Calibri" w:hAnsi="Arial" w:cs="Arial"/>
              </w:rPr>
              <w:t>By 6 October each year</w:t>
            </w:r>
          </w:p>
        </w:tc>
        <w:tc>
          <w:tcPr>
            <w:tcW w:w="2296" w:type="dxa"/>
            <w:vAlign w:val="center"/>
          </w:tcPr>
          <w:p w14:paraId="5BDB3058"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9005518" w14:textId="77777777" w:rsidTr="009A5F55">
        <w:trPr>
          <w:trHeight w:val="759"/>
        </w:trPr>
        <w:tc>
          <w:tcPr>
            <w:tcW w:w="3544" w:type="dxa"/>
            <w:vAlign w:val="center"/>
          </w:tcPr>
          <w:p w14:paraId="1351B0D2"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Cash Equivalent Transfer Value  </w:t>
            </w:r>
          </w:p>
          <w:p w14:paraId="3FF91C97" w14:textId="77777777" w:rsidR="005F6F1D" w:rsidRPr="005F6F1D" w:rsidRDefault="005F6F1D" w:rsidP="005F6F1D">
            <w:pPr>
              <w:rPr>
                <w:rFonts w:ascii="Arial" w:eastAsia="Calibri" w:hAnsi="Arial" w:cs="Arial"/>
              </w:rPr>
            </w:pPr>
            <w:r w:rsidRPr="005F6F1D">
              <w:rPr>
                <w:rFonts w:ascii="Arial" w:eastAsia="Calibri" w:hAnsi="Arial" w:cs="Arial"/>
              </w:rPr>
              <w:t>Out</w:t>
            </w:r>
          </w:p>
        </w:tc>
        <w:tc>
          <w:tcPr>
            <w:tcW w:w="3402" w:type="dxa"/>
            <w:vAlign w:val="center"/>
          </w:tcPr>
          <w:p w14:paraId="52CAB574" w14:textId="77777777" w:rsidR="005F6F1D" w:rsidRPr="005F6F1D" w:rsidRDefault="005F6F1D" w:rsidP="005F6F1D">
            <w:pPr>
              <w:rPr>
                <w:rFonts w:ascii="Arial" w:eastAsia="Calibri" w:hAnsi="Arial" w:cs="Arial"/>
              </w:rPr>
            </w:pPr>
            <w:r w:rsidRPr="005F6F1D">
              <w:rPr>
                <w:rFonts w:ascii="Arial" w:eastAsia="Calibri" w:hAnsi="Arial" w:cs="Arial"/>
              </w:rPr>
              <w:t>Within 3 months of request</w:t>
            </w:r>
          </w:p>
        </w:tc>
        <w:tc>
          <w:tcPr>
            <w:tcW w:w="2296" w:type="dxa"/>
            <w:vAlign w:val="center"/>
          </w:tcPr>
          <w:p w14:paraId="45A012DC"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27FCE0F" w14:textId="77777777" w:rsidTr="009A5F55">
        <w:trPr>
          <w:trHeight w:val="759"/>
        </w:trPr>
        <w:tc>
          <w:tcPr>
            <w:tcW w:w="3544" w:type="dxa"/>
            <w:vAlign w:val="center"/>
          </w:tcPr>
          <w:p w14:paraId="0CCD4506" w14:textId="77777777" w:rsidR="005F6F1D" w:rsidRPr="005F6F1D" w:rsidRDefault="005F6F1D" w:rsidP="005F6F1D">
            <w:pPr>
              <w:rPr>
                <w:rFonts w:ascii="Arial" w:eastAsia="Calibri" w:hAnsi="Arial" w:cs="Arial"/>
              </w:rPr>
            </w:pPr>
            <w:r w:rsidRPr="005F6F1D">
              <w:rPr>
                <w:rFonts w:ascii="Arial" w:eastAsia="Calibri" w:hAnsi="Arial" w:cs="Arial"/>
              </w:rPr>
              <w:t>Accessing Benefits before Normal Pension Age</w:t>
            </w:r>
          </w:p>
        </w:tc>
        <w:tc>
          <w:tcPr>
            <w:tcW w:w="3402" w:type="dxa"/>
            <w:vAlign w:val="center"/>
          </w:tcPr>
          <w:p w14:paraId="39DDBFB6" w14:textId="77777777" w:rsidR="005F6F1D" w:rsidRPr="005F6F1D" w:rsidRDefault="005F6F1D" w:rsidP="005F6F1D">
            <w:pPr>
              <w:rPr>
                <w:rFonts w:ascii="Arial" w:eastAsia="Calibri" w:hAnsi="Arial" w:cs="Arial"/>
              </w:rPr>
            </w:pPr>
            <w:r w:rsidRPr="005F6F1D">
              <w:rPr>
                <w:rFonts w:ascii="Arial" w:eastAsia="Calibri" w:hAnsi="Arial" w:cs="Arial"/>
              </w:rPr>
              <w:t>2 month of benefits becoming payable</w:t>
            </w:r>
          </w:p>
        </w:tc>
        <w:tc>
          <w:tcPr>
            <w:tcW w:w="2296" w:type="dxa"/>
            <w:vAlign w:val="center"/>
          </w:tcPr>
          <w:p w14:paraId="0B107C5E"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0301E0F" w14:textId="77777777" w:rsidTr="009A5F55">
        <w:trPr>
          <w:trHeight w:val="759"/>
        </w:trPr>
        <w:tc>
          <w:tcPr>
            <w:tcW w:w="3544" w:type="dxa"/>
            <w:vAlign w:val="center"/>
          </w:tcPr>
          <w:p w14:paraId="4C10D9DC" w14:textId="77777777" w:rsidR="005F6F1D" w:rsidRPr="005F6F1D" w:rsidRDefault="005F6F1D" w:rsidP="005F6F1D">
            <w:pPr>
              <w:rPr>
                <w:rFonts w:ascii="Arial" w:eastAsia="Calibri" w:hAnsi="Arial" w:cs="Arial"/>
              </w:rPr>
            </w:pPr>
            <w:r w:rsidRPr="005F6F1D">
              <w:rPr>
                <w:rFonts w:ascii="Arial" w:eastAsia="Calibri" w:hAnsi="Arial" w:cs="Arial"/>
              </w:rPr>
              <w:t>Accessing Benefits on or after Normal Pension Age</w:t>
            </w:r>
          </w:p>
        </w:tc>
        <w:tc>
          <w:tcPr>
            <w:tcW w:w="3402" w:type="dxa"/>
            <w:vAlign w:val="center"/>
          </w:tcPr>
          <w:p w14:paraId="3D82A08B" w14:textId="77777777" w:rsidR="005F6F1D" w:rsidRPr="005F6F1D" w:rsidRDefault="005F6F1D" w:rsidP="005F6F1D">
            <w:pPr>
              <w:rPr>
                <w:rFonts w:ascii="Arial" w:eastAsia="Calibri" w:hAnsi="Arial" w:cs="Arial"/>
              </w:rPr>
            </w:pPr>
            <w:r w:rsidRPr="005F6F1D">
              <w:rPr>
                <w:rFonts w:ascii="Arial" w:eastAsia="Calibri" w:hAnsi="Arial" w:cs="Arial"/>
              </w:rPr>
              <w:t>1 month of benefits becoming payable</w:t>
            </w:r>
          </w:p>
        </w:tc>
        <w:tc>
          <w:tcPr>
            <w:tcW w:w="2296" w:type="dxa"/>
            <w:vAlign w:val="center"/>
          </w:tcPr>
          <w:p w14:paraId="5755C33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74A87477" w14:textId="77777777" w:rsidTr="009A5F55">
        <w:trPr>
          <w:trHeight w:val="759"/>
        </w:trPr>
        <w:tc>
          <w:tcPr>
            <w:tcW w:w="3544" w:type="dxa"/>
            <w:vAlign w:val="center"/>
          </w:tcPr>
          <w:p w14:paraId="20FDD495" w14:textId="77777777" w:rsidR="005F6F1D" w:rsidRPr="005F6F1D" w:rsidRDefault="005F6F1D" w:rsidP="005F6F1D">
            <w:pPr>
              <w:rPr>
                <w:rFonts w:ascii="Arial" w:eastAsia="Calibri" w:hAnsi="Arial" w:cs="Arial"/>
              </w:rPr>
            </w:pPr>
            <w:r w:rsidRPr="005F6F1D">
              <w:rPr>
                <w:rFonts w:ascii="Arial" w:eastAsia="Calibri" w:hAnsi="Arial" w:cs="Arial"/>
              </w:rPr>
              <w:t>Notification of Deferred Benefit entitlement</w:t>
            </w:r>
          </w:p>
        </w:tc>
        <w:tc>
          <w:tcPr>
            <w:tcW w:w="3402" w:type="dxa"/>
            <w:vAlign w:val="center"/>
          </w:tcPr>
          <w:p w14:paraId="44D11545" w14:textId="77777777" w:rsidR="005F6F1D" w:rsidRPr="005F6F1D" w:rsidRDefault="005F6F1D" w:rsidP="005F6F1D">
            <w:pPr>
              <w:rPr>
                <w:rFonts w:ascii="Arial" w:eastAsia="Calibri" w:hAnsi="Arial" w:cs="Arial"/>
              </w:rPr>
            </w:pPr>
            <w:r w:rsidRPr="005F6F1D">
              <w:rPr>
                <w:rFonts w:ascii="Arial" w:eastAsia="Calibri" w:hAnsi="Arial" w:cs="Arial"/>
              </w:rPr>
              <w:t>2 months of being notified of leaver</w:t>
            </w:r>
          </w:p>
        </w:tc>
        <w:tc>
          <w:tcPr>
            <w:tcW w:w="2296" w:type="dxa"/>
            <w:vAlign w:val="center"/>
          </w:tcPr>
          <w:p w14:paraId="2429DA4D"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bl>
    <w:p w14:paraId="7D88F7C8" w14:textId="77777777" w:rsidR="005F6F1D" w:rsidRPr="005F6F1D" w:rsidRDefault="005F6F1D" w:rsidP="005F6F1D">
      <w:pPr>
        <w:spacing w:after="0"/>
        <w:rPr>
          <w:rFonts w:ascii="Arial" w:eastAsia="Calibri" w:hAnsi="Arial" w:cs="Arial"/>
          <w:color w:val="4A66AC"/>
          <w:sz w:val="56"/>
          <w:szCs w:val="56"/>
        </w:rPr>
      </w:pPr>
    </w:p>
    <w:p w14:paraId="0A96ABEB" w14:textId="77777777" w:rsidR="005F6F1D" w:rsidRPr="005F6F1D" w:rsidRDefault="005F6F1D" w:rsidP="005F6F1D">
      <w:pPr>
        <w:spacing w:after="0"/>
        <w:rPr>
          <w:rFonts w:ascii="Arial" w:eastAsia="Calibri" w:hAnsi="Arial" w:cs="Arial"/>
          <w:color w:val="4A66AC"/>
          <w:sz w:val="56"/>
          <w:szCs w:val="56"/>
        </w:rPr>
      </w:pPr>
    </w:p>
    <w:p w14:paraId="514E1E60" w14:textId="77777777" w:rsidR="005F6F1D" w:rsidRPr="005F6F1D" w:rsidRDefault="005F6F1D" w:rsidP="005F6F1D">
      <w:pPr>
        <w:spacing w:after="0"/>
        <w:rPr>
          <w:rFonts w:ascii="Arial" w:eastAsia="Calibri" w:hAnsi="Arial" w:cs="Arial"/>
          <w:color w:val="4A66AC"/>
          <w:sz w:val="56"/>
          <w:szCs w:val="56"/>
        </w:rPr>
      </w:pPr>
    </w:p>
    <w:p w14:paraId="3CF03812" w14:textId="77777777" w:rsidR="005F6F1D" w:rsidRPr="005F6F1D" w:rsidRDefault="005F6F1D" w:rsidP="005F6F1D">
      <w:pPr>
        <w:spacing w:after="0"/>
        <w:rPr>
          <w:rFonts w:ascii="Arial" w:eastAsia="Calibri" w:hAnsi="Arial" w:cs="Arial"/>
          <w:color w:val="4A66AC"/>
          <w:sz w:val="56"/>
          <w:szCs w:val="56"/>
        </w:rPr>
      </w:pPr>
    </w:p>
    <w:p w14:paraId="66A3D34B" w14:textId="77777777" w:rsidR="005F6F1D" w:rsidRPr="005F6F1D" w:rsidRDefault="005F6F1D" w:rsidP="005F6F1D">
      <w:pPr>
        <w:spacing w:after="0"/>
        <w:rPr>
          <w:rFonts w:ascii="Arial" w:eastAsia="Calibri" w:hAnsi="Arial" w:cs="Arial"/>
          <w:color w:val="4A66AC"/>
          <w:sz w:val="56"/>
          <w:szCs w:val="56"/>
        </w:rPr>
      </w:pPr>
    </w:p>
    <w:p w14:paraId="35EDCC66" w14:textId="77777777" w:rsidR="005F6F1D" w:rsidRPr="005F6F1D" w:rsidRDefault="005F6F1D" w:rsidP="005F6F1D">
      <w:pPr>
        <w:rPr>
          <w:rFonts w:ascii="Arial" w:eastAsia="Calibri" w:hAnsi="Arial" w:cs="Arial"/>
          <w:b/>
          <w:color w:val="0070C0"/>
          <w:sz w:val="36"/>
          <w:szCs w:val="36"/>
        </w:rPr>
      </w:pPr>
    </w:p>
    <w:p w14:paraId="7EC72AF6" w14:textId="77777777" w:rsidR="005F6F1D" w:rsidRPr="005F6F1D" w:rsidRDefault="005F6F1D" w:rsidP="005F6F1D">
      <w:pPr>
        <w:rPr>
          <w:rFonts w:ascii="Arial" w:eastAsia="Calibri" w:hAnsi="Arial" w:cs="Arial"/>
          <w:b/>
          <w:color w:val="0070C0"/>
          <w:sz w:val="28"/>
          <w:szCs w:val="28"/>
        </w:rPr>
      </w:pPr>
      <w:r w:rsidRPr="005F6F1D">
        <w:rPr>
          <w:rFonts w:ascii="Arial" w:eastAsia="Calibri" w:hAnsi="Arial" w:cs="Arial"/>
          <w:b/>
          <w:color w:val="0070C0"/>
          <w:sz w:val="36"/>
          <w:szCs w:val="36"/>
        </w:rPr>
        <w:lastRenderedPageBreak/>
        <w:t xml:space="preserve"> </w:t>
      </w:r>
      <w:r w:rsidRPr="005F6F1D">
        <w:rPr>
          <w:rFonts w:ascii="Arial" w:eastAsia="Calibri" w:hAnsi="Arial" w:cs="Arial"/>
          <w:b/>
          <w:color w:val="0070C0"/>
          <w:sz w:val="28"/>
          <w:szCs w:val="28"/>
        </w:rPr>
        <w:t xml:space="preserve"> Divorce Time limits</w:t>
      </w:r>
    </w:p>
    <w:tbl>
      <w:tblPr>
        <w:tblStyle w:val="TableGrid"/>
        <w:tblW w:w="9242" w:type="dxa"/>
        <w:tblInd w:w="108" w:type="dxa"/>
        <w:tblLook w:val="04A0" w:firstRow="1" w:lastRow="0" w:firstColumn="1" w:lastColumn="0" w:noHBand="0" w:noVBand="1"/>
      </w:tblPr>
      <w:tblGrid>
        <w:gridCol w:w="3544"/>
        <w:gridCol w:w="3686"/>
        <w:gridCol w:w="2012"/>
      </w:tblGrid>
      <w:tr w:rsidR="005F6F1D" w:rsidRPr="005F6F1D" w14:paraId="35CB9386" w14:textId="77777777" w:rsidTr="009A5F55">
        <w:trPr>
          <w:trHeight w:val="858"/>
        </w:trPr>
        <w:tc>
          <w:tcPr>
            <w:tcW w:w="3544" w:type="dxa"/>
            <w:tcBorders>
              <w:top w:val="single" w:sz="4" w:space="0" w:color="auto"/>
              <w:left w:val="single" w:sz="4" w:space="0" w:color="auto"/>
              <w:bottom w:val="single" w:sz="4" w:space="0" w:color="auto"/>
              <w:right w:val="single" w:sz="4" w:space="0" w:color="auto"/>
            </w:tcBorders>
          </w:tcPr>
          <w:p w14:paraId="39C80B44" w14:textId="77777777" w:rsidR="005F6F1D" w:rsidRPr="005F6F1D" w:rsidRDefault="005F6F1D" w:rsidP="005F6F1D">
            <w:pPr>
              <w:jc w:val="center"/>
              <w:rPr>
                <w:rFonts w:ascii="Arial" w:eastAsia="Calibri" w:hAnsi="Arial" w:cs="Arial"/>
                <w:b/>
              </w:rPr>
            </w:pPr>
          </w:p>
          <w:p w14:paraId="4A64F8C2" w14:textId="77777777" w:rsidR="005F6F1D" w:rsidRPr="005F6F1D" w:rsidRDefault="005F6F1D" w:rsidP="005F6F1D">
            <w:pPr>
              <w:jc w:val="center"/>
              <w:rPr>
                <w:rFonts w:ascii="Arial" w:eastAsia="Calibri" w:hAnsi="Arial" w:cs="Arial"/>
              </w:rPr>
            </w:pPr>
            <w:r w:rsidRPr="005F6F1D">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14:paraId="1EA80824" w14:textId="77777777" w:rsidR="005F6F1D" w:rsidRPr="005F6F1D" w:rsidRDefault="005F6F1D" w:rsidP="005F6F1D">
            <w:pPr>
              <w:jc w:val="center"/>
              <w:rPr>
                <w:rFonts w:ascii="Arial" w:eastAsia="Calibri" w:hAnsi="Arial" w:cs="Arial"/>
                <w:b/>
              </w:rPr>
            </w:pPr>
          </w:p>
          <w:p w14:paraId="2F4D0281" w14:textId="77777777" w:rsidR="005F6F1D" w:rsidRPr="005F6F1D" w:rsidRDefault="005F6F1D" w:rsidP="005F6F1D">
            <w:pPr>
              <w:jc w:val="center"/>
              <w:rPr>
                <w:rFonts w:ascii="Arial" w:eastAsia="Calibri" w:hAnsi="Arial" w:cs="Arial"/>
                <w:b/>
              </w:rPr>
            </w:pPr>
            <w:r w:rsidRPr="005F6F1D">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14:paraId="3865D5E5" w14:textId="77777777" w:rsidR="005F6F1D" w:rsidRPr="005F6F1D" w:rsidRDefault="005F6F1D" w:rsidP="005F6F1D">
            <w:pPr>
              <w:jc w:val="center"/>
              <w:rPr>
                <w:rFonts w:ascii="Arial" w:eastAsia="Calibri" w:hAnsi="Arial" w:cs="Arial"/>
                <w:b/>
              </w:rPr>
            </w:pPr>
            <w:r w:rsidRPr="005F6F1D">
              <w:rPr>
                <w:rFonts w:ascii="Arial" w:eastAsia="Calibri" w:hAnsi="Arial" w:cs="Arial"/>
                <w:b/>
              </w:rPr>
              <w:t>Number of breaches in month</w:t>
            </w:r>
          </w:p>
        </w:tc>
      </w:tr>
      <w:tr w:rsidR="005F6F1D" w:rsidRPr="005F6F1D" w14:paraId="4CACFA21" w14:textId="77777777" w:rsidTr="009A5F55">
        <w:trPr>
          <w:trHeight w:val="764"/>
        </w:trPr>
        <w:tc>
          <w:tcPr>
            <w:tcW w:w="3544" w:type="dxa"/>
            <w:tcBorders>
              <w:top w:val="single" w:sz="4" w:space="0" w:color="auto"/>
              <w:left w:val="single" w:sz="4" w:space="0" w:color="auto"/>
              <w:bottom w:val="single" w:sz="4" w:space="0" w:color="auto"/>
              <w:right w:val="single" w:sz="4" w:space="0" w:color="auto"/>
            </w:tcBorders>
            <w:hideMark/>
          </w:tcPr>
          <w:p w14:paraId="5DE753A5" w14:textId="77777777" w:rsidR="005F6F1D" w:rsidRPr="005F6F1D" w:rsidRDefault="005F6F1D" w:rsidP="005F6F1D">
            <w:pPr>
              <w:rPr>
                <w:rFonts w:ascii="Arial" w:eastAsia="Calibri" w:hAnsi="Arial" w:cs="Arial"/>
              </w:rPr>
            </w:pPr>
            <w:r w:rsidRPr="005F6F1D">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hideMark/>
          </w:tcPr>
          <w:p w14:paraId="0E80C43A" w14:textId="77777777" w:rsidR="005F6F1D" w:rsidRPr="005F6F1D" w:rsidRDefault="005F6F1D" w:rsidP="005F6F1D">
            <w:pPr>
              <w:rPr>
                <w:rFonts w:ascii="Arial" w:eastAsia="Calibri" w:hAnsi="Arial" w:cs="Arial"/>
              </w:rPr>
            </w:pPr>
            <w:r w:rsidRPr="005F6F1D">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tcPr>
          <w:p w14:paraId="7CF48C08"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2F92A972"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23049B22"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hideMark/>
          </w:tcPr>
          <w:p w14:paraId="02C02459" w14:textId="77777777" w:rsidR="005F6F1D" w:rsidRPr="005F6F1D" w:rsidRDefault="005F6F1D" w:rsidP="005F6F1D">
            <w:pPr>
              <w:rPr>
                <w:rFonts w:ascii="Arial" w:eastAsia="Calibri" w:hAnsi="Arial" w:cs="Arial"/>
              </w:rPr>
            </w:pPr>
            <w:r w:rsidRPr="005F6F1D">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tcPr>
          <w:p w14:paraId="203F1844"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A5568D0" w14:textId="77777777" w:rsidTr="009A5F55">
        <w:trPr>
          <w:trHeight w:val="1334"/>
        </w:trPr>
        <w:tc>
          <w:tcPr>
            <w:tcW w:w="3544" w:type="dxa"/>
            <w:tcBorders>
              <w:top w:val="single" w:sz="4" w:space="0" w:color="auto"/>
              <w:left w:val="single" w:sz="4" w:space="0" w:color="auto"/>
              <w:bottom w:val="single" w:sz="4" w:space="0" w:color="auto"/>
              <w:right w:val="single" w:sz="4" w:space="0" w:color="auto"/>
            </w:tcBorders>
            <w:hideMark/>
          </w:tcPr>
          <w:p w14:paraId="287B427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hideMark/>
          </w:tcPr>
          <w:p w14:paraId="1BB2D1F0" w14:textId="77777777" w:rsidR="005F6F1D" w:rsidRPr="005F6F1D" w:rsidRDefault="005F6F1D" w:rsidP="005F6F1D">
            <w:pPr>
              <w:rPr>
                <w:rFonts w:ascii="Arial" w:eastAsia="Calibri" w:hAnsi="Arial" w:cs="Arial"/>
              </w:rPr>
            </w:pPr>
            <w:r w:rsidRPr="005F6F1D">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tcPr>
          <w:p w14:paraId="362CA8D3"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470B0EF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69A2DC4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hideMark/>
          </w:tcPr>
          <w:p w14:paraId="27EAC05B" w14:textId="77777777" w:rsidR="005F6F1D" w:rsidRPr="005F6F1D" w:rsidRDefault="005F6F1D" w:rsidP="005F6F1D">
            <w:pPr>
              <w:rPr>
                <w:rFonts w:ascii="Arial" w:eastAsia="Calibri" w:hAnsi="Arial" w:cs="Arial"/>
              </w:rPr>
            </w:pPr>
            <w:r w:rsidRPr="005F6F1D">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tcPr>
          <w:p w14:paraId="73E22DF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480FD7B" w14:textId="77777777" w:rsidTr="009A5F55">
        <w:trPr>
          <w:trHeight w:val="1206"/>
        </w:trPr>
        <w:tc>
          <w:tcPr>
            <w:tcW w:w="3544" w:type="dxa"/>
            <w:tcBorders>
              <w:top w:val="single" w:sz="4" w:space="0" w:color="auto"/>
              <w:left w:val="single" w:sz="4" w:space="0" w:color="auto"/>
              <w:bottom w:val="single" w:sz="4" w:space="0" w:color="auto"/>
              <w:right w:val="single" w:sz="4" w:space="0" w:color="auto"/>
            </w:tcBorders>
            <w:hideMark/>
          </w:tcPr>
          <w:p w14:paraId="0E49DB4C"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Where the request is for information which does not include a Cash Equivalent Transfer Value  </w:t>
            </w:r>
          </w:p>
          <w:p w14:paraId="426EA39D" w14:textId="77777777" w:rsidR="005F6F1D" w:rsidRPr="005F6F1D" w:rsidRDefault="005F6F1D" w:rsidP="005F6F1D">
            <w:pPr>
              <w:rPr>
                <w:rFonts w:ascii="Arial" w:eastAsia="Calibri" w:hAnsi="Arial" w:cs="Arial"/>
                <w:snapToGrid w:val="0"/>
              </w:rPr>
            </w:pPr>
          </w:p>
          <w:p w14:paraId="29878FEF" w14:textId="77777777" w:rsidR="005F6F1D" w:rsidRPr="005F6F1D" w:rsidRDefault="005F6F1D" w:rsidP="005F6F1D">
            <w:pPr>
              <w:rPr>
                <w:rFonts w:ascii="Arial" w:eastAsia="Calibri" w:hAnsi="Arial" w:cs="Arial"/>
                <w:b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50A98BC1"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tcPr>
          <w:p w14:paraId="13635357"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57028EF"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43893F76"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 xml:space="preserve">Pension Sharing Order received but some </w:t>
            </w:r>
            <w:r w:rsidRPr="005F6F1D">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hideMark/>
          </w:tcPr>
          <w:p w14:paraId="03545B4D"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tcPr>
          <w:p w14:paraId="563F4CBF"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75A6B3BD" w14:textId="77777777" w:rsidTr="009A5F55">
        <w:trPr>
          <w:trHeight w:val="1305"/>
        </w:trPr>
        <w:tc>
          <w:tcPr>
            <w:tcW w:w="3544" w:type="dxa"/>
            <w:tcBorders>
              <w:top w:val="single" w:sz="4" w:space="0" w:color="auto"/>
              <w:left w:val="single" w:sz="4" w:space="0" w:color="auto"/>
              <w:bottom w:val="single" w:sz="4" w:space="0" w:color="auto"/>
              <w:right w:val="single" w:sz="4" w:space="0" w:color="auto"/>
            </w:tcBorders>
          </w:tcPr>
          <w:p w14:paraId="4ADF38BB"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p w14:paraId="70904AF4" w14:textId="77777777" w:rsidR="005F6F1D" w:rsidRPr="005F6F1D" w:rsidRDefault="005F6F1D" w:rsidP="005F6F1D">
            <w:pPr>
              <w:rPr>
                <w:rFonts w:ascii="Arial" w:eastAsia="Calibri" w:hAnsi="Arial" w:cs="Arial"/>
                <w:bCs/>
                <w:snapToGrid w:val="0"/>
              </w:rPr>
            </w:pPr>
          </w:p>
          <w:p w14:paraId="6A98577E" w14:textId="77777777" w:rsidR="005F6F1D" w:rsidRPr="005F6F1D" w:rsidRDefault="005F6F1D" w:rsidP="005F6F1D">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7161697E"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tcPr>
          <w:p w14:paraId="4118F61E"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0280B70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174A4782"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hideMark/>
          </w:tcPr>
          <w:p w14:paraId="17A604CB"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tcPr>
          <w:p w14:paraId="5712ACE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4200A2B" w14:textId="77777777" w:rsidTr="009A5F55">
        <w:trPr>
          <w:trHeight w:val="1293"/>
        </w:trPr>
        <w:tc>
          <w:tcPr>
            <w:tcW w:w="3544" w:type="dxa"/>
            <w:tcBorders>
              <w:top w:val="single" w:sz="4" w:space="0" w:color="auto"/>
              <w:left w:val="single" w:sz="4" w:space="0" w:color="auto"/>
              <w:bottom w:val="single" w:sz="4" w:space="0" w:color="auto"/>
              <w:right w:val="single" w:sz="4" w:space="0" w:color="auto"/>
            </w:tcBorders>
          </w:tcPr>
          <w:p w14:paraId="1EFA1A21"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PSO has been implemented.</w:t>
            </w:r>
          </w:p>
          <w:p w14:paraId="7BC91943" w14:textId="77777777" w:rsidR="005F6F1D" w:rsidRPr="005F6F1D" w:rsidRDefault="005F6F1D" w:rsidP="005F6F1D">
            <w:pPr>
              <w:jc w:val="center"/>
              <w:rPr>
                <w:rFonts w:ascii="Arial" w:eastAsia="Calibri" w:hAnsi="Arial" w:cs="Arial"/>
              </w:rPr>
            </w:pPr>
          </w:p>
        </w:tc>
        <w:tc>
          <w:tcPr>
            <w:tcW w:w="3686" w:type="dxa"/>
            <w:tcBorders>
              <w:top w:val="single" w:sz="4" w:space="0" w:color="auto"/>
              <w:left w:val="single" w:sz="4" w:space="0" w:color="auto"/>
              <w:bottom w:val="single" w:sz="4" w:space="0" w:color="auto"/>
              <w:right w:val="single" w:sz="4" w:space="0" w:color="auto"/>
            </w:tcBorders>
          </w:tcPr>
          <w:p w14:paraId="6CDB15CD" w14:textId="77777777" w:rsidR="005F6F1D" w:rsidRPr="005F6F1D" w:rsidRDefault="005F6F1D" w:rsidP="005F6F1D">
            <w:pPr>
              <w:spacing w:before="160"/>
              <w:rPr>
                <w:rFonts w:ascii="Arial" w:eastAsia="Calibri" w:hAnsi="Arial" w:cs="Arial"/>
                <w:snapToGrid w:val="0"/>
              </w:rPr>
            </w:pPr>
            <w:r w:rsidRPr="005F6F1D">
              <w:rPr>
                <w:rFonts w:ascii="Arial" w:eastAsia="Calibri" w:hAnsi="Arial" w:cs="Arial"/>
                <w:snapToGrid w:val="0"/>
              </w:rPr>
              <w:t>A letter* must be sent to both parties within 21 days of implementing the PSO to notify both parties their entitlement.</w:t>
            </w:r>
          </w:p>
        </w:tc>
        <w:tc>
          <w:tcPr>
            <w:tcW w:w="2012" w:type="dxa"/>
            <w:tcBorders>
              <w:top w:val="single" w:sz="4" w:space="0" w:color="auto"/>
              <w:left w:val="single" w:sz="4" w:space="0" w:color="auto"/>
              <w:bottom w:val="single" w:sz="4" w:space="0" w:color="auto"/>
              <w:right w:val="single" w:sz="4" w:space="0" w:color="auto"/>
            </w:tcBorders>
          </w:tcPr>
          <w:p w14:paraId="2BE03A0F" w14:textId="77777777" w:rsidR="005F6F1D" w:rsidRPr="005F6F1D" w:rsidRDefault="005F6F1D" w:rsidP="005F6F1D">
            <w:pPr>
              <w:spacing w:before="160"/>
              <w:jc w:val="center"/>
              <w:rPr>
                <w:rFonts w:ascii="Arial" w:eastAsia="Calibri" w:hAnsi="Arial" w:cs="Arial"/>
                <w:snapToGrid w:val="0"/>
              </w:rPr>
            </w:pPr>
            <w:r w:rsidRPr="005F6F1D">
              <w:rPr>
                <w:rFonts w:ascii="Arial" w:eastAsia="Calibri" w:hAnsi="Arial" w:cs="Arial"/>
                <w:snapToGrid w:val="0"/>
              </w:rPr>
              <w:t>0</w:t>
            </w:r>
          </w:p>
        </w:tc>
      </w:tr>
    </w:tbl>
    <w:p w14:paraId="6DE1A77A" w14:textId="77777777" w:rsidR="00351A02" w:rsidRDefault="00351A02" w:rsidP="005F6F1D">
      <w:pPr>
        <w:spacing w:after="0"/>
        <w:rPr>
          <w:rFonts w:ascii="Arial" w:eastAsia="Calibri" w:hAnsi="Arial" w:cs="Arial"/>
          <w:b/>
          <w:color w:val="0070C0"/>
          <w:sz w:val="28"/>
          <w:szCs w:val="28"/>
        </w:rPr>
      </w:pPr>
    </w:p>
    <w:p w14:paraId="7BAF584D" w14:textId="04E2E0A5" w:rsidR="005F6F1D" w:rsidRDefault="005F6F1D" w:rsidP="005F6F1D">
      <w:pPr>
        <w:spacing w:after="0"/>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1</w:t>
      </w:r>
      <w:r w:rsidRPr="005F6F1D">
        <w:rPr>
          <w:rFonts w:ascii="Arial" w:eastAsia="Calibri" w:hAnsi="Arial" w:cs="Arial"/>
          <w:b/>
          <w:color w:val="0070C0"/>
          <w:sz w:val="28"/>
          <w:szCs w:val="28"/>
        </w:rPr>
        <w:t>. Calendar of Events</w:t>
      </w:r>
    </w:p>
    <w:p w14:paraId="7B7C5281" w14:textId="77777777" w:rsidR="00351A02" w:rsidRPr="00351A02" w:rsidRDefault="00351A02" w:rsidP="005F6F1D">
      <w:pPr>
        <w:spacing w:after="0"/>
        <w:rPr>
          <w:rFonts w:ascii="Arial" w:eastAsia="Calibri" w:hAnsi="Arial" w:cs="Arial"/>
          <w:b/>
          <w:color w:val="0070C0"/>
          <w:sz w:val="28"/>
          <w:szCs w:val="28"/>
        </w:rPr>
      </w:pPr>
    </w:p>
    <w:tbl>
      <w:tblPr>
        <w:tblStyle w:val="TableGrid11"/>
        <w:tblW w:w="0" w:type="auto"/>
        <w:tblLook w:val="04A0" w:firstRow="1" w:lastRow="0" w:firstColumn="1" w:lastColumn="0" w:noHBand="0" w:noVBand="1"/>
      </w:tblPr>
      <w:tblGrid>
        <w:gridCol w:w="2356"/>
        <w:gridCol w:w="2095"/>
        <w:gridCol w:w="2296"/>
        <w:gridCol w:w="2269"/>
      </w:tblGrid>
      <w:tr w:rsidR="005F6F1D" w:rsidRPr="005F6F1D" w14:paraId="1DCC280A" w14:textId="77777777" w:rsidTr="009A5F55">
        <w:tc>
          <w:tcPr>
            <w:tcW w:w="3487" w:type="dxa"/>
            <w:shd w:val="clear" w:color="auto" w:fill="FBFED4"/>
          </w:tcPr>
          <w:p w14:paraId="10DB6A80"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January</w:t>
            </w:r>
          </w:p>
        </w:tc>
        <w:tc>
          <w:tcPr>
            <w:tcW w:w="3487" w:type="dxa"/>
            <w:shd w:val="clear" w:color="auto" w:fill="FBFED4"/>
          </w:tcPr>
          <w:p w14:paraId="4C9172F6"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February</w:t>
            </w:r>
          </w:p>
        </w:tc>
        <w:tc>
          <w:tcPr>
            <w:tcW w:w="3487" w:type="dxa"/>
            <w:shd w:val="clear" w:color="auto" w:fill="FBFED4"/>
          </w:tcPr>
          <w:p w14:paraId="02F425A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March</w:t>
            </w:r>
          </w:p>
        </w:tc>
        <w:tc>
          <w:tcPr>
            <w:tcW w:w="3487" w:type="dxa"/>
            <w:shd w:val="clear" w:color="auto" w:fill="FBFED4"/>
          </w:tcPr>
          <w:p w14:paraId="6B54584B"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April</w:t>
            </w:r>
          </w:p>
        </w:tc>
      </w:tr>
      <w:tr w:rsidR="005F6F1D" w:rsidRPr="005F6F1D" w14:paraId="3E4E26B9" w14:textId="77777777" w:rsidTr="009A5F55">
        <w:trPr>
          <w:trHeight w:val="1756"/>
        </w:trPr>
        <w:tc>
          <w:tcPr>
            <w:tcW w:w="3487" w:type="dxa"/>
            <w:tcBorders>
              <w:bottom w:val="single" w:sz="4" w:space="0" w:color="auto"/>
            </w:tcBorders>
          </w:tcPr>
          <w:p w14:paraId="3C28DCA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6A6B8E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HMRC Event Reporting</w:t>
            </w:r>
          </w:p>
          <w:p w14:paraId="451070E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Payment of Unauthorised Lump Sum and Scheme Sanction Charge to HMRC</w:t>
            </w:r>
          </w:p>
        </w:tc>
        <w:tc>
          <w:tcPr>
            <w:tcW w:w="3487" w:type="dxa"/>
            <w:tcBorders>
              <w:bottom w:val="single" w:sz="4" w:space="0" w:color="auto"/>
            </w:tcBorders>
          </w:tcPr>
          <w:p w14:paraId="22C71DF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BD639D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Review of DWP benefits for Injury cases</w:t>
            </w:r>
          </w:p>
          <w:p w14:paraId="7476D40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GAD Data Collection Spreadsheet</w:t>
            </w:r>
          </w:p>
        </w:tc>
        <w:tc>
          <w:tcPr>
            <w:tcW w:w="3487" w:type="dxa"/>
            <w:tcBorders>
              <w:bottom w:val="single" w:sz="4" w:space="0" w:color="auto"/>
            </w:tcBorders>
          </w:tcPr>
          <w:p w14:paraId="0DB0532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Borders>
              <w:bottom w:val="single" w:sz="4" w:space="0" w:color="auto"/>
            </w:tcBorders>
          </w:tcPr>
          <w:p w14:paraId="4073C85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Apply Pensions Increase </w:t>
            </w:r>
          </w:p>
          <w:p w14:paraId="34D9165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Apply Care Revaluation</w:t>
            </w:r>
          </w:p>
          <w:p w14:paraId="073A903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P60’s</w:t>
            </w:r>
          </w:p>
          <w:p w14:paraId="6CBBB04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776657E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Pensioner Newsletter</w:t>
            </w:r>
          </w:p>
          <w:p w14:paraId="2C47171B" w14:textId="77777777" w:rsidR="005F6F1D" w:rsidRPr="005F6F1D" w:rsidRDefault="005F6F1D" w:rsidP="005F6F1D">
            <w:pPr>
              <w:rPr>
                <w:rFonts w:ascii="Calibri" w:eastAsia="Calibri" w:hAnsi="Calibri" w:cs="Times New Roman"/>
                <w:sz w:val="24"/>
                <w:szCs w:val="24"/>
              </w:rPr>
            </w:pPr>
          </w:p>
        </w:tc>
      </w:tr>
      <w:tr w:rsidR="005F6F1D" w:rsidRPr="005F6F1D" w14:paraId="3FEB08CC" w14:textId="77777777" w:rsidTr="009A5F55">
        <w:tc>
          <w:tcPr>
            <w:tcW w:w="3487" w:type="dxa"/>
            <w:shd w:val="clear" w:color="auto" w:fill="F8FAD8"/>
          </w:tcPr>
          <w:p w14:paraId="57305EB9"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May</w:t>
            </w:r>
          </w:p>
        </w:tc>
        <w:tc>
          <w:tcPr>
            <w:tcW w:w="3487" w:type="dxa"/>
            <w:shd w:val="clear" w:color="auto" w:fill="F8FAD8"/>
          </w:tcPr>
          <w:p w14:paraId="75AEBF0A"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June</w:t>
            </w:r>
          </w:p>
        </w:tc>
        <w:tc>
          <w:tcPr>
            <w:tcW w:w="3487" w:type="dxa"/>
            <w:shd w:val="clear" w:color="auto" w:fill="F8FAD8"/>
          </w:tcPr>
          <w:p w14:paraId="4BE3C8A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July</w:t>
            </w:r>
          </w:p>
        </w:tc>
        <w:tc>
          <w:tcPr>
            <w:tcW w:w="3487" w:type="dxa"/>
            <w:shd w:val="clear" w:color="auto" w:fill="F8FAD8"/>
          </w:tcPr>
          <w:p w14:paraId="7C96CAB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August</w:t>
            </w:r>
          </w:p>
        </w:tc>
      </w:tr>
      <w:tr w:rsidR="005F6F1D" w:rsidRPr="005F6F1D" w14:paraId="487CACD0" w14:textId="77777777" w:rsidTr="009A5F55">
        <w:trPr>
          <w:trHeight w:val="1699"/>
        </w:trPr>
        <w:tc>
          <w:tcPr>
            <w:tcW w:w="3487" w:type="dxa"/>
            <w:tcBorders>
              <w:bottom w:val="single" w:sz="4" w:space="0" w:color="auto"/>
            </w:tcBorders>
          </w:tcPr>
          <w:p w14:paraId="36BD56F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18BD5DC7"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3C369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Active Newsletter</w:t>
            </w:r>
          </w:p>
          <w:p w14:paraId="6AAB3F7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6AE43D8"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266D953B"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5502B12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63531243"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04F0802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19718D59"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4484A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5468832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r w:rsidR="005F6F1D" w:rsidRPr="005F6F1D" w14:paraId="01BF8D21" w14:textId="77777777" w:rsidTr="009A5F55">
        <w:tc>
          <w:tcPr>
            <w:tcW w:w="3487" w:type="dxa"/>
            <w:shd w:val="clear" w:color="auto" w:fill="FBFED4"/>
          </w:tcPr>
          <w:p w14:paraId="71FE772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September</w:t>
            </w:r>
          </w:p>
        </w:tc>
        <w:tc>
          <w:tcPr>
            <w:tcW w:w="3487" w:type="dxa"/>
            <w:shd w:val="clear" w:color="auto" w:fill="FBFED4"/>
          </w:tcPr>
          <w:p w14:paraId="4A2D4FC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October</w:t>
            </w:r>
          </w:p>
        </w:tc>
        <w:tc>
          <w:tcPr>
            <w:tcW w:w="3487" w:type="dxa"/>
            <w:shd w:val="clear" w:color="auto" w:fill="FBFED4"/>
          </w:tcPr>
          <w:p w14:paraId="475B86CD"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November</w:t>
            </w:r>
          </w:p>
        </w:tc>
        <w:tc>
          <w:tcPr>
            <w:tcW w:w="3487" w:type="dxa"/>
            <w:shd w:val="clear" w:color="auto" w:fill="FBFED4"/>
          </w:tcPr>
          <w:p w14:paraId="1D4F2EB5"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December</w:t>
            </w:r>
          </w:p>
        </w:tc>
      </w:tr>
      <w:tr w:rsidR="005F6F1D" w:rsidRPr="005F6F1D" w14:paraId="00347250" w14:textId="77777777" w:rsidTr="009A5F55">
        <w:trPr>
          <w:trHeight w:val="1842"/>
        </w:trPr>
        <w:tc>
          <w:tcPr>
            <w:tcW w:w="3487" w:type="dxa"/>
          </w:tcPr>
          <w:p w14:paraId="2C95E76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Estimates Assumption Exercise</w:t>
            </w:r>
          </w:p>
          <w:p w14:paraId="0DDA5D8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D42634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Savings Statement</w:t>
            </w:r>
          </w:p>
        </w:tc>
        <w:tc>
          <w:tcPr>
            <w:tcW w:w="3487" w:type="dxa"/>
          </w:tcPr>
          <w:p w14:paraId="46E84C5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58C5E831"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Participate in NFI</w:t>
            </w:r>
          </w:p>
          <w:p w14:paraId="3B69954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Scheme Returns</w:t>
            </w:r>
          </w:p>
        </w:tc>
        <w:tc>
          <w:tcPr>
            <w:tcW w:w="3487" w:type="dxa"/>
          </w:tcPr>
          <w:p w14:paraId="5C910A8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Annual Survey</w:t>
            </w:r>
          </w:p>
          <w:p w14:paraId="434DC4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Pr>
          <w:p w14:paraId="197056A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IAS19 Data capture exercise for Actuaries </w:t>
            </w:r>
          </w:p>
          <w:p w14:paraId="05B808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bl>
    <w:p w14:paraId="77122241" w14:textId="77777777" w:rsidR="005F6F1D" w:rsidRPr="005F6F1D" w:rsidRDefault="005F6F1D" w:rsidP="005F6F1D">
      <w:pPr>
        <w:spacing w:after="0"/>
        <w:jc w:val="center"/>
        <w:rPr>
          <w:rFonts w:ascii="Arial" w:eastAsia="Calibri" w:hAnsi="Arial" w:cs="Arial"/>
          <w:color w:val="4A66AC"/>
          <w:sz w:val="56"/>
          <w:szCs w:val="56"/>
        </w:rPr>
      </w:pPr>
      <w:r w:rsidRPr="005F6F1D">
        <w:rPr>
          <w:rFonts w:ascii="Arial" w:eastAsia="Calibri" w:hAnsi="Arial" w:cs="Arial"/>
          <w:color w:val="4A66AC"/>
          <w:sz w:val="56"/>
          <w:szCs w:val="56"/>
        </w:rPr>
        <w:tab/>
      </w:r>
      <w:r w:rsidRPr="005F6F1D">
        <w:rPr>
          <w:rFonts w:ascii="Arial" w:eastAsia="Calibri" w:hAnsi="Arial" w:cs="Arial"/>
          <w:color w:val="4A66AC"/>
          <w:sz w:val="56"/>
          <w:szCs w:val="56"/>
        </w:rPr>
        <w:tab/>
      </w:r>
      <w:r w:rsidRPr="005F6F1D">
        <w:rPr>
          <w:rFonts w:ascii="Arial" w:eastAsia="Calibri" w:hAnsi="Arial" w:cs="Arial"/>
          <w:color w:val="4A66AC"/>
          <w:sz w:val="56"/>
          <w:szCs w:val="56"/>
        </w:rPr>
        <w:tab/>
      </w:r>
    </w:p>
    <w:p w14:paraId="0DB9047D" w14:textId="77777777" w:rsidR="005F6F1D" w:rsidRDefault="005F6F1D" w:rsidP="006A52FA">
      <w:pPr>
        <w:jc w:val="both"/>
        <w:rPr>
          <w:rFonts w:ascii="Arial" w:eastAsia="Calibri" w:hAnsi="Arial" w:cs="Arial"/>
          <w:sz w:val="56"/>
          <w:szCs w:val="56"/>
        </w:rPr>
      </w:pPr>
    </w:p>
    <w:p w14:paraId="0DEDEE6E" w14:textId="77777777" w:rsidR="006A52FA" w:rsidRDefault="006A52FA" w:rsidP="006A52FA">
      <w:pPr>
        <w:jc w:val="both"/>
        <w:rPr>
          <w:rFonts w:ascii="Arial" w:eastAsia="Calibri" w:hAnsi="Arial" w:cs="Arial"/>
          <w:sz w:val="56"/>
          <w:szCs w:val="56"/>
        </w:rPr>
      </w:pPr>
    </w:p>
    <w:p w14:paraId="7BE09C38" w14:textId="77777777" w:rsidR="006A52FA" w:rsidRDefault="006A52FA" w:rsidP="006A52FA">
      <w:pPr>
        <w:jc w:val="both"/>
        <w:rPr>
          <w:rFonts w:ascii="Arial" w:eastAsia="Calibri" w:hAnsi="Arial" w:cs="Arial"/>
          <w:sz w:val="56"/>
          <w:szCs w:val="56"/>
        </w:rPr>
      </w:pPr>
    </w:p>
    <w:p w14:paraId="72D5FB43" w14:textId="77777777" w:rsidR="006A52FA" w:rsidRDefault="006A52FA" w:rsidP="006A52FA">
      <w:pPr>
        <w:jc w:val="both"/>
        <w:rPr>
          <w:rFonts w:ascii="Arial" w:eastAsia="Calibri" w:hAnsi="Arial" w:cs="Arial"/>
          <w:sz w:val="56"/>
          <w:szCs w:val="56"/>
        </w:rPr>
      </w:pPr>
    </w:p>
    <w:p w14:paraId="16154156" w14:textId="77777777" w:rsidR="006A52FA" w:rsidRDefault="006A52FA" w:rsidP="006A52FA">
      <w:pPr>
        <w:jc w:val="both"/>
        <w:rPr>
          <w:rFonts w:ascii="Arial" w:eastAsia="Calibri" w:hAnsi="Arial" w:cs="Arial"/>
          <w:sz w:val="56"/>
          <w:szCs w:val="56"/>
        </w:rPr>
      </w:pPr>
    </w:p>
    <w:p w14:paraId="3591D365" w14:textId="77777777" w:rsidR="00BC3188" w:rsidRPr="00BC3188" w:rsidRDefault="00BC3188" w:rsidP="00BC3188">
      <w:pPr>
        <w:tabs>
          <w:tab w:val="right" w:leader="dot" w:pos="6804"/>
        </w:tabs>
        <w:spacing w:after="240"/>
        <w:ind w:left="851" w:hanging="851"/>
        <w:rPr>
          <w:rFonts w:ascii="Arial" w:eastAsia="Calibri" w:hAnsi="Arial" w:cs="Arial"/>
          <w:b/>
          <w:color w:val="0070C0"/>
          <w:sz w:val="28"/>
          <w:szCs w:val="28"/>
        </w:rPr>
      </w:pPr>
      <w:r w:rsidRPr="00BC3188">
        <w:rPr>
          <w:rFonts w:ascii="Arial" w:eastAsia="Calibri" w:hAnsi="Arial" w:cs="Arial"/>
          <w:b/>
          <w:color w:val="0070C0"/>
          <w:sz w:val="28"/>
          <w:szCs w:val="28"/>
        </w:rPr>
        <w:lastRenderedPageBreak/>
        <w:t>12. Regulations/Fire Scheme Update</w:t>
      </w:r>
    </w:p>
    <w:p w14:paraId="3667A3FB" w14:textId="77777777" w:rsidR="00BC3188" w:rsidRPr="00BC3188" w:rsidRDefault="00BC3188" w:rsidP="00BC3188">
      <w:pPr>
        <w:spacing w:after="0" w:line="240" w:lineRule="auto"/>
        <w:rPr>
          <w:rFonts w:ascii="Arial" w:eastAsia="Calibri" w:hAnsi="Arial" w:cs="Arial"/>
          <w:b/>
        </w:rPr>
      </w:pPr>
      <w:r w:rsidRPr="00BC3188">
        <w:rPr>
          <w:rFonts w:ascii="Arial" w:eastAsia="Calibri" w:hAnsi="Arial" w:cs="Arial"/>
        </w:rPr>
        <w:t>Please take a few minutes to read the Firefighters’ Pension (England) Scheme Advisory Board Bulletin (Link to Bulletin below) and take any action required.</w:t>
      </w:r>
      <w:r w:rsidRPr="00BC3188">
        <w:rPr>
          <w:rFonts w:ascii="Arial" w:eastAsia="Calibri" w:hAnsi="Arial" w:cs="Arial"/>
          <w:b/>
        </w:rPr>
        <w:t xml:space="preserve"> </w:t>
      </w:r>
    </w:p>
    <w:p w14:paraId="410AA94D" w14:textId="77777777" w:rsidR="00BC3188" w:rsidRPr="00BC3188" w:rsidRDefault="00BC3188" w:rsidP="00BC3188">
      <w:pPr>
        <w:spacing w:after="0" w:line="240" w:lineRule="auto"/>
        <w:rPr>
          <w:rFonts w:ascii="Calibri" w:eastAsia="Calibri" w:hAnsi="Calibri" w:cs="Times New Roman"/>
        </w:rPr>
      </w:pPr>
      <w:hyperlink r:id="rId37" w:history="1">
        <w:r w:rsidRPr="00BC3188">
          <w:rPr>
            <w:rFonts w:ascii="Calibri" w:eastAsia="Calibri" w:hAnsi="Calibri" w:cs="Times New Roman"/>
            <w:color w:val="0000FF"/>
            <w:u w:val="single"/>
          </w:rPr>
          <w:t>FPS Bulletin</w:t>
        </w:r>
      </w:hyperlink>
    </w:p>
    <w:p w14:paraId="510DD600" w14:textId="77777777" w:rsidR="00BC3188" w:rsidRPr="00BC3188" w:rsidRDefault="00BC3188" w:rsidP="00BC3188">
      <w:pPr>
        <w:spacing w:after="0" w:line="240" w:lineRule="auto"/>
        <w:rPr>
          <w:rFonts w:ascii="Calibri" w:eastAsia="Calibri" w:hAnsi="Calibri" w:cs="Times New Roman"/>
        </w:rPr>
      </w:pPr>
    </w:p>
    <w:p w14:paraId="1AD78E7A" w14:textId="77777777" w:rsidR="00BC3188" w:rsidRPr="00BC3188" w:rsidRDefault="00BC3188" w:rsidP="00BC3188">
      <w:pPr>
        <w:spacing w:after="0" w:line="240" w:lineRule="auto"/>
        <w:rPr>
          <w:rFonts w:ascii="Arial" w:eastAsia="Calibri" w:hAnsi="Arial" w:cs="Arial"/>
          <w:color w:val="C00000"/>
        </w:rPr>
      </w:pPr>
      <w:r w:rsidRPr="00BC3188">
        <w:rPr>
          <w:rFonts w:ascii="Arial" w:eastAsia="Calibri" w:hAnsi="Arial" w:cs="Arial"/>
          <w:color w:val="C00000"/>
        </w:rPr>
        <w:t>Some key issues to highlight:</w:t>
      </w:r>
    </w:p>
    <w:p w14:paraId="5A8194F1" w14:textId="77777777" w:rsidR="00BC3188" w:rsidRPr="00BC3188" w:rsidRDefault="00BC3188" w:rsidP="00BC3188">
      <w:pPr>
        <w:spacing w:after="0" w:line="240" w:lineRule="auto"/>
        <w:rPr>
          <w:rFonts w:ascii="Arial" w:eastAsia="Calibri" w:hAnsi="Arial" w:cs="Arial"/>
          <w:color w:val="C00000"/>
        </w:rPr>
      </w:pPr>
    </w:p>
    <w:p w14:paraId="383BCB5A" w14:textId="77777777" w:rsidR="00BC3188" w:rsidRPr="00BC3188" w:rsidRDefault="00BC3188" w:rsidP="00BC3188">
      <w:pPr>
        <w:spacing w:line="252" w:lineRule="auto"/>
        <w:rPr>
          <w:rFonts w:ascii="Arial" w:eastAsia="Calibri" w:hAnsi="Arial" w:cs="Arial"/>
          <w:b/>
          <w:color w:val="0070C0"/>
          <w:sz w:val="24"/>
          <w:szCs w:val="24"/>
        </w:rPr>
      </w:pPr>
      <w:r w:rsidRPr="00BC3188">
        <w:rPr>
          <w:rFonts w:ascii="Arial" w:eastAsia="Calibri" w:hAnsi="Arial" w:cs="Arial"/>
          <w:b/>
          <w:color w:val="0070C0"/>
          <w:sz w:val="24"/>
          <w:szCs w:val="24"/>
        </w:rPr>
        <w:t>FPS</w:t>
      </w:r>
    </w:p>
    <w:p w14:paraId="68F50174"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b/>
          <w:bCs/>
        </w:rPr>
        <w:t>Age Discrimination Remedy – Immediate Choice Remediable Service Statement (IC-RSS) rollout</w:t>
      </w:r>
      <w:r w:rsidRPr="00BC3188">
        <w:rPr>
          <w:rFonts w:ascii="Arial" w:eastAsia="Calibri" w:hAnsi="Arial" w:cs="Arial"/>
        </w:rPr>
        <w:t xml:space="preserve"> </w:t>
      </w:r>
    </w:p>
    <w:p w14:paraId="1A459D1A"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In </w:t>
      </w:r>
      <w:hyperlink r:id="rId38" w:history="1">
        <w:r w:rsidRPr="00BC3188">
          <w:rPr>
            <w:rFonts w:ascii="Arial" w:eastAsia="Calibri" w:hAnsi="Arial" w:cs="Arial"/>
            <w:color w:val="D93B44"/>
            <w:u w:val="single"/>
          </w:rPr>
          <w:t xml:space="preserve">FPS Bulletin 85 – September 2024 </w:t>
        </w:r>
      </w:hyperlink>
      <w:r w:rsidRPr="00BC3188">
        <w:rPr>
          <w:rFonts w:ascii="Arial" w:eastAsia="Calibri" w:hAnsi="Arial" w:cs="Arial"/>
        </w:rPr>
        <w:t xml:space="preserve">we informed readers of </w:t>
      </w:r>
      <w:hyperlink r:id="rId39" w:history="1">
        <w:r w:rsidRPr="00BC3188">
          <w:rPr>
            <w:rFonts w:ascii="Arial" w:eastAsia="Calibri" w:hAnsi="Arial" w:cs="Arial"/>
            <w:color w:val="D93B44"/>
            <w:u w:val="single"/>
          </w:rPr>
          <w:t>HM</w:t>
        </w:r>
        <w:r w:rsidRPr="00BC3188">
          <w:rPr>
            <w:rFonts w:ascii="Arial" w:eastAsia="Calibri" w:hAnsi="Arial" w:cs="Arial"/>
            <w:color w:val="D93B44"/>
            <w:u w:val="single"/>
          </w:rPr>
          <w:t>R</w:t>
        </w:r>
        <w:r w:rsidRPr="00BC3188">
          <w:rPr>
            <w:rFonts w:ascii="Arial" w:eastAsia="Calibri" w:hAnsi="Arial" w:cs="Arial"/>
            <w:color w:val="D93B44"/>
            <w:u w:val="single"/>
          </w:rPr>
          <w:t>C’s Public Service Pensions Remedy Newsletter</w:t>
        </w:r>
      </w:hyperlink>
      <w:r w:rsidRPr="00BC3188">
        <w:rPr>
          <w:rFonts w:ascii="Arial" w:eastAsia="Calibri" w:hAnsi="Arial" w:cs="Arial"/>
        </w:rPr>
        <w:t xml:space="preserve">, including </w:t>
      </w:r>
      <w:hyperlink r:id="rId40" w:history="1">
        <w:r w:rsidRPr="0005537D">
          <w:t>Appendi</w:t>
        </w:r>
        <w:r w:rsidRPr="0005537D">
          <w:t>x</w:t>
        </w:r>
        <w:r w:rsidRPr="00BC3188">
          <w:rPr>
            <w:rFonts w:ascii="Arial" w:eastAsia="Calibri" w:hAnsi="Arial" w:cs="Arial"/>
            <w:color w:val="D93B44"/>
            <w:u w:val="single"/>
          </w:rPr>
          <w:t xml:space="preserve"> B</w:t>
        </w:r>
      </w:hyperlink>
      <w:r w:rsidRPr="00BC3188">
        <w:rPr>
          <w:rFonts w:ascii="Arial" w:eastAsia="Calibri" w:hAnsi="Arial" w:cs="Arial"/>
        </w:rPr>
        <w:t xml:space="preserve"> which set out the offsetting guidance for the unauthorised payment charge that is to be used for IC members who previously received an unauthorised payment. </w:t>
      </w:r>
    </w:p>
    <w:p w14:paraId="7BA8BFBD"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We also provided details of a joint roundtable discussion with scheme managers and administrators, the slides of which are available on our Coffee Morning section of the </w:t>
      </w:r>
      <w:hyperlink r:id="rId41" w:history="1">
        <w:r w:rsidRPr="00BC3188">
          <w:rPr>
            <w:rFonts w:ascii="Arial" w:eastAsia="Calibri" w:hAnsi="Arial" w:cs="Arial"/>
            <w:color w:val="D93B44"/>
            <w:u w:val="single"/>
          </w:rPr>
          <w:t xml:space="preserve">FPS regulations and guidance </w:t>
        </w:r>
      </w:hyperlink>
      <w:r w:rsidRPr="00BC3188">
        <w:rPr>
          <w:rFonts w:ascii="Arial" w:eastAsia="Calibri" w:hAnsi="Arial" w:cs="Arial"/>
        </w:rPr>
        <w:t xml:space="preserve">website. </w:t>
      </w:r>
    </w:p>
    <w:p w14:paraId="13D0B8F0"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Further to this on 4 October 2024, we </w:t>
      </w:r>
      <w:hyperlink r:id="rId42" w:history="1">
        <w:r w:rsidRPr="00BC3188">
          <w:rPr>
            <w:rFonts w:ascii="Arial" w:eastAsia="Calibri" w:hAnsi="Arial" w:cs="Arial"/>
            <w:color w:val="D93B44"/>
            <w:u w:val="single"/>
          </w:rPr>
          <w:t>ema</w:t>
        </w:r>
        <w:r w:rsidRPr="00BC3188">
          <w:rPr>
            <w:rFonts w:ascii="Arial" w:eastAsia="Calibri" w:hAnsi="Arial" w:cs="Arial"/>
            <w:color w:val="D93B44"/>
            <w:u w:val="single"/>
          </w:rPr>
          <w:t>i</w:t>
        </w:r>
        <w:r w:rsidRPr="00BC3188">
          <w:rPr>
            <w:rFonts w:ascii="Arial" w:eastAsia="Calibri" w:hAnsi="Arial" w:cs="Arial"/>
            <w:color w:val="D93B44"/>
            <w:u w:val="single"/>
          </w:rPr>
          <w:t>led</w:t>
        </w:r>
      </w:hyperlink>
      <w:r w:rsidRPr="00BC3188">
        <w:rPr>
          <w:rFonts w:ascii="Arial" w:eastAsia="Calibri" w:hAnsi="Arial" w:cs="Arial"/>
        </w:rPr>
        <w:t xml:space="preserve"> scheme managers to provide a briefing paper requesting approval for administrators to commence processing red IC-RSS cases ahead of HMRC legislation coming into force. </w:t>
      </w:r>
    </w:p>
    <w:p w14:paraId="49538BA8"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At our administrators forum on 14 October 2024, we made administrators aware of the majority position of scheme managers, and we discussed the offsetting guidance and whether there were any gaps that had been identified. </w:t>
      </w:r>
    </w:p>
    <w:p w14:paraId="252175EA"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We took away the comments and where appropriate we will come back with additional information/guidance. This should not however stop administrators from commencing processing red cases unless their clients have instructed otherwise.</w:t>
      </w:r>
    </w:p>
    <w:p w14:paraId="0FB5493C" w14:textId="77777777" w:rsidR="00BC3188" w:rsidRPr="00BC3188" w:rsidRDefault="00BC3188" w:rsidP="00BC3188">
      <w:pPr>
        <w:spacing w:line="252" w:lineRule="auto"/>
        <w:rPr>
          <w:rFonts w:ascii="Arial" w:eastAsia="Calibri" w:hAnsi="Arial" w:cs="Arial"/>
          <w:color w:val="FF0000"/>
        </w:rPr>
      </w:pPr>
      <w:r w:rsidRPr="00BC3188">
        <w:rPr>
          <w:rFonts w:ascii="Arial" w:eastAsia="Calibri" w:hAnsi="Arial" w:cs="Arial"/>
          <w:b/>
          <w:bCs/>
          <w:color w:val="FF0000"/>
        </w:rPr>
        <w:t>ACTIONS:</w:t>
      </w:r>
      <w:r w:rsidRPr="00BC3188">
        <w:rPr>
          <w:rFonts w:ascii="Arial" w:eastAsia="Calibri" w:hAnsi="Arial" w:cs="Arial"/>
          <w:color w:val="FF0000"/>
        </w:rPr>
        <w:t xml:space="preserve"> Scheme managers should ensure that they update their administrators should their position change. Administrators should ensure that they have read the offsetting guidance and unless otherwise instructed by their client, should commence processing red cases.</w:t>
      </w:r>
    </w:p>
    <w:p w14:paraId="38C73141" w14:textId="77777777" w:rsidR="00BC3188" w:rsidRPr="00BC3188" w:rsidRDefault="00BC3188" w:rsidP="00BC3188">
      <w:pPr>
        <w:rPr>
          <w:rFonts w:ascii="Arial" w:eastAsia="Calibri" w:hAnsi="Arial" w:cs="Arial"/>
          <w:color w:val="FF0000"/>
        </w:rPr>
      </w:pPr>
      <w:r w:rsidRPr="00BC3188">
        <w:rPr>
          <w:rFonts w:ascii="Arial" w:eastAsia="Calibri" w:hAnsi="Arial" w:cs="Arial"/>
          <w:b/>
          <w:bCs/>
          <w:color w:val="FF0000"/>
        </w:rPr>
        <w:t xml:space="preserve">WYPF – </w:t>
      </w:r>
      <w:r w:rsidRPr="00BC3188">
        <w:rPr>
          <w:rFonts w:ascii="Arial" w:eastAsia="Calibri" w:hAnsi="Arial" w:cs="Arial"/>
          <w:color w:val="FF0000"/>
        </w:rPr>
        <w:t>Please see admin update</w:t>
      </w:r>
    </w:p>
    <w:p w14:paraId="4CB955C4" w14:textId="77777777" w:rsidR="00BC3188" w:rsidRPr="00BC3188" w:rsidRDefault="00BC3188" w:rsidP="00BC3188">
      <w:pPr>
        <w:spacing w:line="252" w:lineRule="auto"/>
        <w:rPr>
          <w:rFonts w:ascii="Arial" w:eastAsia="Calibri" w:hAnsi="Arial" w:cs="Arial"/>
          <w:b/>
          <w:bCs/>
        </w:rPr>
      </w:pPr>
      <w:r w:rsidRPr="00BC3188">
        <w:rPr>
          <w:rFonts w:ascii="Arial" w:eastAsia="Calibri" w:hAnsi="Arial" w:cs="Arial"/>
          <w:b/>
          <w:bCs/>
        </w:rPr>
        <w:t xml:space="preserve">Age Discrimination Remedy – Immediate Choice Protected members </w:t>
      </w:r>
    </w:p>
    <w:p w14:paraId="7D1C2128"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Following a recent query, we wanted to reiterate the legal requirement for sending a Remediable Service Statement to all eligible members under remedy. Whilst a member may be better off financially by being in the legacy scheme for the remedy period, there are other reasons why they may choose the reformed scheme instead, and it is their right to make that decision. </w:t>
      </w:r>
    </w:p>
    <w:p w14:paraId="3B30FD62"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As a reminder in </w:t>
      </w:r>
      <w:hyperlink r:id="rId43" w:history="1">
        <w:r w:rsidRPr="00BC3188">
          <w:rPr>
            <w:rFonts w:ascii="Arial" w:eastAsia="Calibri" w:hAnsi="Arial" w:cs="Arial"/>
            <w:color w:val="D93B44"/>
            <w:u w:val="single"/>
          </w:rPr>
          <w:t xml:space="preserve">FPS Bulletin 77 – January 2024 </w:t>
        </w:r>
      </w:hyperlink>
      <w:r w:rsidRPr="00BC3188">
        <w:rPr>
          <w:rFonts w:ascii="Arial" w:eastAsia="Calibri" w:hAnsi="Arial" w:cs="Arial"/>
        </w:rPr>
        <w:t xml:space="preserve">we published a </w:t>
      </w:r>
      <w:hyperlink r:id="rId44" w:history="1">
        <w:r w:rsidRPr="00BC3188">
          <w:rPr>
            <w:rFonts w:ascii="Arial" w:eastAsia="Calibri" w:hAnsi="Arial" w:cs="Arial"/>
            <w:color w:val="D93B44"/>
            <w:u w:val="single"/>
          </w:rPr>
          <w:t xml:space="preserve">remediable service statement factsheet </w:t>
        </w:r>
      </w:hyperlink>
      <w:r w:rsidRPr="00BC3188">
        <w:rPr>
          <w:rFonts w:ascii="Arial" w:eastAsia="Calibri" w:hAnsi="Arial" w:cs="Arial"/>
        </w:rPr>
        <w:t xml:space="preserve">and in </w:t>
      </w:r>
      <w:hyperlink r:id="rId45" w:history="1">
        <w:r w:rsidRPr="00BC3188">
          <w:rPr>
            <w:rFonts w:ascii="Arial" w:eastAsia="Calibri" w:hAnsi="Arial" w:cs="Arial"/>
            <w:color w:val="D93B44"/>
            <w:u w:val="single"/>
          </w:rPr>
          <w:t xml:space="preserve">FPS bulletin 81 – May 2024 </w:t>
        </w:r>
      </w:hyperlink>
      <w:r w:rsidRPr="00BC3188">
        <w:rPr>
          <w:rFonts w:ascii="Arial" w:eastAsia="Calibri" w:hAnsi="Arial" w:cs="Arial"/>
        </w:rPr>
        <w:t xml:space="preserve">we published a </w:t>
      </w:r>
      <w:hyperlink r:id="rId46" w:history="1">
        <w:r w:rsidRPr="00BC3188">
          <w:rPr>
            <w:rFonts w:ascii="Arial" w:eastAsia="Calibri" w:hAnsi="Arial" w:cs="Arial"/>
            <w:color w:val="D93B44"/>
            <w:u w:val="single"/>
          </w:rPr>
          <w:t xml:space="preserve">statutory deadline factsheet </w:t>
        </w:r>
      </w:hyperlink>
      <w:r w:rsidRPr="00BC3188">
        <w:rPr>
          <w:rFonts w:ascii="Arial" w:eastAsia="Calibri" w:hAnsi="Arial" w:cs="Arial"/>
        </w:rPr>
        <w:t>to provide you with the relevant requirements that a scheme manager needs to adhere to when producing a remediable service statement</w:t>
      </w:r>
    </w:p>
    <w:p w14:paraId="61756A32" w14:textId="77777777" w:rsidR="00BC3188" w:rsidRPr="00BC3188" w:rsidRDefault="00BC3188" w:rsidP="00BC3188">
      <w:pPr>
        <w:spacing w:line="252" w:lineRule="auto"/>
        <w:rPr>
          <w:rFonts w:ascii="Arial" w:eastAsia="Calibri" w:hAnsi="Arial" w:cs="Arial"/>
          <w:color w:val="FF0000"/>
        </w:rPr>
      </w:pPr>
      <w:r w:rsidRPr="00BC3188">
        <w:rPr>
          <w:rFonts w:ascii="Arial" w:eastAsia="Calibri" w:hAnsi="Arial" w:cs="Arial"/>
          <w:b/>
          <w:bCs/>
          <w:color w:val="FF0000"/>
        </w:rPr>
        <w:t>ACTIONS:</w:t>
      </w:r>
      <w:r w:rsidRPr="00BC3188">
        <w:rPr>
          <w:rFonts w:ascii="Arial" w:eastAsia="Calibri" w:hAnsi="Arial" w:cs="Arial"/>
          <w:color w:val="FF0000"/>
        </w:rPr>
        <w:t xml:space="preserve"> Scheme managers should ensure that their administrators are producing a remediable service statement for all eligible members for remedy. Administrators should ensure that they are adhering to the legislative requirements for producing a remediable </w:t>
      </w:r>
      <w:r w:rsidRPr="00BC3188">
        <w:rPr>
          <w:rFonts w:ascii="Arial" w:eastAsia="Calibri" w:hAnsi="Arial" w:cs="Arial"/>
          <w:color w:val="FF0000"/>
        </w:rPr>
        <w:lastRenderedPageBreak/>
        <w:t>service statement for all eligible members. Local Pension Boards are encouraged to monitor the production of remediable service statements as part of their regular updates</w:t>
      </w:r>
    </w:p>
    <w:p w14:paraId="7077F8F2" w14:textId="77777777" w:rsidR="00BC3188" w:rsidRPr="00BC3188" w:rsidRDefault="00BC3188" w:rsidP="00BC3188">
      <w:pPr>
        <w:spacing w:line="252" w:lineRule="auto"/>
        <w:rPr>
          <w:rFonts w:ascii="Arial" w:eastAsia="Calibri" w:hAnsi="Arial" w:cs="Arial"/>
          <w:b/>
          <w:bCs/>
        </w:rPr>
      </w:pPr>
      <w:r w:rsidRPr="00BC3188">
        <w:rPr>
          <w:rFonts w:ascii="Arial" w:eastAsia="Calibri" w:hAnsi="Arial" w:cs="Arial"/>
          <w:b/>
          <w:bCs/>
        </w:rPr>
        <w:t>Firefighters Pension Scheme Valuation 2024 - GAD data request</w:t>
      </w:r>
    </w:p>
    <w:p w14:paraId="459654A0"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 As set out on page 6 of the </w:t>
      </w:r>
      <w:hyperlink r:id="rId47" w:history="1">
        <w:r w:rsidRPr="00BC3188">
          <w:rPr>
            <w:rFonts w:ascii="Arial" w:eastAsia="Calibri" w:hAnsi="Arial" w:cs="Arial"/>
            <w:color w:val="D93B44"/>
            <w:u w:val="single"/>
          </w:rPr>
          <w:t>FPS Bulletin 84 – August 2024</w:t>
        </w:r>
      </w:hyperlink>
      <w:r w:rsidRPr="00BC3188">
        <w:rPr>
          <w:rFonts w:ascii="Arial" w:eastAsia="Calibri" w:hAnsi="Arial" w:cs="Arial"/>
        </w:rPr>
        <w:t xml:space="preserve">, GAD is now: </w:t>
      </w:r>
    </w:p>
    <w:p w14:paraId="33394994"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 launching their spreadsheet tool to allow Fire and Rescue Authorities to validate their valuation data extracts prior to submission </w:t>
      </w:r>
    </w:p>
    <w:p w14:paraId="37C8893C"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 sharing details of how to submit your valuation data via a secure data transfer portal for each FRA or administrator. </w:t>
      </w:r>
    </w:p>
    <w:p w14:paraId="23458DCD"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GAD is collecting this data primarily for the purposes of the 31 March 2024 valuation. However, at the request of responsible government and devolved government departments GAD may also use the data provided for other purposes connected to the operation of the Scheme and the development of policy within government. GAD’s privacy notice can be found </w:t>
      </w:r>
      <w:hyperlink r:id="rId48" w:history="1">
        <w:r w:rsidRPr="00BC3188">
          <w:rPr>
            <w:rFonts w:ascii="Arial" w:eastAsia="Calibri" w:hAnsi="Arial" w:cs="Arial"/>
            <w:color w:val="D93B44"/>
            <w:u w:val="single"/>
          </w:rPr>
          <w:t>here</w:t>
        </w:r>
      </w:hyperlink>
      <w:r w:rsidRPr="00BC3188">
        <w:rPr>
          <w:rFonts w:ascii="Arial" w:eastAsia="Calibri" w:hAnsi="Arial" w:cs="Arial"/>
        </w:rPr>
        <w:t xml:space="preserve">. If you have any concerns about our use of the 2024 data, please get in touch with GAD: </w:t>
      </w:r>
      <w:hyperlink r:id="rId49" w:history="1">
        <w:r w:rsidRPr="00BC3188">
          <w:rPr>
            <w:rFonts w:ascii="Arial" w:eastAsia="Calibri" w:hAnsi="Arial" w:cs="Arial"/>
            <w:color w:val="D93B44"/>
            <w:u w:val="single"/>
          </w:rPr>
          <w:t>Fire.2020Valuation@gad.gov.uk</w:t>
        </w:r>
      </w:hyperlink>
      <w:r w:rsidRPr="00BC3188">
        <w:rPr>
          <w:rFonts w:ascii="Arial" w:eastAsia="Calibri" w:hAnsi="Arial" w:cs="Arial"/>
        </w:rPr>
        <w:t xml:space="preserve">. </w:t>
      </w:r>
    </w:p>
    <w:p w14:paraId="3E5DC47E" w14:textId="77777777" w:rsidR="00BC3188" w:rsidRPr="00BC3188" w:rsidRDefault="00BC3188" w:rsidP="00BC3188">
      <w:pPr>
        <w:spacing w:line="252" w:lineRule="auto"/>
        <w:rPr>
          <w:rFonts w:ascii="Arial" w:eastAsia="Calibri" w:hAnsi="Arial" w:cs="Arial"/>
          <w:b/>
          <w:bCs/>
        </w:rPr>
      </w:pPr>
      <w:r w:rsidRPr="00BC3188">
        <w:rPr>
          <w:rFonts w:ascii="Arial" w:eastAsia="Calibri" w:hAnsi="Arial" w:cs="Arial"/>
          <w:b/>
          <w:bCs/>
        </w:rPr>
        <w:t xml:space="preserve">Process to follow </w:t>
      </w:r>
    </w:p>
    <w:p w14:paraId="2E47F981" w14:textId="77777777" w:rsidR="00BC3188" w:rsidRPr="00BC3188" w:rsidRDefault="00BC3188" w:rsidP="00BC3188">
      <w:pPr>
        <w:numPr>
          <w:ilvl w:val="0"/>
          <w:numId w:val="54"/>
        </w:numPr>
        <w:spacing w:line="252" w:lineRule="auto"/>
        <w:ind w:left="142" w:hanging="284"/>
        <w:contextualSpacing/>
        <w:rPr>
          <w:rFonts w:ascii="Arial" w:eastAsia="Calibri" w:hAnsi="Arial" w:cs="Arial"/>
        </w:rPr>
      </w:pPr>
      <w:r w:rsidRPr="00BC3188">
        <w:rPr>
          <w:rFonts w:ascii="Arial" w:eastAsia="Calibri" w:hAnsi="Arial" w:cs="Arial"/>
          <w:b/>
          <w:bCs/>
        </w:rPr>
        <w:t>Action required</w:t>
      </w:r>
      <w:r w:rsidRPr="00BC3188">
        <w:rPr>
          <w:rFonts w:ascii="Arial" w:eastAsia="Calibri" w:hAnsi="Arial" w:cs="Arial"/>
        </w:rPr>
        <w:t xml:space="preserve">: Please identify the most appropriate contact(s) to receive the tool and upload your data once ready, and send the following information to </w:t>
      </w:r>
      <w:hyperlink r:id="rId50" w:history="1">
        <w:r w:rsidRPr="00BC3188">
          <w:rPr>
            <w:rFonts w:ascii="Arial" w:eastAsia="Calibri" w:hAnsi="Arial" w:cs="Arial"/>
            <w:color w:val="D93B44"/>
            <w:u w:val="single"/>
          </w:rPr>
          <w:t>Fire.2020Valuation@gad.gov.uk</w:t>
        </w:r>
      </w:hyperlink>
      <w:r w:rsidRPr="00BC3188">
        <w:rPr>
          <w:rFonts w:ascii="Arial" w:eastAsia="Calibri" w:hAnsi="Arial" w:cs="Arial"/>
        </w:rPr>
        <w:t xml:space="preserve">: </w:t>
      </w:r>
    </w:p>
    <w:p w14:paraId="1A3B9AA3" w14:textId="77777777" w:rsidR="00BC3188" w:rsidRPr="00BC3188" w:rsidRDefault="00BC3188" w:rsidP="00BC3188">
      <w:pPr>
        <w:spacing w:line="252" w:lineRule="auto"/>
        <w:ind w:left="360"/>
        <w:rPr>
          <w:rFonts w:ascii="Arial" w:eastAsia="Calibri" w:hAnsi="Arial" w:cs="Arial"/>
        </w:rPr>
      </w:pPr>
      <w:r w:rsidRPr="00BC3188">
        <w:rPr>
          <w:rFonts w:ascii="Arial" w:eastAsia="Calibri" w:hAnsi="Arial" w:cs="Arial"/>
        </w:rPr>
        <w:t xml:space="preserve">• The email address of the preferred contact </w:t>
      </w:r>
    </w:p>
    <w:p w14:paraId="7BA831B5" w14:textId="77777777" w:rsidR="00BC3188" w:rsidRPr="00BC3188" w:rsidRDefault="00BC3188" w:rsidP="00BC3188">
      <w:pPr>
        <w:spacing w:line="252" w:lineRule="auto"/>
        <w:ind w:left="360"/>
        <w:rPr>
          <w:rFonts w:ascii="Arial" w:eastAsia="Calibri" w:hAnsi="Arial" w:cs="Arial"/>
        </w:rPr>
      </w:pPr>
      <w:r w:rsidRPr="00BC3188">
        <w:rPr>
          <w:rFonts w:ascii="Arial" w:eastAsia="Calibri" w:hAnsi="Arial" w:cs="Arial"/>
        </w:rPr>
        <w:t xml:space="preserve">• The FRA(s) on behalf of which they will be submitting data </w:t>
      </w:r>
    </w:p>
    <w:p w14:paraId="7E87EC6E"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2. GAD will then send this email address an invite to a secure folder through a system called Egress. Please make the preferred contact aware that this invitation can sometimes find its way into spam / junk folders. </w:t>
      </w:r>
    </w:p>
    <w:p w14:paraId="3F862595"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3. Within the secure folder, users will find the Fire valuation data specification, the Fire valuation data checker tool and the accompanying data checker tool user guide. The valuation data tool can then be downloaded and populated. </w:t>
      </w:r>
    </w:p>
    <w:p w14:paraId="185C9515"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4. Once the tool is populated and any flagged issues have been worked through, please upload the populated tool into the same Egress folder no later than 1 December 2024. The Egress system ensures secure data transfer – the folder will only be accessible to GAD and the email address(es) provided. GAD’s data team will also ensure any personal data received is encrypted before use. </w:t>
      </w:r>
    </w:p>
    <w:p w14:paraId="32CFF2D6"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5. To help us form a more complete picture of each FRA fund’s membership please also complete the short data questionnaire sections. </w:t>
      </w:r>
    </w:p>
    <w:p w14:paraId="6EA3DC06"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As a reminder, the 1 December deadline applies to “Data …” tables covering the status of scheme members as at 31 March 2024. Tables covering changes in member status since the 2020 valuation extract (“movement data”) are required to be provided by February 2025. Shortly after 31 March 2025 GAD will ask FRAs to provide their compiled data in respect of positive elections under the Matthews second options exercise. (The request to compile data on positive Matthews elections was first raised in FPS Bulletin 75, page 6.) </w:t>
      </w:r>
    </w:p>
    <w:p w14:paraId="1F3CBBAE"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GAD will also be providing this information directly to FRAs and administrators via email.</w:t>
      </w:r>
    </w:p>
    <w:p w14:paraId="77F8D275" w14:textId="77777777" w:rsidR="00BC3188" w:rsidRPr="00BC3188" w:rsidRDefault="00BC3188" w:rsidP="00BC3188">
      <w:pPr>
        <w:spacing w:line="252" w:lineRule="auto"/>
        <w:rPr>
          <w:rFonts w:ascii="Arial" w:eastAsia="Calibri" w:hAnsi="Arial" w:cs="Arial"/>
          <w:color w:val="FF0000"/>
        </w:rPr>
      </w:pPr>
      <w:r w:rsidRPr="00BC3188">
        <w:rPr>
          <w:rFonts w:ascii="Arial" w:eastAsia="Calibri" w:hAnsi="Arial" w:cs="Arial"/>
          <w:b/>
          <w:bCs/>
          <w:color w:val="FF0000"/>
        </w:rPr>
        <w:t>ACTION</w:t>
      </w:r>
      <w:r w:rsidRPr="00BC3188">
        <w:rPr>
          <w:rFonts w:ascii="Arial" w:eastAsia="Calibri" w:hAnsi="Arial" w:cs="Arial"/>
          <w:color w:val="FF0000"/>
        </w:rPr>
        <w:t>: Administrators should follow GAD’s process to follow to meet the 1 December 2024 deadline.</w:t>
      </w:r>
    </w:p>
    <w:p w14:paraId="1FAEC0F3" w14:textId="77777777" w:rsidR="00BC3188" w:rsidRPr="00BC3188" w:rsidRDefault="00BC3188" w:rsidP="00BC3188">
      <w:pPr>
        <w:spacing w:line="252" w:lineRule="auto"/>
        <w:rPr>
          <w:rFonts w:ascii="Arial" w:eastAsia="Calibri" w:hAnsi="Arial" w:cs="Arial"/>
          <w:b/>
          <w:bCs/>
          <w:color w:val="0070C0"/>
          <w:sz w:val="24"/>
          <w:szCs w:val="24"/>
        </w:rPr>
      </w:pPr>
      <w:r w:rsidRPr="00BC3188">
        <w:rPr>
          <w:rFonts w:ascii="Arial" w:eastAsia="Calibri" w:hAnsi="Arial" w:cs="Arial"/>
          <w:b/>
          <w:bCs/>
          <w:color w:val="FF0000"/>
        </w:rPr>
        <w:lastRenderedPageBreak/>
        <w:t xml:space="preserve">WYPF: </w:t>
      </w:r>
      <w:r w:rsidRPr="00BC3188">
        <w:rPr>
          <w:rFonts w:ascii="Arial" w:eastAsia="Calibri" w:hAnsi="Arial" w:cs="Arial"/>
          <w:color w:val="FF0000"/>
        </w:rPr>
        <w:t>We have been in discussion with GAD about receiving data pre rollback. GAD have agreed to this and have agreed to accept data ideally by 1 December but no later than 31 December.</w:t>
      </w:r>
      <w:bookmarkStart w:id="6" w:name="_Hlk181710699"/>
    </w:p>
    <w:p w14:paraId="0E2CFA3B" w14:textId="77777777" w:rsidR="00BC3188" w:rsidRPr="00BC3188" w:rsidRDefault="00BC3188" w:rsidP="00BC3188">
      <w:pPr>
        <w:spacing w:line="252" w:lineRule="auto"/>
        <w:rPr>
          <w:rFonts w:ascii="Arial" w:eastAsia="Calibri" w:hAnsi="Arial" w:cs="Arial"/>
          <w:b/>
          <w:bCs/>
          <w:color w:val="0070C0"/>
          <w:sz w:val="24"/>
          <w:szCs w:val="24"/>
        </w:rPr>
      </w:pPr>
      <w:r w:rsidRPr="00BC3188">
        <w:rPr>
          <w:rFonts w:ascii="Arial" w:eastAsia="Calibri" w:hAnsi="Arial" w:cs="Arial"/>
          <w:b/>
          <w:bCs/>
          <w:color w:val="0070C0"/>
          <w:sz w:val="24"/>
          <w:szCs w:val="24"/>
        </w:rPr>
        <w:t>SAB</w:t>
      </w:r>
    </w:p>
    <w:p w14:paraId="6E8855A4" w14:textId="77777777" w:rsidR="00BC3188" w:rsidRPr="00BC3188" w:rsidRDefault="00BC3188" w:rsidP="00BC3188">
      <w:pPr>
        <w:spacing w:line="252" w:lineRule="auto"/>
        <w:rPr>
          <w:rFonts w:ascii="Arial" w:eastAsia="Calibri" w:hAnsi="Arial" w:cs="Arial"/>
          <w:b/>
          <w:bCs/>
        </w:rPr>
      </w:pPr>
      <w:r w:rsidRPr="00BC3188">
        <w:rPr>
          <w:rFonts w:ascii="Arial" w:eastAsia="Calibri" w:hAnsi="Arial" w:cs="Arial"/>
          <w:b/>
          <w:bCs/>
        </w:rPr>
        <w:t>Age Discrimination Remedy – request for data</w:t>
      </w:r>
    </w:p>
    <w:p w14:paraId="7F4A54DC"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The Scheme Advisory Board is keen to have oversight of the production of Remediable Service Statements (RSS), particularly in the run up to 31 March 2025. </w:t>
      </w:r>
    </w:p>
    <w:p w14:paraId="61A6657E"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We will now therefore be requesting monthly information relating to how many RSS’ have been issued to members. </w:t>
      </w:r>
    </w:p>
    <w:p w14:paraId="4790906E"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The scheme manager for each FRA will need to work with their administrator to collate this information. </w:t>
      </w:r>
    </w:p>
    <w:p w14:paraId="100196E4"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Please therefore populate the </w:t>
      </w:r>
      <w:hyperlink r:id="rId51" w:history="1">
        <w:r w:rsidRPr="00BC3188">
          <w:rPr>
            <w:rFonts w:ascii="Arial" w:eastAsia="Calibri" w:hAnsi="Arial" w:cs="Arial"/>
            <w:color w:val="D93B44"/>
            <w:u w:val="single"/>
          </w:rPr>
          <w:t xml:space="preserve">RSS spreadsheet </w:t>
        </w:r>
      </w:hyperlink>
      <w:r w:rsidRPr="00BC3188">
        <w:rPr>
          <w:rFonts w:ascii="Arial" w:eastAsia="Calibri" w:hAnsi="Arial" w:cs="Arial"/>
        </w:rPr>
        <w:t xml:space="preserve">and return to </w:t>
      </w:r>
      <w:hyperlink r:id="rId52" w:history="1">
        <w:r w:rsidRPr="00BC3188">
          <w:rPr>
            <w:rFonts w:ascii="Arial" w:eastAsia="Calibri" w:hAnsi="Arial" w:cs="Arial"/>
            <w:color w:val="D93B44"/>
            <w:u w:val="single"/>
          </w:rPr>
          <w:t>bluelightpensions@local.gov.uk</w:t>
        </w:r>
      </w:hyperlink>
      <w:r w:rsidRPr="00BC3188">
        <w:rPr>
          <w:rFonts w:ascii="Arial" w:eastAsia="Calibri" w:hAnsi="Arial" w:cs="Arial"/>
        </w:rPr>
        <w:t xml:space="preserve"> by 30 November 2024</w:t>
      </w:r>
      <w:bookmarkEnd w:id="6"/>
      <w:r w:rsidRPr="00BC3188">
        <w:rPr>
          <w:rFonts w:ascii="Arial" w:eastAsia="Calibri" w:hAnsi="Arial" w:cs="Arial"/>
        </w:rPr>
        <w:t xml:space="preserve">. </w:t>
      </w:r>
    </w:p>
    <w:p w14:paraId="280674E2" w14:textId="77777777" w:rsidR="00BC3188" w:rsidRPr="00BC3188" w:rsidRDefault="00BC3188" w:rsidP="00BC3188">
      <w:pPr>
        <w:spacing w:line="252" w:lineRule="auto"/>
        <w:rPr>
          <w:rFonts w:ascii="Arial" w:eastAsia="Calibri" w:hAnsi="Arial" w:cs="Arial"/>
          <w:color w:val="FF0000"/>
        </w:rPr>
      </w:pPr>
      <w:r w:rsidRPr="00BC3188">
        <w:rPr>
          <w:rFonts w:ascii="Arial" w:eastAsia="Calibri" w:hAnsi="Arial" w:cs="Arial"/>
          <w:b/>
          <w:bCs/>
          <w:color w:val="FF0000"/>
        </w:rPr>
        <w:t>ACTION</w:t>
      </w:r>
      <w:r w:rsidRPr="00BC3188">
        <w:rPr>
          <w:rFonts w:ascii="Arial" w:eastAsia="Calibri" w:hAnsi="Arial" w:cs="Arial"/>
          <w:color w:val="FF0000"/>
        </w:rPr>
        <w:t>: WYPF are looking at developing internal reports to meet the request by SAB. We will confirm if this is possible in the next few weeks. In any event WYPF are not able to submit this data to SAB on behalf of FRAs.</w:t>
      </w:r>
    </w:p>
    <w:p w14:paraId="1ABEC397" w14:textId="77777777" w:rsidR="00BC3188" w:rsidRPr="00BC3188" w:rsidRDefault="00BC3188" w:rsidP="00BC3188">
      <w:pPr>
        <w:spacing w:line="252" w:lineRule="auto"/>
        <w:rPr>
          <w:rFonts w:ascii="Arial" w:eastAsia="Calibri" w:hAnsi="Arial" w:cs="Arial"/>
          <w:b/>
          <w:bCs/>
          <w:color w:val="0070C0"/>
        </w:rPr>
      </w:pPr>
      <w:r w:rsidRPr="00BC3188">
        <w:rPr>
          <w:rFonts w:ascii="Arial" w:eastAsia="Calibri" w:hAnsi="Arial" w:cs="Arial"/>
          <w:b/>
          <w:bCs/>
          <w:color w:val="0070C0"/>
        </w:rPr>
        <w:t>Other News and Updates</w:t>
      </w:r>
    </w:p>
    <w:p w14:paraId="23624841" w14:textId="77777777" w:rsidR="00BC3188" w:rsidRPr="00BC3188" w:rsidRDefault="00BC3188" w:rsidP="00BC3188">
      <w:pPr>
        <w:spacing w:line="252" w:lineRule="auto"/>
        <w:rPr>
          <w:rFonts w:ascii="Arial" w:eastAsia="Calibri" w:hAnsi="Arial" w:cs="Arial"/>
          <w:b/>
          <w:bCs/>
        </w:rPr>
      </w:pPr>
      <w:r w:rsidRPr="00BC3188">
        <w:rPr>
          <w:rFonts w:ascii="Arial" w:eastAsia="Calibri" w:hAnsi="Arial" w:cs="Arial"/>
          <w:b/>
          <w:bCs/>
        </w:rPr>
        <w:t>Pensions Dashboards readiness survey</w:t>
      </w:r>
    </w:p>
    <w:p w14:paraId="0C7ABBA2"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 xml:space="preserve"> As part of TPR’s dashboards communications approach, they will be sending all scheme managers two surveys at key points in their journey to their ‘connect by’ date, as set in DWP’s guidance. </w:t>
      </w:r>
    </w:p>
    <w:p w14:paraId="5B7CFD68" w14:textId="77777777" w:rsidR="00BC3188" w:rsidRPr="00BC3188" w:rsidRDefault="00BC3188" w:rsidP="00BC3188">
      <w:pPr>
        <w:spacing w:line="252" w:lineRule="auto"/>
        <w:rPr>
          <w:rFonts w:ascii="Arial" w:eastAsia="Calibri" w:hAnsi="Arial" w:cs="Arial"/>
        </w:rPr>
      </w:pPr>
      <w:r w:rsidRPr="00BC3188">
        <w:rPr>
          <w:rFonts w:ascii="Arial" w:eastAsia="Calibri" w:hAnsi="Arial" w:cs="Arial"/>
        </w:rPr>
        <w:t>The surveys will be sent to Public Service Pension Schemes in the month following their second and third ‘nudge’ communications – and therefore all PSPS schemes can expect to receive the first survey in November. It is important that schemes complete and submit the surveys, which are anonymous, as they provide TPR with useful insights into industry readiness, and where any gaps in awareness and 22 Click here to return to Contents understanding may lie, in order to inform their approach.</w:t>
      </w:r>
    </w:p>
    <w:p w14:paraId="65126A87" w14:textId="77777777" w:rsidR="00BC3188" w:rsidRPr="00BC3188" w:rsidRDefault="00BC3188" w:rsidP="00BC3188">
      <w:pPr>
        <w:spacing w:line="252" w:lineRule="auto"/>
        <w:rPr>
          <w:rFonts w:ascii="Arial" w:eastAsia="Calibri" w:hAnsi="Arial" w:cs="Arial"/>
          <w:b/>
          <w:bCs/>
          <w:color w:val="FF0000"/>
        </w:rPr>
      </w:pPr>
      <w:r w:rsidRPr="00BC3188">
        <w:rPr>
          <w:rFonts w:ascii="Arial" w:eastAsia="Calibri" w:hAnsi="Arial" w:cs="Arial"/>
          <w:b/>
          <w:bCs/>
          <w:color w:val="FF0000"/>
        </w:rPr>
        <w:t>WYPF:</w:t>
      </w:r>
      <w:r w:rsidRPr="00BC3188">
        <w:rPr>
          <w:rFonts w:ascii="Arial" w:eastAsia="Calibri" w:hAnsi="Arial" w:cs="Arial"/>
          <w:color w:val="FF0000"/>
        </w:rPr>
        <w:t xml:space="preserve"> We understand these surveys are currently being received by FRAs. WYPF cannot submit responses on your behalf but we are producing a template of survey answers and will provide this to FRAs in the next week or two. </w:t>
      </w:r>
    </w:p>
    <w:p w14:paraId="0E8D9E87" w14:textId="77777777" w:rsidR="00BC3188" w:rsidRPr="00BC3188" w:rsidRDefault="00BC3188" w:rsidP="00BC3188">
      <w:pPr>
        <w:rPr>
          <w:rFonts w:ascii="Arial" w:eastAsia="Calibri" w:hAnsi="Arial" w:cs="Arial"/>
          <w:b/>
          <w:bCs/>
          <w:color w:val="0070C0"/>
        </w:rPr>
      </w:pPr>
      <w:r w:rsidRPr="00BC3188">
        <w:rPr>
          <w:rFonts w:ascii="Arial" w:eastAsia="Calibri" w:hAnsi="Arial" w:cs="Arial"/>
          <w:b/>
          <w:bCs/>
          <w:color w:val="0070C0"/>
        </w:rPr>
        <w:t>Events</w:t>
      </w:r>
    </w:p>
    <w:p w14:paraId="6A076094" w14:textId="77777777" w:rsidR="00BC3188" w:rsidRPr="00BC3188" w:rsidRDefault="00BC3188" w:rsidP="00BC3188">
      <w:pPr>
        <w:rPr>
          <w:rFonts w:ascii="Arial" w:eastAsia="Calibri" w:hAnsi="Arial" w:cs="Arial"/>
        </w:rPr>
      </w:pPr>
      <w:r w:rsidRPr="00BC3188">
        <w:rPr>
          <w:rFonts w:ascii="Arial" w:eastAsia="Calibri" w:hAnsi="Arial" w:cs="Arial"/>
          <w:b/>
          <w:bCs/>
        </w:rPr>
        <w:t>Local Pension Board (LPB) Training Sessions</w:t>
      </w:r>
      <w:r w:rsidRPr="00BC3188">
        <w:rPr>
          <w:rFonts w:ascii="Arial" w:eastAsia="Calibri" w:hAnsi="Arial" w:cs="Arial"/>
        </w:rPr>
        <w:t xml:space="preserve"> </w:t>
      </w:r>
    </w:p>
    <w:p w14:paraId="38110F2B" w14:textId="77777777" w:rsidR="00BC3188" w:rsidRPr="00BC3188" w:rsidRDefault="00BC3188" w:rsidP="00BC3188">
      <w:pPr>
        <w:rPr>
          <w:rFonts w:ascii="Arial" w:eastAsia="Calibri" w:hAnsi="Arial" w:cs="Arial"/>
        </w:rPr>
      </w:pPr>
      <w:r w:rsidRPr="00BC3188">
        <w:rPr>
          <w:rFonts w:ascii="Arial" w:eastAsia="Calibri" w:hAnsi="Arial" w:cs="Arial"/>
        </w:rPr>
        <w:t xml:space="preserve">We are also pleased to release our 2025 dates as follows: </w:t>
      </w:r>
    </w:p>
    <w:p w14:paraId="017FB2B3" w14:textId="77777777" w:rsidR="00BC3188" w:rsidRPr="00BC3188" w:rsidRDefault="00BC3188" w:rsidP="00BC3188">
      <w:pPr>
        <w:rPr>
          <w:rFonts w:ascii="Arial" w:eastAsia="Calibri" w:hAnsi="Arial" w:cs="Arial"/>
          <w:i/>
          <w:iCs/>
          <w:color w:val="0070C0"/>
        </w:rPr>
      </w:pPr>
      <w:r w:rsidRPr="00BC3188">
        <w:rPr>
          <w:rFonts w:ascii="Arial" w:eastAsia="Calibri" w:hAnsi="Arial" w:cs="Arial"/>
        </w:rPr>
        <w:t xml:space="preserve">• Thursday 23 January 2025 10:00 – 14:00 (MS Teams) </w:t>
      </w:r>
      <w:bookmarkStart w:id="7" w:name="_Hlk178761333"/>
      <w:r w:rsidRPr="00BC3188">
        <w:rPr>
          <w:rFonts w:ascii="Arial" w:eastAsia="Calibri" w:hAnsi="Arial" w:cs="Arial"/>
          <w:i/>
          <w:iCs/>
          <w:color w:val="0070C0"/>
        </w:rPr>
        <w:t>(Fully booked)</w:t>
      </w:r>
      <w:bookmarkEnd w:id="7"/>
    </w:p>
    <w:p w14:paraId="1AF73AD9" w14:textId="77777777" w:rsidR="00BC3188" w:rsidRPr="00BC3188" w:rsidRDefault="00BC3188" w:rsidP="00BC3188">
      <w:pPr>
        <w:rPr>
          <w:rFonts w:ascii="Arial" w:eastAsia="Calibri" w:hAnsi="Arial" w:cs="Arial"/>
          <w:i/>
          <w:iCs/>
        </w:rPr>
      </w:pPr>
      <w:r w:rsidRPr="00BC3188">
        <w:rPr>
          <w:rFonts w:ascii="Arial" w:eastAsia="Calibri" w:hAnsi="Arial" w:cs="Arial"/>
        </w:rPr>
        <w:t xml:space="preserve">• Tuesday 25 March 2025 10:00 – 14:00 (MS Teams) </w:t>
      </w:r>
      <w:r w:rsidRPr="00BC3188">
        <w:rPr>
          <w:rFonts w:ascii="Arial" w:eastAsia="Calibri" w:hAnsi="Arial" w:cs="Arial"/>
          <w:i/>
          <w:iCs/>
          <w:color w:val="0070C0"/>
        </w:rPr>
        <w:t>(Fully booked)</w:t>
      </w:r>
    </w:p>
    <w:p w14:paraId="199944B1" w14:textId="77777777" w:rsidR="00BC3188" w:rsidRPr="00BC3188" w:rsidRDefault="00BC3188" w:rsidP="00BC3188">
      <w:pPr>
        <w:rPr>
          <w:rFonts w:ascii="Arial" w:eastAsia="Calibri" w:hAnsi="Arial" w:cs="Arial"/>
          <w:i/>
          <w:iCs/>
          <w:color w:val="0070C0"/>
        </w:rPr>
      </w:pPr>
      <w:r w:rsidRPr="00BC3188">
        <w:rPr>
          <w:rFonts w:ascii="Arial" w:eastAsia="Calibri" w:hAnsi="Arial" w:cs="Arial"/>
        </w:rPr>
        <w:t xml:space="preserve">• Monday 16 June 2025 13:00 – 17:00 (MS Teams) </w:t>
      </w:r>
      <w:r w:rsidRPr="00BC3188">
        <w:rPr>
          <w:rFonts w:ascii="Arial" w:eastAsia="Calibri" w:hAnsi="Arial" w:cs="Arial"/>
          <w:i/>
          <w:iCs/>
          <w:color w:val="0070C0"/>
        </w:rPr>
        <w:t>(Fully booked)</w:t>
      </w:r>
    </w:p>
    <w:p w14:paraId="27ECFF93" w14:textId="77777777" w:rsidR="00BC3188" w:rsidRPr="00BC3188" w:rsidRDefault="00BC3188" w:rsidP="00BC3188">
      <w:pPr>
        <w:rPr>
          <w:rFonts w:ascii="Arial" w:eastAsia="Calibri" w:hAnsi="Arial" w:cs="Arial"/>
        </w:rPr>
      </w:pPr>
      <w:r w:rsidRPr="00BC3188">
        <w:rPr>
          <w:rFonts w:ascii="Arial" w:eastAsia="Calibri" w:hAnsi="Arial" w:cs="Arial"/>
        </w:rPr>
        <w:t xml:space="preserve">• Wednesday 17 September 2025 11:00 – 15:30 (in person – 18 Smith Square) </w:t>
      </w:r>
    </w:p>
    <w:p w14:paraId="4A156E40" w14:textId="77777777" w:rsidR="00BC3188" w:rsidRPr="00BC3188" w:rsidRDefault="00BC3188" w:rsidP="00BC3188">
      <w:pPr>
        <w:rPr>
          <w:rFonts w:ascii="Arial" w:eastAsia="Calibri" w:hAnsi="Arial" w:cs="Arial"/>
        </w:rPr>
      </w:pPr>
      <w:r w:rsidRPr="00BC3188">
        <w:rPr>
          <w:rFonts w:ascii="Arial" w:eastAsia="Calibri" w:hAnsi="Arial" w:cs="Arial"/>
        </w:rPr>
        <w:t>• Thursday 22 January 2026 10:00 – 14:00 (MS Teams)</w:t>
      </w:r>
    </w:p>
    <w:p w14:paraId="33336627" w14:textId="77777777" w:rsidR="00BC3188" w:rsidRPr="00BC3188" w:rsidRDefault="00BC3188" w:rsidP="00BC3188">
      <w:pPr>
        <w:rPr>
          <w:rFonts w:ascii="Arial" w:eastAsia="Calibri" w:hAnsi="Arial" w:cs="Arial"/>
        </w:rPr>
      </w:pPr>
      <w:r w:rsidRPr="00BC3188">
        <w:rPr>
          <w:rFonts w:ascii="Arial" w:eastAsia="Calibri" w:hAnsi="Arial" w:cs="Arial"/>
        </w:rPr>
        <w:t xml:space="preserve">Attendees will hear from a range of speakers including: </w:t>
      </w:r>
    </w:p>
    <w:p w14:paraId="55E2C0AE" w14:textId="77777777" w:rsidR="00BC3188" w:rsidRPr="00BC3188" w:rsidRDefault="00BC3188" w:rsidP="00BC3188">
      <w:pPr>
        <w:rPr>
          <w:rFonts w:ascii="Arial" w:eastAsia="Calibri" w:hAnsi="Arial" w:cs="Arial"/>
        </w:rPr>
      </w:pPr>
      <w:r w:rsidRPr="00BC3188">
        <w:rPr>
          <w:rFonts w:ascii="Arial" w:eastAsia="Calibri" w:hAnsi="Arial" w:cs="Arial"/>
          <w:b/>
          <w:bCs/>
        </w:rPr>
        <w:lastRenderedPageBreak/>
        <w:t>LGA</w:t>
      </w:r>
      <w:r w:rsidRPr="00BC3188">
        <w:rPr>
          <w:rFonts w:ascii="Arial" w:eastAsia="Calibri" w:hAnsi="Arial" w:cs="Arial"/>
        </w:rPr>
        <w:t xml:space="preserve"> – to provide an overview of the FPS scheme(s) and current pension related hot topics e.g. Matthews and McCloud </w:t>
      </w:r>
    </w:p>
    <w:p w14:paraId="7706BD3B" w14:textId="77777777" w:rsidR="00BC3188" w:rsidRPr="00BC3188" w:rsidRDefault="00BC3188" w:rsidP="00BC3188">
      <w:pPr>
        <w:rPr>
          <w:rFonts w:ascii="Arial" w:eastAsia="Calibri" w:hAnsi="Arial" w:cs="Arial"/>
          <w:b/>
          <w:bCs/>
        </w:rPr>
      </w:pPr>
      <w:r w:rsidRPr="00BC3188">
        <w:rPr>
          <w:rFonts w:ascii="Arial" w:eastAsia="Calibri" w:hAnsi="Arial" w:cs="Arial"/>
          <w:b/>
          <w:bCs/>
        </w:rPr>
        <w:t>SAB (England) Chair</w:t>
      </w:r>
      <w:r w:rsidRPr="00BC3188">
        <w:rPr>
          <w:rFonts w:ascii="Arial" w:eastAsia="Calibri" w:hAnsi="Arial" w:cs="Arial"/>
        </w:rPr>
        <w:t xml:space="preserve"> – to give an introduction and overview of the work that SAB are involved in. </w:t>
      </w:r>
    </w:p>
    <w:p w14:paraId="58968175" w14:textId="77777777" w:rsidR="00BC3188" w:rsidRPr="00BC3188" w:rsidRDefault="00BC3188" w:rsidP="00BC3188">
      <w:pPr>
        <w:rPr>
          <w:rFonts w:ascii="Arial" w:eastAsia="Calibri" w:hAnsi="Arial" w:cs="Arial"/>
        </w:rPr>
      </w:pPr>
      <w:r w:rsidRPr="00BC3188">
        <w:rPr>
          <w:rFonts w:ascii="Arial" w:eastAsia="Calibri" w:hAnsi="Arial" w:cs="Arial"/>
          <w:b/>
          <w:bCs/>
        </w:rPr>
        <w:t>Fire LPB Effectiveness Committee Chair</w:t>
      </w:r>
      <w:r w:rsidRPr="00BC3188">
        <w:rPr>
          <w:rFonts w:ascii="Arial" w:eastAsia="Calibri" w:hAnsi="Arial" w:cs="Arial"/>
        </w:rPr>
        <w:t xml:space="preserve"> – to provide input on LPB effectiveness and what the committee have been working on. </w:t>
      </w:r>
    </w:p>
    <w:p w14:paraId="20F15D9E" w14:textId="77777777" w:rsidR="00BC3188" w:rsidRPr="00BC3188" w:rsidRDefault="00BC3188" w:rsidP="00BC3188">
      <w:pPr>
        <w:rPr>
          <w:rFonts w:ascii="Arial" w:eastAsia="Calibri" w:hAnsi="Arial" w:cs="Arial"/>
        </w:rPr>
      </w:pPr>
      <w:r w:rsidRPr="00BC3188">
        <w:rPr>
          <w:rFonts w:ascii="Arial" w:eastAsia="Calibri" w:hAnsi="Arial" w:cs="Arial"/>
          <w:b/>
          <w:bCs/>
        </w:rPr>
        <w:t>The Pensions Regulator</w:t>
      </w:r>
      <w:r w:rsidRPr="00BC3188">
        <w:rPr>
          <w:rFonts w:ascii="Arial" w:eastAsia="Calibri" w:hAnsi="Arial" w:cs="Arial"/>
        </w:rPr>
        <w:t xml:space="preserve"> – to provide an update on the Administration and Governance survey and how the results relate to Fire, as well as covering the importance of the Public Sector Pensions toolkit and any current developments e.g. the General Code. The Pensions </w:t>
      </w:r>
    </w:p>
    <w:p w14:paraId="66A13064" w14:textId="77777777" w:rsidR="00BC3188" w:rsidRPr="00BC3188" w:rsidRDefault="00BC3188" w:rsidP="00BC3188">
      <w:pPr>
        <w:rPr>
          <w:rFonts w:ascii="Arial" w:eastAsia="Calibri" w:hAnsi="Arial" w:cs="Arial"/>
        </w:rPr>
      </w:pPr>
      <w:r w:rsidRPr="00BC3188">
        <w:rPr>
          <w:rFonts w:ascii="Arial" w:eastAsia="Calibri" w:hAnsi="Arial" w:cs="Arial"/>
          <w:b/>
          <w:bCs/>
        </w:rPr>
        <w:t>Dashboard Programme (PDP)/ The Pensions Regulator (TPR)</w:t>
      </w:r>
      <w:r w:rsidRPr="00BC3188">
        <w:rPr>
          <w:rFonts w:ascii="Arial" w:eastAsia="Calibri" w:hAnsi="Arial" w:cs="Arial"/>
        </w:rPr>
        <w:t xml:space="preserve"> – to provide an update on the programme and requirements on scheme managers/to provide detail of the tools that scheme managers can use to help them prepare for dashboards e.g. checklists. </w:t>
      </w:r>
    </w:p>
    <w:p w14:paraId="50CA5CCB" w14:textId="77777777" w:rsidR="00BC3188" w:rsidRPr="00BC3188" w:rsidRDefault="00BC3188" w:rsidP="00BC3188">
      <w:pPr>
        <w:rPr>
          <w:rFonts w:ascii="Arial" w:eastAsia="Calibri" w:hAnsi="Arial" w:cs="Arial"/>
        </w:rPr>
      </w:pPr>
      <w:r w:rsidRPr="00BC3188">
        <w:rPr>
          <w:rFonts w:ascii="Arial" w:eastAsia="Calibri" w:hAnsi="Arial" w:cs="Arial"/>
        </w:rPr>
        <w:t xml:space="preserve">To book: </w:t>
      </w:r>
    </w:p>
    <w:p w14:paraId="7E56CA3C" w14:textId="77777777" w:rsidR="00BC3188" w:rsidRPr="00BC3188" w:rsidRDefault="00BC3188" w:rsidP="00BC3188">
      <w:pPr>
        <w:rPr>
          <w:rFonts w:ascii="Arial" w:eastAsia="Calibri" w:hAnsi="Arial" w:cs="Arial"/>
        </w:rPr>
      </w:pPr>
      <w:r w:rsidRPr="00BC3188">
        <w:rPr>
          <w:rFonts w:ascii="Arial" w:eastAsia="Calibri" w:hAnsi="Arial" w:cs="Arial"/>
        </w:rPr>
        <w:t xml:space="preserve">Please email </w:t>
      </w:r>
      <w:hyperlink r:id="rId53" w:history="1">
        <w:r w:rsidRPr="00BC3188">
          <w:rPr>
            <w:rFonts w:ascii="Arial" w:eastAsia="Calibri" w:hAnsi="Arial" w:cs="Arial"/>
            <w:color w:val="D93B44"/>
            <w:u w:val="single"/>
          </w:rPr>
          <w:t>bluelightpensions@local.gov.uk</w:t>
        </w:r>
      </w:hyperlink>
      <w:r w:rsidRPr="00BC3188">
        <w:rPr>
          <w:rFonts w:ascii="Arial" w:eastAsia="Calibri" w:hAnsi="Arial" w:cs="Arial"/>
        </w:rPr>
        <w:t xml:space="preserve"> for the MS Teams sessions and we will announce when the booking link goes live for the in-person session at the LGA offices, 18 Smith Square, Westminster, SW1P 3HZ. </w:t>
      </w:r>
    </w:p>
    <w:p w14:paraId="62994E9D" w14:textId="77777777" w:rsidR="00BC3188" w:rsidRPr="00BC3188" w:rsidRDefault="00BC3188" w:rsidP="00BC3188">
      <w:pPr>
        <w:rPr>
          <w:rFonts w:ascii="Arial" w:eastAsia="Calibri" w:hAnsi="Arial" w:cs="Arial"/>
          <w:b/>
          <w:bCs/>
          <w:color w:val="FF0000"/>
        </w:rPr>
      </w:pPr>
      <w:r w:rsidRPr="00BC3188">
        <w:rPr>
          <w:rFonts w:ascii="Arial" w:eastAsia="Calibri" w:hAnsi="Arial" w:cs="Arial"/>
          <w:b/>
          <w:bCs/>
          <w:color w:val="FF0000"/>
        </w:rPr>
        <w:t>ACTION:</w:t>
      </w:r>
      <w:r w:rsidRPr="00BC3188">
        <w:rPr>
          <w:rFonts w:ascii="Arial" w:eastAsia="Calibri" w:hAnsi="Arial" w:cs="Arial"/>
          <w:color w:val="FF0000"/>
        </w:rPr>
        <w:t xml:space="preserve"> Readers are asked to make their LPB members aware of the training sessions and encourage them to book onto a session.</w:t>
      </w:r>
    </w:p>
    <w:p w14:paraId="2E69CFC0" w14:textId="77777777" w:rsidR="00BC3188" w:rsidRPr="00BC3188" w:rsidRDefault="00BC3188" w:rsidP="00BC3188">
      <w:pPr>
        <w:rPr>
          <w:rFonts w:ascii="Arial" w:eastAsia="Calibri" w:hAnsi="Arial" w:cs="Arial"/>
          <w:b/>
          <w:bCs/>
          <w:color w:val="0070C0"/>
        </w:rPr>
      </w:pPr>
      <w:r w:rsidRPr="00BC3188">
        <w:rPr>
          <w:rFonts w:ascii="Arial" w:eastAsia="Calibri" w:hAnsi="Arial" w:cs="Arial"/>
          <w:b/>
          <w:bCs/>
          <w:color w:val="0070C0"/>
        </w:rPr>
        <w:t xml:space="preserve">FPS coffee mornings </w:t>
      </w:r>
    </w:p>
    <w:p w14:paraId="2C53D61D" w14:textId="77777777" w:rsidR="00BC3188" w:rsidRPr="00BC3188" w:rsidRDefault="00BC3188" w:rsidP="00BC3188">
      <w:pPr>
        <w:tabs>
          <w:tab w:val="right" w:leader="dot" w:pos="6804"/>
        </w:tabs>
        <w:spacing w:after="240"/>
        <w:rPr>
          <w:rFonts w:ascii="Arial" w:eastAsia="Calibri" w:hAnsi="Arial" w:cs="Arial"/>
        </w:rPr>
      </w:pPr>
      <w:r w:rsidRPr="00BC3188">
        <w:rPr>
          <w:rFonts w:ascii="Arial" w:eastAsia="Calibri" w:hAnsi="Arial" w:cs="Arial"/>
        </w:rPr>
        <w:t xml:space="preserve">Our MS Teams coffee mornings are continuing in October 2024. The informal sessions lasting up to an hour allow practitioners to catch up with colleagues and hear a brief update on FPS issues from the LGA Bluelight team. </w:t>
      </w:r>
    </w:p>
    <w:p w14:paraId="2749D673" w14:textId="77777777" w:rsidR="00BC3188" w:rsidRPr="00BC3188" w:rsidRDefault="00BC3188" w:rsidP="00BC3188">
      <w:pPr>
        <w:tabs>
          <w:tab w:val="right" w:leader="dot" w:pos="6804"/>
        </w:tabs>
        <w:spacing w:after="240"/>
        <w:rPr>
          <w:rFonts w:ascii="Arial" w:eastAsia="Calibri" w:hAnsi="Arial" w:cs="Arial"/>
        </w:rPr>
      </w:pPr>
      <w:r w:rsidRPr="00BC3188">
        <w:rPr>
          <w:rFonts w:ascii="Arial" w:eastAsia="Calibri" w:hAnsi="Arial" w:cs="Arial"/>
        </w:rPr>
        <w:t xml:space="preserve">On 26 November 2024 we will be joined by Home Office to discuss their workplan for the coming 12 months. </w:t>
      </w:r>
    </w:p>
    <w:p w14:paraId="56B4D14B" w14:textId="77777777" w:rsidR="00BC3188" w:rsidRPr="00BC3188" w:rsidRDefault="00BC3188" w:rsidP="00BC3188">
      <w:pPr>
        <w:tabs>
          <w:tab w:val="right" w:leader="dot" w:pos="6804"/>
        </w:tabs>
        <w:spacing w:after="240"/>
        <w:rPr>
          <w:rFonts w:ascii="Arial" w:eastAsia="Calibri" w:hAnsi="Arial" w:cs="Arial"/>
        </w:rPr>
      </w:pPr>
      <w:r w:rsidRPr="00BC3188">
        <w:rPr>
          <w:rFonts w:ascii="Arial" w:eastAsia="Calibri" w:hAnsi="Arial" w:cs="Arial"/>
        </w:rPr>
        <w:t xml:space="preserve">We are pleased to include the presentations from recent sessions below: </w:t>
      </w:r>
    </w:p>
    <w:p w14:paraId="71CE0A14" w14:textId="77777777" w:rsidR="00BC3188" w:rsidRPr="00BC3188" w:rsidRDefault="00BC3188" w:rsidP="00BC3188">
      <w:pPr>
        <w:tabs>
          <w:tab w:val="right" w:leader="dot" w:pos="6804"/>
        </w:tabs>
        <w:spacing w:after="240"/>
        <w:rPr>
          <w:rFonts w:ascii="Arial" w:eastAsia="Calibri" w:hAnsi="Arial" w:cs="Arial"/>
        </w:rPr>
      </w:pPr>
      <w:r w:rsidRPr="00BC3188">
        <w:rPr>
          <w:rFonts w:ascii="Arial" w:eastAsia="Calibri" w:hAnsi="Arial" w:cs="Arial"/>
        </w:rPr>
        <w:t xml:space="preserve">3 October 2024 – </w:t>
      </w:r>
      <w:hyperlink r:id="rId54" w:history="1">
        <w:r w:rsidRPr="00BC3188">
          <w:rPr>
            <w:rFonts w:ascii="Arial" w:eastAsia="Calibri" w:hAnsi="Arial" w:cs="Arial"/>
            <w:color w:val="D93B44"/>
            <w:u w:val="single"/>
          </w:rPr>
          <w:t xml:space="preserve">Unauthorised payments process for offsetting </w:t>
        </w:r>
      </w:hyperlink>
      <w:r w:rsidRPr="00BC3188">
        <w:rPr>
          <w:rFonts w:ascii="Arial" w:eastAsia="Calibri" w:hAnsi="Arial" w:cs="Arial"/>
        </w:rPr>
        <w:t xml:space="preserve"> </w:t>
      </w:r>
    </w:p>
    <w:p w14:paraId="08658752" w14:textId="77777777" w:rsidR="00BC3188" w:rsidRPr="00BC3188" w:rsidRDefault="00BC3188" w:rsidP="00BC3188">
      <w:pPr>
        <w:tabs>
          <w:tab w:val="right" w:leader="dot" w:pos="6804"/>
        </w:tabs>
        <w:spacing w:after="240"/>
        <w:rPr>
          <w:rFonts w:ascii="Arial" w:eastAsia="Calibri" w:hAnsi="Arial" w:cs="Arial"/>
        </w:rPr>
      </w:pPr>
      <w:r w:rsidRPr="00BC3188">
        <w:rPr>
          <w:rFonts w:ascii="Arial" w:eastAsia="Calibri" w:hAnsi="Arial" w:cs="Arial"/>
        </w:rPr>
        <w:t xml:space="preserve">22 October 2024 – </w:t>
      </w:r>
      <w:hyperlink r:id="rId55" w:history="1">
        <w:r w:rsidRPr="00BC3188">
          <w:rPr>
            <w:rFonts w:ascii="Arial" w:eastAsia="Calibri" w:hAnsi="Arial" w:cs="Arial"/>
            <w:color w:val="D93B44"/>
            <w:u w:val="single"/>
          </w:rPr>
          <w:t>Matthews update</w:t>
        </w:r>
      </w:hyperlink>
      <w:r w:rsidRPr="00BC3188">
        <w:rPr>
          <w:rFonts w:ascii="Arial" w:eastAsia="Calibri" w:hAnsi="Arial" w:cs="Arial"/>
        </w:rPr>
        <w:t xml:space="preserve"> </w:t>
      </w:r>
    </w:p>
    <w:p w14:paraId="3A05178D" w14:textId="77777777" w:rsidR="00BC3188" w:rsidRPr="00BC3188" w:rsidRDefault="00BC3188" w:rsidP="00BC3188">
      <w:pPr>
        <w:tabs>
          <w:tab w:val="right" w:leader="dot" w:pos="6804"/>
        </w:tabs>
        <w:spacing w:after="240"/>
        <w:rPr>
          <w:rFonts w:ascii="Arial" w:eastAsia="Calibri" w:hAnsi="Arial" w:cs="Arial"/>
          <w:b/>
          <w:color w:val="0070C0"/>
          <w:sz w:val="28"/>
          <w:szCs w:val="28"/>
        </w:rPr>
      </w:pPr>
      <w:r w:rsidRPr="00BC3188">
        <w:rPr>
          <w:rFonts w:ascii="Arial" w:eastAsia="Calibri" w:hAnsi="Arial" w:cs="Arial"/>
        </w:rPr>
        <w:t xml:space="preserve">If you do not already receive the meeting invitations and would like to join us, please email </w:t>
      </w:r>
      <w:hyperlink r:id="rId56" w:history="1">
        <w:r w:rsidRPr="00BC3188">
          <w:rPr>
            <w:rFonts w:ascii="Arial" w:eastAsia="Calibri" w:hAnsi="Arial" w:cs="Arial"/>
            <w:color w:val="D93B44"/>
            <w:u w:val="single"/>
          </w:rPr>
          <w:t>bluelightpensions@local.gov.uk</w:t>
        </w:r>
      </w:hyperlink>
      <w:r w:rsidRPr="00BC3188">
        <w:rPr>
          <w:rFonts w:ascii="Arial" w:eastAsia="Calibri" w:hAnsi="Arial" w:cs="Arial"/>
        </w:rPr>
        <w:t>. Please note that attendance at the coffee mornings is generally restricted to FPS practitioners and managers</w:t>
      </w:r>
    </w:p>
    <w:p w14:paraId="70654FFD" w14:textId="77777777" w:rsidR="00BC3188" w:rsidRPr="00BC3188" w:rsidRDefault="00BC3188" w:rsidP="00BC3188">
      <w:pPr>
        <w:rPr>
          <w:rFonts w:ascii="Arial" w:eastAsia="Calibri" w:hAnsi="Arial" w:cs="Arial"/>
          <w:b/>
          <w:color w:val="0070C0"/>
        </w:rPr>
      </w:pPr>
      <w:r w:rsidRPr="00BC3188">
        <w:rPr>
          <w:rFonts w:ascii="Arial" w:eastAsia="Calibri" w:hAnsi="Arial" w:cs="Arial"/>
          <w:b/>
          <w:color w:val="0070C0"/>
        </w:rPr>
        <w:t xml:space="preserve">Legislation </w:t>
      </w:r>
    </w:p>
    <w:p w14:paraId="79BA9FF5" w14:textId="77777777" w:rsidR="00BC3188" w:rsidRPr="00BC3188" w:rsidRDefault="00BC3188" w:rsidP="00BC3188">
      <w:pPr>
        <w:rPr>
          <w:rFonts w:ascii="Arial" w:eastAsia="Calibri" w:hAnsi="Arial" w:cs="Arial"/>
          <w:b/>
        </w:rPr>
      </w:pPr>
      <w:r w:rsidRPr="00BC3188">
        <w:rPr>
          <w:rFonts w:ascii="Arial" w:eastAsia="Calibri" w:hAnsi="Arial" w:cs="Arial"/>
          <w:b/>
        </w:rPr>
        <w:t xml:space="preserve">Statutory Instruments </w:t>
      </w:r>
    </w:p>
    <w:p w14:paraId="07976E5F" w14:textId="77777777" w:rsidR="00BC3188" w:rsidRPr="00BC3188" w:rsidRDefault="00BC3188" w:rsidP="00BC3188">
      <w:pPr>
        <w:rPr>
          <w:rFonts w:ascii="Arial" w:eastAsia="Calibri" w:hAnsi="Arial" w:cs="Arial"/>
        </w:rPr>
      </w:pPr>
      <w:hyperlink r:id="rId57" w:history="1">
        <w:r w:rsidRPr="00BC3188">
          <w:rPr>
            <w:rFonts w:ascii="Arial" w:eastAsia="Calibri" w:hAnsi="Arial" w:cs="Arial"/>
            <w:color w:val="D93B44"/>
            <w:u w:val="single"/>
          </w:rPr>
          <w:t xml:space="preserve">Firefighters’ Pension Schemes (England) (Amendment) Order 2023 </w:t>
        </w:r>
      </w:hyperlink>
      <w:r w:rsidRPr="00BC3188">
        <w:rPr>
          <w:rFonts w:ascii="Arial" w:eastAsia="Calibri" w:hAnsi="Arial" w:cs="Arial"/>
        </w:rPr>
        <w:t xml:space="preserve"> [SI2023/986] </w:t>
      </w:r>
    </w:p>
    <w:p w14:paraId="5771E96F" w14:textId="77777777" w:rsidR="00BC3188" w:rsidRPr="00BC3188" w:rsidRDefault="00BC3188" w:rsidP="00BC3188">
      <w:pPr>
        <w:rPr>
          <w:rFonts w:ascii="Arial" w:eastAsia="Calibri" w:hAnsi="Arial" w:cs="Arial"/>
        </w:rPr>
      </w:pPr>
      <w:r w:rsidRPr="00BC3188">
        <w:rPr>
          <w:rFonts w:ascii="Arial" w:eastAsia="Calibri" w:hAnsi="Arial" w:cs="Arial"/>
        </w:rPr>
        <w:t xml:space="preserve">Directions Orders </w:t>
      </w:r>
    </w:p>
    <w:p w14:paraId="481526A2" w14:textId="77777777" w:rsidR="00BC3188" w:rsidRPr="00BC3188" w:rsidRDefault="00BC3188" w:rsidP="00BC3188">
      <w:pPr>
        <w:rPr>
          <w:rFonts w:ascii="Arial" w:eastAsia="Calibri" w:hAnsi="Arial" w:cs="Arial"/>
        </w:rPr>
      </w:pPr>
      <w:hyperlink r:id="rId58" w:history="1">
        <w:r w:rsidRPr="00BC3188">
          <w:rPr>
            <w:rFonts w:ascii="Arial" w:eastAsia="Calibri" w:hAnsi="Arial" w:cs="Arial"/>
            <w:color w:val="D93B44"/>
            <w:u w:val="single"/>
          </w:rPr>
          <w:t>Public Service Pensions (Valuations and Employer Cost Cap) Directions 2023</w:t>
        </w:r>
      </w:hyperlink>
      <w:r w:rsidRPr="00BC3188">
        <w:rPr>
          <w:rFonts w:ascii="Arial" w:eastAsia="Calibri" w:hAnsi="Arial" w:cs="Arial"/>
        </w:rPr>
        <w:t xml:space="preserve">   </w:t>
      </w:r>
    </w:p>
    <w:p w14:paraId="6E77F07D" w14:textId="77777777" w:rsidR="00BC3188" w:rsidRPr="00BC3188" w:rsidRDefault="00BC3188" w:rsidP="00BC3188">
      <w:pPr>
        <w:rPr>
          <w:rFonts w:ascii="Arial" w:eastAsia="Calibri" w:hAnsi="Arial" w:cs="Arial"/>
        </w:rPr>
      </w:pPr>
    </w:p>
    <w:p w14:paraId="0A51CADF" w14:textId="77777777" w:rsidR="00BC3188" w:rsidRPr="00BC3188" w:rsidRDefault="00BC3188" w:rsidP="00BC3188">
      <w:pPr>
        <w:rPr>
          <w:rFonts w:ascii="Arial" w:eastAsia="Calibri" w:hAnsi="Arial" w:cs="Arial"/>
          <w:b/>
          <w:color w:val="0070C0"/>
        </w:rPr>
      </w:pPr>
    </w:p>
    <w:p w14:paraId="7EE0905E" w14:textId="77777777" w:rsidR="00BC3188" w:rsidRPr="00BC3188" w:rsidRDefault="00BC3188" w:rsidP="00BC3188">
      <w:pPr>
        <w:spacing w:line="256" w:lineRule="auto"/>
        <w:rPr>
          <w:rFonts w:ascii="Arial" w:eastAsia="Calibri" w:hAnsi="Arial" w:cs="Arial"/>
          <w:b/>
          <w:color w:val="0070C0"/>
        </w:rPr>
      </w:pPr>
      <w:r w:rsidRPr="00BC3188">
        <w:rPr>
          <w:rFonts w:ascii="Arial" w:eastAsia="Calibri" w:hAnsi="Arial" w:cs="Arial"/>
          <w:b/>
          <w:color w:val="0070C0"/>
        </w:rPr>
        <w:lastRenderedPageBreak/>
        <w:t xml:space="preserve">Useful links </w:t>
      </w:r>
    </w:p>
    <w:p w14:paraId="080F71AB"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59" w:history="1">
        <w:r w:rsidRPr="00BC3188">
          <w:rPr>
            <w:rFonts w:ascii="Arial" w:eastAsia="Calibri" w:hAnsi="Arial" w:cs="Arial"/>
            <w:color w:val="0563C1"/>
            <w:u w:val="single"/>
          </w:rPr>
          <w:t xml:space="preserve">The Firefighters’ Pensions (England) Scheme Advisory Board </w:t>
        </w:r>
      </w:hyperlink>
      <w:r w:rsidRPr="00BC3188">
        <w:rPr>
          <w:rFonts w:ascii="Arial" w:eastAsia="Calibri" w:hAnsi="Arial" w:cs="Arial"/>
        </w:rPr>
        <w:t xml:space="preserve">  </w:t>
      </w:r>
    </w:p>
    <w:p w14:paraId="538868FD"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60" w:history="1">
        <w:r w:rsidRPr="00BC3188">
          <w:rPr>
            <w:rFonts w:ascii="Arial" w:eastAsia="Calibri" w:hAnsi="Arial" w:cs="Arial"/>
            <w:color w:val="0563C1"/>
            <w:u w:val="single"/>
          </w:rPr>
          <w:t xml:space="preserve">FPS Regulations and Guidance </w:t>
        </w:r>
      </w:hyperlink>
      <w:r w:rsidRPr="00BC3188">
        <w:rPr>
          <w:rFonts w:ascii="Arial" w:eastAsia="Calibri" w:hAnsi="Arial" w:cs="Arial"/>
        </w:rPr>
        <w:t xml:space="preserve">  </w:t>
      </w:r>
    </w:p>
    <w:p w14:paraId="333090C5"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61" w:history="1">
        <w:r w:rsidRPr="00BC3188">
          <w:rPr>
            <w:rFonts w:ascii="Arial" w:eastAsia="Calibri" w:hAnsi="Arial" w:cs="Arial"/>
            <w:color w:val="0563C1"/>
            <w:u w:val="single"/>
          </w:rPr>
          <w:t xml:space="preserve">FPS Member </w:t>
        </w:r>
      </w:hyperlink>
      <w:r w:rsidRPr="00BC3188">
        <w:rPr>
          <w:rFonts w:ascii="Arial" w:eastAsia="Calibri" w:hAnsi="Arial" w:cs="Arial"/>
        </w:rPr>
        <w:t xml:space="preserve"> </w:t>
      </w:r>
    </w:p>
    <w:p w14:paraId="692EADC1"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62" w:history="1">
        <w:r w:rsidRPr="00BC3188">
          <w:rPr>
            <w:rFonts w:ascii="Arial" w:eastAsia="Calibri" w:hAnsi="Arial" w:cs="Arial"/>
            <w:color w:val="0563C1"/>
            <w:u w:val="single"/>
          </w:rPr>
          <w:t xml:space="preserve">Khub Firefighters Pensions Discussion Forum </w:t>
        </w:r>
      </w:hyperlink>
      <w:r w:rsidRPr="00BC3188">
        <w:rPr>
          <w:rFonts w:ascii="Arial" w:eastAsia="Calibri" w:hAnsi="Arial" w:cs="Arial"/>
        </w:rPr>
        <w:t xml:space="preserve"> </w:t>
      </w:r>
    </w:p>
    <w:p w14:paraId="3ECCBD4C"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63" w:history="1">
        <w:r w:rsidRPr="00BC3188">
          <w:rPr>
            <w:rFonts w:ascii="Arial" w:eastAsia="Calibri" w:hAnsi="Arial" w:cs="Arial"/>
            <w:color w:val="0563C1"/>
            <w:u w:val="single"/>
          </w:rPr>
          <w:t xml:space="preserve">FPS1992 guidance and commentary </w:t>
        </w:r>
      </w:hyperlink>
      <w:r w:rsidRPr="00BC3188">
        <w:rPr>
          <w:rFonts w:ascii="Arial" w:eastAsia="Calibri" w:hAnsi="Arial" w:cs="Arial"/>
        </w:rPr>
        <w:t xml:space="preserve"> </w:t>
      </w:r>
    </w:p>
    <w:p w14:paraId="4F86F3EF"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64" w:history="1">
        <w:r w:rsidRPr="00BC3188">
          <w:rPr>
            <w:rFonts w:ascii="Arial" w:eastAsia="Calibri" w:hAnsi="Arial" w:cs="Arial"/>
            <w:color w:val="0563C1"/>
            <w:u w:val="single"/>
          </w:rPr>
          <w:t xml:space="preserve">The Pensions Regulator Public Service Schemes </w:t>
        </w:r>
      </w:hyperlink>
      <w:r w:rsidRPr="00BC3188">
        <w:rPr>
          <w:rFonts w:ascii="Arial" w:eastAsia="Calibri" w:hAnsi="Arial" w:cs="Arial"/>
        </w:rPr>
        <w:t xml:space="preserve"> </w:t>
      </w:r>
    </w:p>
    <w:p w14:paraId="0749042D"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65" w:history="1">
        <w:r w:rsidRPr="00BC3188">
          <w:rPr>
            <w:rFonts w:ascii="Arial" w:eastAsia="Calibri" w:hAnsi="Arial" w:cs="Arial"/>
            <w:color w:val="0563C1"/>
            <w:u w:val="single"/>
          </w:rPr>
          <w:t xml:space="preserve">The Pensions Ombudsman </w:t>
        </w:r>
      </w:hyperlink>
      <w:r w:rsidRPr="00BC3188">
        <w:rPr>
          <w:rFonts w:ascii="Arial" w:eastAsia="Calibri" w:hAnsi="Arial" w:cs="Arial"/>
        </w:rPr>
        <w:t xml:space="preserve"> </w:t>
      </w:r>
    </w:p>
    <w:p w14:paraId="1731D87D"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66" w:history="1">
        <w:r w:rsidRPr="00BC3188">
          <w:rPr>
            <w:rFonts w:ascii="Arial" w:eastAsia="Calibri" w:hAnsi="Arial" w:cs="Arial"/>
            <w:color w:val="0563C1"/>
            <w:u w:val="single"/>
          </w:rPr>
          <w:t xml:space="preserve">HMRC Pensions Tax Manual </w:t>
        </w:r>
      </w:hyperlink>
      <w:r w:rsidRPr="00BC3188">
        <w:rPr>
          <w:rFonts w:ascii="Arial" w:eastAsia="Calibri" w:hAnsi="Arial" w:cs="Arial"/>
        </w:rPr>
        <w:t xml:space="preserve"> </w:t>
      </w:r>
    </w:p>
    <w:p w14:paraId="6E4AF857"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67" w:history="1">
        <w:r w:rsidRPr="00BC3188">
          <w:rPr>
            <w:rFonts w:ascii="Arial" w:eastAsia="Calibri" w:hAnsi="Arial" w:cs="Arial"/>
            <w:color w:val="0563C1"/>
            <w:u w:val="single"/>
          </w:rPr>
          <w:t xml:space="preserve">LGA pensions website </w:t>
        </w:r>
      </w:hyperlink>
      <w:r w:rsidRPr="00BC3188">
        <w:rPr>
          <w:rFonts w:ascii="Arial" w:eastAsia="Calibri" w:hAnsi="Arial" w:cs="Arial"/>
        </w:rPr>
        <w:t xml:space="preserve"> </w:t>
      </w:r>
    </w:p>
    <w:p w14:paraId="4D262601" w14:textId="77777777" w:rsidR="00BC3188" w:rsidRPr="00BC3188" w:rsidRDefault="00BC3188" w:rsidP="00BC3188">
      <w:pPr>
        <w:spacing w:line="256" w:lineRule="auto"/>
        <w:rPr>
          <w:rFonts w:ascii="Arial" w:eastAsia="Calibri" w:hAnsi="Arial" w:cs="Arial"/>
        </w:rPr>
      </w:pPr>
      <w:r w:rsidRPr="00BC3188">
        <w:rPr>
          <w:rFonts w:ascii="Arial" w:eastAsia="Calibri" w:hAnsi="Arial" w:cs="Arial"/>
        </w:rPr>
        <w:t xml:space="preserve">• </w:t>
      </w:r>
      <w:hyperlink r:id="rId68" w:history="1">
        <w:r w:rsidRPr="00BC3188">
          <w:rPr>
            <w:rFonts w:ascii="Arial" w:eastAsia="Calibri" w:hAnsi="Arial" w:cs="Arial"/>
            <w:color w:val="0563C1"/>
            <w:u w:val="single"/>
          </w:rPr>
          <w:t xml:space="preserve">LGPS Regulations and Guidance </w:t>
        </w:r>
      </w:hyperlink>
      <w:r w:rsidRPr="00BC3188">
        <w:rPr>
          <w:rFonts w:ascii="Arial" w:eastAsia="Calibri" w:hAnsi="Arial" w:cs="Arial"/>
        </w:rPr>
        <w:t xml:space="preserve"> </w:t>
      </w:r>
    </w:p>
    <w:p w14:paraId="4B8CCCB4" w14:textId="77777777" w:rsidR="00BC3188" w:rsidRPr="00BC3188" w:rsidRDefault="00BC3188" w:rsidP="00BC3188">
      <w:pPr>
        <w:spacing w:line="256" w:lineRule="auto"/>
        <w:rPr>
          <w:rFonts w:ascii="Arial" w:eastAsia="Calibri" w:hAnsi="Arial" w:cs="Arial"/>
          <w:b/>
          <w:color w:val="0070C0"/>
          <w:sz w:val="28"/>
          <w:szCs w:val="28"/>
        </w:rPr>
      </w:pPr>
      <w:r w:rsidRPr="00BC3188">
        <w:rPr>
          <w:rFonts w:ascii="Arial" w:eastAsia="Calibri" w:hAnsi="Arial" w:cs="Arial"/>
        </w:rPr>
        <w:t xml:space="preserve">• </w:t>
      </w:r>
      <w:hyperlink r:id="rId69" w:history="1">
        <w:r w:rsidRPr="00BC3188">
          <w:rPr>
            <w:rFonts w:ascii="Arial" w:eastAsia="Calibri" w:hAnsi="Arial" w:cs="Arial"/>
            <w:color w:val="0563C1"/>
            <w:u w:val="single"/>
          </w:rPr>
          <w:t xml:space="preserve">LGPC Bulletins </w:t>
        </w:r>
      </w:hyperlink>
      <w:r w:rsidRPr="00BC3188">
        <w:rPr>
          <w:rFonts w:ascii="Arial" w:eastAsia="Calibri" w:hAnsi="Arial" w:cs="Arial"/>
          <w:b/>
          <w:color w:val="2E74B5"/>
        </w:rPr>
        <w:t xml:space="preserve">   </w:t>
      </w:r>
    </w:p>
    <w:p w14:paraId="7395F525" w14:textId="77777777" w:rsidR="00BC3188" w:rsidRPr="00BC3188" w:rsidRDefault="00BC3188" w:rsidP="00BC3188">
      <w:pPr>
        <w:rPr>
          <w:rFonts w:ascii="Arial" w:eastAsia="Calibri" w:hAnsi="Arial" w:cs="Arial"/>
        </w:rPr>
      </w:pPr>
      <w:r w:rsidRPr="00BC3188">
        <w:rPr>
          <w:rFonts w:ascii="Arial" w:eastAsia="Calibri" w:hAnsi="Arial" w:cs="Arial"/>
        </w:rPr>
        <w:t xml:space="preserve">Pensions Dashboards </w:t>
      </w:r>
    </w:p>
    <w:p w14:paraId="5AEA91E3" w14:textId="77777777" w:rsidR="00BC3188" w:rsidRPr="00BC3188" w:rsidRDefault="00BC3188" w:rsidP="00BC3188">
      <w:pPr>
        <w:rPr>
          <w:rFonts w:ascii="Arial" w:eastAsia="Calibri" w:hAnsi="Arial" w:cs="Arial"/>
        </w:rPr>
      </w:pPr>
      <w:hyperlink r:id="rId70" w:history="1">
        <w:r w:rsidRPr="00BC3188">
          <w:rPr>
            <w:rFonts w:ascii="Arial" w:eastAsia="Calibri" w:hAnsi="Arial" w:cs="Arial"/>
            <w:color w:val="D93B44"/>
            <w:u w:val="single"/>
          </w:rPr>
          <w:t xml:space="preserve">TPR guidance and checklist </w:t>
        </w:r>
      </w:hyperlink>
      <w:r w:rsidRPr="00BC3188">
        <w:rPr>
          <w:rFonts w:ascii="Arial" w:eastAsia="Calibri" w:hAnsi="Arial" w:cs="Arial"/>
        </w:rPr>
        <w:t xml:space="preserve"> </w:t>
      </w:r>
    </w:p>
    <w:p w14:paraId="73EB9EA2" w14:textId="77777777" w:rsidR="00BC3188" w:rsidRPr="00BC3188" w:rsidRDefault="00BC3188" w:rsidP="00BC3188">
      <w:pPr>
        <w:rPr>
          <w:rFonts w:ascii="Arial" w:eastAsia="Calibri" w:hAnsi="Arial" w:cs="Arial"/>
        </w:rPr>
      </w:pPr>
      <w:hyperlink r:id="rId71" w:history="1">
        <w:r w:rsidRPr="00BC3188">
          <w:rPr>
            <w:rFonts w:ascii="Arial" w:eastAsia="Calibri" w:hAnsi="Arial" w:cs="Arial"/>
            <w:color w:val="D93B44"/>
            <w:u w:val="single"/>
          </w:rPr>
          <w:t xml:space="preserve">DWP guidance on connection </w:t>
        </w:r>
      </w:hyperlink>
      <w:r w:rsidRPr="00BC3188">
        <w:rPr>
          <w:rFonts w:ascii="Arial" w:eastAsia="Calibri" w:hAnsi="Arial" w:cs="Arial"/>
        </w:rPr>
        <w:t xml:space="preserve"> </w:t>
      </w:r>
    </w:p>
    <w:p w14:paraId="31319FA5" w14:textId="77777777" w:rsidR="00BC3188" w:rsidRPr="00BC3188" w:rsidRDefault="00BC3188" w:rsidP="00BC3188">
      <w:pPr>
        <w:rPr>
          <w:rFonts w:ascii="Arial" w:eastAsia="Calibri" w:hAnsi="Arial" w:cs="Arial"/>
          <w:b/>
          <w:color w:val="0070C0"/>
          <w:sz w:val="28"/>
          <w:szCs w:val="28"/>
        </w:rPr>
      </w:pPr>
      <w:hyperlink r:id="rId72" w:history="1">
        <w:r w:rsidRPr="00BC3188">
          <w:rPr>
            <w:rFonts w:ascii="Arial" w:eastAsia="Calibri" w:hAnsi="Arial" w:cs="Arial"/>
            <w:color w:val="D93B44"/>
            <w:u w:val="single"/>
          </w:rPr>
          <w:t>PASA connection readiness guidance</w:t>
        </w:r>
      </w:hyperlink>
      <w:r w:rsidRPr="00BC3188">
        <w:rPr>
          <w:rFonts w:ascii="Arial" w:eastAsia="Calibri" w:hAnsi="Arial" w:cs="Arial"/>
        </w:rPr>
        <w:t xml:space="preserve"> </w:t>
      </w:r>
    </w:p>
    <w:p w14:paraId="57C63AE8" w14:textId="77777777" w:rsidR="00BC3188" w:rsidRPr="00BC3188" w:rsidRDefault="00BC3188" w:rsidP="00BC3188">
      <w:pPr>
        <w:tabs>
          <w:tab w:val="right" w:leader="dot" w:pos="6804"/>
        </w:tabs>
        <w:spacing w:after="240"/>
        <w:ind w:left="851" w:hanging="851"/>
        <w:rPr>
          <w:rFonts w:ascii="Arial" w:eastAsia="Calibri" w:hAnsi="Arial" w:cs="Arial"/>
          <w:color w:val="4A66AC"/>
          <w:sz w:val="56"/>
          <w:szCs w:val="56"/>
        </w:rPr>
      </w:pPr>
    </w:p>
    <w:p w14:paraId="3E3C64C4" w14:textId="1770FD17" w:rsidR="00543B77" w:rsidRPr="00543B77" w:rsidRDefault="00543B77" w:rsidP="00BC3188">
      <w:pPr>
        <w:tabs>
          <w:tab w:val="right" w:leader="dot" w:pos="6804"/>
        </w:tabs>
        <w:spacing w:after="240"/>
        <w:ind w:left="851" w:hanging="851"/>
        <w:rPr>
          <w:rFonts w:ascii="Arial" w:hAnsi="Arial" w:cs="Arial"/>
          <w:color w:val="5B9BD5" w:themeColor="accent1"/>
          <w:sz w:val="56"/>
          <w:szCs w:val="56"/>
        </w:rPr>
      </w:pPr>
    </w:p>
    <w:sectPr w:rsidR="00543B77" w:rsidRPr="00543B77" w:rsidSect="005F6F1D">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74F6E" w14:textId="77777777" w:rsidR="00364249" w:rsidRDefault="00364249" w:rsidP="00890EA6">
      <w:pPr>
        <w:spacing w:after="0" w:line="240" w:lineRule="auto"/>
      </w:pPr>
      <w:r>
        <w:separator/>
      </w:r>
    </w:p>
  </w:endnote>
  <w:endnote w:type="continuationSeparator" w:id="0">
    <w:p w14:paraId="3033BAAE" w14:textId="77777777" w:rsidR="00364249" w:rsidRDefault="00364249"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8531166"/>
      <w:docPartObj>
        <w:docPartGallery w:val="Page Numbers (Bottom of Page)"/>
        <w:docPartUnique/>
      </w:docPartObj>
    </w:sdtPr>
    <w:sdtEndPr>
      <w:rPr>
        <w:noProof/>
      </w:rPr>
    </w:sdtEndPr>
    <w:sdtContent>
      <w:p w14:paraId="0EC2E23A" w14:textId="357928CD" w:rsidR="00364249" w:rsidRDefault="00364249">
        <w:pPr>
          <w:pStyle w:val="Footer"/>
          <w:jc w:val="center"/>
        </w:pPr>
        <w:r>
          <w:fldChar w:fldCharType="begin"/>
        </w:r>
        <w:r>
          <w:instrText xml:space="preserve"> PAGE   \* MERGEFORMAT </w:instrText>
        </w:r>
        <w:r>
          <w:fldChar w:fldCharType="separate"/>
        </w:r>
        <w:r w:rsidR="0084051A">
          <w:rPr>
            <w:noProof/>
          </w:rPr>
          <w:t>16</w:t>
        </w:r>
        <w:r>
          <w:rPr>
            <w:noProof/>
          </w:rPr>
          <w:fldChar w:fldCharType="end"/>
        </w:r>
      </w:p>
    </w:sdtContent>
  </w:sdt>
  <w:p w14:paraId="656D72B5" w14:textId="77777777" w:rsidR="00364249" w:rsidRDefault="003642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8EA12" w14:textId="77777777" w:rsidR="00364249" w:rsidRDefault="00364249">
    <w:pPr>
      <w:pStyle w:val="Footer"/>
      <w:jc w:val="right"/>
    </w:pPr>
  </w:p>
  <w:p w14:paraId="3078944C" w14:textId="77777777" w:rsidR="00364249" w:rsidRDefault="0036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F664E" w14:textId="77777777" w:rsidR="00364249" w:rsidRDefault="00364249" w:rsidP="00890EA6">
      <w:pPr>
        <w:spacing w:after="0" w:line="240" w:lineRule="auto"/>
      </w:pPr>
      <w:r>
        <w:separator/>
      </w:r>
    </w:p>
  </w:footnote>
  <w:footnote w:type="continuationSeparator" w:id="0">
    <w:p w14:paraId="000A792B" w14:textId="77777777" w:rsidR="00364249" w:rsidRDefault="00364249"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872B3"/>
    <w:multiLevelType w:val="hybridMultilevel"/>
    <w:tmpl w:val="F606F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7A3078"/>
    <w:multiLevelType w:val="multilevel"/>
    <w:tmpl w:val="5628C7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F12BB"/>
    <w:multiLevelType w:val="hybridMultilevel"/>
    <w:tmpl w:val="83F26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D2C11D4"/>
    <w:multiLevelType w:val="multilevel"/>
    <w:tmpl w:val="D082B21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726784"/>
    <w:multiLevelType w:val="hybridMultilevel"/>
    <w:tmpl w:val="260C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1733F"/>
    <w:multiLevelType w:val="hybridMultilevel"/>
    <w:tmpl w:val="2670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5C7814"/>
    <w:multiLevelType w:val="multilevel"/>
    <w:tmpl w:val="C4A44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3491379"/>
    <w:multiLevelType w:val="hybridMultilevel"/>
    <w:tmpl w:val="6EF6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C0C83"/>
    <w:multiLevelType w:val="hybridMultilevel"/>
    <w:tmpl w:val="6C28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05A53"/>
    <w:multiLevelType w:val="hybridMultilevel"/>
    <w:tmpl w:val="DF8ED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26FB6"/>
    <w:multiLevelType w:val="hybridMultilevel"/>
    <w:tmpl w:val="624C8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3CB5250"/>
    <w:multiLevelType w:val="hybridMultilevel"/>
    <w:tmpl w:val="0CAA1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3C22F5"/>
    <w:multiLevelType w:val="hybridMultilevel"/>
    <w:tmpl w:val="A894C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7837662"/>
    <w:multiLevelType w:val="hybridMultilevel"/>
    <w:tmpl w:val="B9D4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74FF3"/>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B28638B"/>
    <w:multiLevelType w:val="hybridMultilevel"/>
    <w:tmpl w:val="26EA62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2FCF581F"/>
    <w:multiLevelType w:val="hybridMultilevel"/>
    <w:tmpl w:val="C666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E34E12"/>
    <w:multiLevelType w:val="hybridMultilevel"/>
    <w:tmpl w:val="8E12CC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351ACA"/>
    <w:multiLevelType w:val="hybridMultilevel"/>
    <w:tmpl w:val="6B46FCF2"/>
    <w:lvl w:ilvl="0" w:tplc="CBDEAEE8">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D2789F"/>
    <w:multiLevelType w:val="hybridMultilevel"/>
    <w:tmpl w:val="3E603FC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3BE44EC8"/>
    <w:multiLevelType w:val="hybridMultilevel"/>
    <w:tmpl w:val="83DE7C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CE6003"/>
    <w:multiLevelType w:val="hybridMultilevel"/>
    <w:tmpl w:val="516C17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05E27D0"/>
    <w:multiLevelType w:val="hybridMultilevel"/>
    <w:tmpl w:val="17F46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714EF2"/>
    <w:multiLevelType w:val="hybridMultilevel"/>
    <w:tmpl w:val="B5D8B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4A4BCF"/>
    <w:multiLevelType w:val="hybridMultilevel"/>
    <w:tmpl w:val="216EE9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46DD601C"/>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D0156B3"/>
    <w:multiLevelType w:val="hybridMultilevel"/>
    <w:tmpl w:val="9BC8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155BB2"/>
    <w:multiLevelType w:val="multilevel"/>
    <w:tmpl w:val="2562A8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2A1B43"/>
    <w:multiLevelType w:val="hybridMultilevel"/>
    <w:tmpl w:val="447A6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0535216"/>
    <w:multiLevelType w:val="hybridMultilevel"/>
    <w:tmpl w:val="AF2A8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10E4677"/>
    <w:multiLevelType w:val="multilevel"/>
    <w:tmpl w:val="2A2419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C5E4C6B"/>
    <w:multiLevelType w:val="hybridMultilevel"/>
    <w:tmpl w:val="C39A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470D81"/>
    <w:multiLevelType w:val="hybridMultilevel"/>
    <w:tmpl w:val="6714F6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2E40107"/>
    <w:multiLevelType w:val="hybridMultilevel"/>
    <w:tmpl w:val="4FCA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376CCF"/>
    <w:multiLevelType w:val="hybridMultilevel"/>
    <w:tmpl w:val="728AB1D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47B06B6"/>
    <w:multiLevelType w:val="hybridMultilevel"/>
    <w:tmpl w:val="186C6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5360B09"/>
    <w:multiLevelType w:val="hybridMultilevel"/>
    <w:tmpl w:val="0EA40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7D773D5"/>
    <w:multiLevelType w:val="hybridMultilevel"/>
    <w:tmpl w:val="169482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8CD586E"/>
    <w:multiLevelType w:val="multilevel"/>
    <w:tmpl w:val="9C34F4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CD5414"/>
    <w:multiLevelType w:val="hybridMultilevel"/>
    <w:tmpl w:val="7F7E8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5A809E2"/>
    <w:multiLevelType w:val="hybridMultilevel"/>
    <w:tmpl w:val="B6FC8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A53422"/>
    <w:multiLevelType w:val="hybridMultilevel"/>
    <w:tmpl w:val="6BF4D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8BD4ECF"/>
    <w:multiLevelType w:val="hybridMultilevel"/>
    <w:tmpl w:val="2F064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95D462E"/>
    <w:multiLevelType w:val="hybridMultilevel"/>
    <w:tmpl w:val="079E8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DD065F3"/>
    <w:multiLevelType w:val="hybridMultilevel"/>
    <w:tmpl w:val="D848C2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5" w15:restartNumberingAfterBreak="0">
    <w:nsid w:val="7DFD3002"/>
    <w:multiLevelType w:val="hybridMultilevel"/>
    <w:tmpl w:val="0B16A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02581558">
    <w:abstractNumId w:val="43"/>
  </w:num>
  <w:num w:numId="2" w16cid:durableId="2067949327">
    <w:abstractNumId w:val="7"/>
  </w:num>
  <w:num w:numId="3" w16cid:durableId="1804617404">
    <w:abstractNumId w:val="20"/>
  </w:num>
  <w:num w:numId="4" w16cid:durableId="1594241013">
    <w:abstractNumId w:val="4"/>
  </w:num>
  <w:num w:numId="5" w16cid:durableId="1267880532">
    <w:abstractNumId w:val="33"/>
  </w:num>
  <w:num w:numId="6" w16cid:durableId="113985834">
    <w:abstractNumId w:val="16"/>
  </w:num>
  <w:num w:numId="7" w16cid:durableId="1300916095">
    <w:abstractNumId w:val="44"/>
  </w:num>
  <w:num w:numId="8" w16cid:durableId="1346202250">
    <w:abstractNumId w:val="13"/>
  </w:num>
  <w:num w:numId="9" w16cid:durableId="1499343793">
    <w:abstractNumId w:val="9"/>
  </w:num>
  <w:num w:numId="10" w16cid:durableId="447505305">
    <w:abstractNumId w:val="0"/>
  </w:num>
  <w:num w:numId="11" w16cid:durableId="1455293870">
    <w:abstractNumId w:val="21"/>
  </w:num>
  <w:num w:numId="12" w16cid:durableId="182018798">
    <w:abstractNumId w:val="24"/>
  </w:num>
  <w:num w:numId="13" w16cid:durableId="189494662">
    <w:abstractNumId w:val="35"/>
  </w:num>
  <w:num w:numId="14" w16cid:durableId="2128624978">
    <w:abstractNumId w:val="0"/>
  </w:num>
  <w:num w:numId="15" w16cid:durableId="365717522">
    <w:abstractNumId w:val="21"/>
  </w:num>
  <w:num w:numId="16" w16cid:durableId="2028213506">
    <w:abstractNumId w:val="18"/>
  </w:num>
  <w:num w:numId="17" w16cid:durableId="2008288809">
    <w:abstractNumId w:val="17"/>
  </w:num>
  <w:num w:numId="18" w16cid:durableId="114106051">
    <w:abstractNumId w:val="25"/>
  </w:num>
  <w:num w:numId="19" w16cid:durableId="818545103">
    <w:abstractNumId w:val="14"/>
  </w:num>
  <w:num w:numId="20" w16cid:durableId="1467745287">
    <w:abstractNumId w:val="36"/>
  </w:num>
  <w:num w:numId="21" w16cid:durableId="1009478534">
    <w:abstractNumId w:val="37"/>
  </w:num>
  <w:num w:numId="22" w16cid:durableId="1226185160">
    <w:abstractNumId w:val="29"/>
  </w:num>
  <w:num w:numId="23" w16cid:durableId="746457546">
    <w:abstractNumId w:val="1"/>
  </w:num>
  <w:num w:numId="24" w16cid:durableId="933123131">
    <w:abstractNumId w:val="32"/>
  </w:num>
  <w:num w:numId="25" w16cid:durableId="1817867764">
    <w:abstractNumId w:val="19"/>
  </w:num>
  <w:num w:numId="26" w16cid:durableId="1149903335">
    <w:abstractNumId w:val="2"/>
  </w:num>
  <w:num w:numId="27" w16cid:durableId="564295870">
    <w:abstractNumId w:val="31"/>
  </w:num>
  <w:num w:numId="28" w16cid:durableId="1775204758">
    <w:abstractNumId w:val="26"/>
  </w:num>
  <w:num w:numId="29" w16cid:durableId="1517577736">
    <w:abstractNumId w:val="26"/>
  </w:num>
  <w:num w:numId="30" w16cid:durableId="1636637180">
    <w:abstractNumId w:val="31"/>
  </w:num>
  <w:num w:numId="31" w16cid:durableId="1857647288">
    <w:abstractNumId w:val="35"/>
  </w:num>
  <w:num w:numId="32" w16cid:durableId="741634089">
    <w:abstractNumId w:val="8"/>
  </w:num>
  <w:num w:numId="33" w16cid:durableId="171727591">
    <w:abstractNumId w:val="10"/>
  </w:num>
  <w:num w:numId="34" w16cid:durableId="103035899">
    <w:abstractNumId w:val="34"/>
  </w:num>
  <w:num w:numId="35" w16cid:durableId="156118908">
    <w:abstractNumId w:val="40"/>
  </w:num>
  <w:num w:numId="36" w16cid:durableId="294410193">
    <w:abstractNumId w:val="22"/>
  </w:num>
  <w:num w:numId="37" w16cid:durableId="1236669449">
    <w:abstractNumId w:val="38"/>
  </w:num>
  <w:num w:numId="38" w16cid:durableId="130366933">
    <w:abstractNumId w:val="11"/>
  </w:num>
  <w:num w:numId="39" w16cid:durableId="1500001893">
    <w:abstractNumId w:val="5"/>
  </w:num>
  <w:num w:numId="40" w16cid:durableId="53628069">
    <w:abstractNumId w:val="45"/>
  </w:num>
  <w:num w:numId="41" w16cid:durableId="1635479413">
    <w:abstractNumId w:val="15"/>
  </w:num>
  <w:num w:numId="42" w16cid:durableId="840243701">
    <w:abstractNumId w:val="23"/>
  </w:num>
  <w:num w:numId="43" w16cid:durableId="589852381">
    <w:abstractNumId w:val="12"/>
  </w:num>
  <w:num w:numId="44" w16cid:durableId="523908266">
    <w:abstractNumId w:val="28"/>
  </w:num>
  <w:num w:numId="45" w16cid:durableId="2090928550">
    <w:abstractNumId w:val="42"/>
  </w:num>
  <w:num w:numId="46" w16cid:durableId="1642222766">
    <w:abstractNumId w:val="41"/>
  </w:num>
  <w:num w:numId="47" w16cid:durableId="282151472">
    <w:abstractNumId w:val="27"/>
  </w:num>
  <w:num w:numId="48" w16cid:durableId="5407481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83722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624491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44037233">
    <w:abstractNumId w:val="3"/>
  </w:num>
  <w:num w:numId="52" w16cid:durableId="1838567885">
    <w:abstractNumId w:val="39"/>
  </w:num>
  <w:num w:numId="53" w16cid:durableId="1009478348">
    <w:abstractNumId w:val="30"/>
  </w:num>
  <w:num w:numId="54" w16cid:durableId="198065224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B8"/>
    <w:rsid w:val="00000530"/>
    <w:rsid w:val="00000E71"/>
    <w:rsid w:val="00001158"/>
    <w:rsid w:val="00001CE9"/>
    <w:rsid w:val="00003E12"/>
    <w:rsid w:val="00012146"/>
    <w:rsid w:val="0001339C"/>
    <w:rsid w:val="00014873"/>
    <w:rsid w:val="00017C89"/>
    <w:rsid w:val="000210F0"/>
    <w:rsid w:val="00030E6C"/>
    <w:rsid w:val="000402FA"/>
    <w:rsid w:val="0004661F"/>
    <w:rsid w:val="0005058B"/>
    <w:rsid w:val="00051443"/>
    <w:rsid w:val="0005537D"/>
    <w:rsid w:val="000565BB"/>
    <w:rsid w:val="00061748"/>
    <w:rsid w:val="00072CE6"/>
    <w:rsid w:val="000734FC"/>
    <w:rsid w:val="0007577D"/>
    <w:rsid w:val="000761B3"/>
    <w:rsid w:val="000762D4"/>
    <w:rsid w:val="000775B4"/>
    <w:rsid w:val="000808F0"/>
    <w:rsid w:val="00081062"/>
    <w:rsid w:val="000812EC"/>
    <w:rsid w:val="000813C3"/>
    <w:rsid w:val="000824E6"/>
    <w:rsid w:val="000A1AF2"/>
    <w:rsid w:val="000A527E"/>
    <w:rsid w:val="000B1909"/>
    <w:rsid w:val="000B4BA5"/>
    <w:rsid w:val="000B4D18"/>
    <w:rsid w:val="000B5D32"/>
    <w:rsid w:val="000B74DE"/>
    <w:rsid w:val="000C63CE"/>
    <w:rsid w:val="000D1F9E"/>
    <w:rsid w:val="000D231E"/>
    <w:rsid w:val="0010174A"/>
    <w:rsid w:val="0010389D"/>
    <w:rsid w:val="00122CCB"/>
    <w:rsid w:val="00123C21"/>
    <w:rsid w:val="00130270"/>
    <w:rsid w:val="001315FB"/>
    <w:rsid w:val="00132DD6"/>
    <w:rsid w:val="00136EB0"/>
    <w:rsid w:val="001377FB"/>
    <w:rsid w:val="00137E3C"/>
    <w:rsid w:val="00140372"/>
    <w:rsid w:val="001406BC"/>
    <w:rsid w:val="00140DA9"/>
    <w:rsid w:val="001427FD"/>
    <w:rsid w:val="001433F3"/>
    <w:rsid w:val="001435ED"/>
    <w:rsid w:val="00143E2D"/>
    <w:rsid w:val="00147F29"/>
    <w:rsid w:val="001525E8"/>
    <w:rsid w:val="00165A04"/>
    <w:rsid w:val="00166E20"/>
    <w:rsid w:val="00180B57"/>
    <w:rsid w:val="001901AA"/>
    <w:rsid w:val="00192F88"/>
    <w:rsid w:val="00193CBF"/>
    <w:rsid w:val="00197020"/>
    <w:rsid w:val="00197288"/>
    <w:rsid w:val="0019728F"/>
    <w:rsid w:val="00197734"/>
    <w:rsid w:val="0019773D"/>
    <w:rsid w:val="001A3C0B"/>
    <w:rsid w:val="001A5D52"/>
    <w:rsid w:val="001B0059"/>
    <w:rsid w:val="001B10D1"/>
    <w:rsid w:val="001B25B8"/>
    <w:rsid w:val="001B41C4"/>
    <w:rsid w:val="001B5955"/>
    <w:rsid w:val="001B6298"/>
    <w:rsid w:val="001C1751"/>
    <w:rsid w:val="001C3D0C"/>
    <w:rsid w:val="001C71B3"/>
    <w:rsid w:val="001E124F"/>
    <w:rsid w:val="001E1784"/>
    <w:rsid w:val="001E1D1B"/>
    <w:rsid w:val="001E2BFD"/>
    <w:rsid w:val="001E4D57"/>
    <w:rsid w:val="001E7350"/>
    <w:rsid w:val="001E7AE3"/>
    <w:rsid w:val="001F5EFC"/>
    <w:rsid w:val="001F6DD1"/>
    <w:rsid w:val="001F7B7A"/>
    <w:rsid w:val="002026FE"/>
    <w:rsid w:val="0020752C"/>
    <w:rsid w:val="00211908"/>
    <w:rsid w:val="00212F1A"/>
    <w:rsid w:val="002157FB"/>
    <w:rsid w:val="00215885"/>
    <w:rsid w:val="00217D06"/>
    <w:rsid w:val="00222724"/>
    <w:rsid w:val="00222FEA"/>
    <w:rsid w:val="002231D6"/>
    <w:rsid w:val="00225BF8"/>
    <w:rsid w:val="00230705"/>
    <w:rsid w:val="002406F3"/>
    <w:rsid w:val="00246A5F"/>
    <w:rsid w:val="00257DE8"/>
    <w:rsid w:val="00260122"/>
    <w:rsid w:val="002619D5"/>
    <w:rsid w:val="002710A8"/>
    <w:rsid w:val="002718EF"/>
    <w:rsid w:val="0027365C"/>
    <w:rsid w:val="00295FBF"/>
    <w:rsid w:val="002A0F86"/>
    <w:rsid w:val="002A19C5"/>
    <w:rsid w:val="002A224D"/>
    <w:rsid w:val="002A30C6"/>
    <w:rsid w:val="002A440A"/>
    <w:rsid w:val="002A6043"/>
    <w:rsid w:val="002B3726"/>
    <w:rsid w:val="002B5F36"/>
    <w:rsid w:val="002B6E43"/>
    <w:rsid w:val="002C24D4"/>
    <w:rsid w:val="002C7E40"/>
    <w:rsid w:val="002D045B"/>
    <w:rsid w:val="002D2E18"/>
    <w:rsid w:val="002D3292"/>
    <w:rsid w:val="002E2A91"/>
    <w:rsid w:val="002E6DE6"/>
    <w:rsid w:val="002F3307"/>
    <w:rsid w:val="002F6363"/>
    <w:rsid w:val="002F6CC2"/>
    <w:rsid w:val="0030056B"/>
    <w:rsid w:val="0030158C"/>
    <w:rsid w:val="003017A0"/>
    <w:rsid w:val="003056BD"/>
    <w:rsid w:val="003063F4"/>
    <w:rsid w:val="003140A7"/>
    <w:rsid w:val="00316062"/>
    <w:rsid w:val="00325AC8"/>
    <w:rsid w:val="0033370C"/>
    <w:rsid w:val="003365A2"/>
    <w:rsid w:val="003419F0"/>
    <w:rsid w:val="00344102"/>
    <w:rsid w:val="003447A7"/>
    <w:rsid w:val="00345F75"/>
    <w:rsid w:val="0034769C"/>
    <w:rsid w:val="00351A02"/>
    <w:rsid w:val="00352E28"/>
    <w:rsid w:val="00353B57"/>
    <w:rsid w:val="00354086"/>
    <w:rsid w:val="0036181A"/>
    <w:rsid w:val="003628B2"/>
    <w:rsid w:val="00364249"/>
    <w:rsid w:val="0036790F"/>
    <w:rsid w:val="00375725"/>
    <w:rsid w:val="003758E5"/>
    <w:rsid w:val="00386471"/>
    <w:rsid w:val="00391065"/>
    <w:rsid w:val="00391D4C"/>
    <w:rsid w:val="00395928"/>
    <w:rsid w:val="0039682B"/>
    <w:rsid w:val="00396E86"/>
    <w:rsid w:val="00397E74"/>
    <w:rsid w:val="003A24AF"/>
    <w:rsid w:val="003A25C6"/>
    <w:rsid w:val="003B4C67"/>
    <w:rsid w:val="003C1BB1"/>
    <w:rsid w:val="003C4850"/>
    <w:rsid w:val="003C5963"/>
    <w:rsid w:val="003D037E"/>
    <w:rsid w:val="003D711E"/>
    <w:rsid w:val="003E0D3F"/>
    <w:rsid w:val="003E1921"/>
    <w:rsid w:val="003E3BC8"/>
    <w:rsid w:val="003F1284"/>
    <w:rsid w:val="003F6FF0"/>
    <w:rsid w:val="00400591"/>
    <w:rsid w:val="00400B52"/>
    <w:rsid w:val="004107EC"/>
    <w:rsid w:val="00411CE0"/>
    <w:rsid w:val="00416835"/>
    <w:rsid w:val="0042152B"/>
    <w:rsid w:val="004272FF"/>
    <w:rsid w:val="004329EB"/>
    <w:rsid w:val="00433185"/>
    <w:rsid w:val="004351BB"/>
    <w:rsid w:val="00436E1C"/>
    <w:rsid w:val="0044610B"/>
    <w:rsid w:val="00454748"/>
    <w:rsid w:val="0046118A"/>
    <w:rsid w:val="0047004A"/>
    <w:rsid w:val="004714E2"/>
    <w:rsid w:val="00474996"/>
    <w:rsid w:val="004751E7"/>
    <w:rsid w:val="00487730"/>
    <w:rsid w:val="00492AE5"/>
    <w:rsid w:val="00493DF4"/>
    <w:rsid w:val="004A4C54"/>
    <w:rsid w:val="004A572E"/>
    <w:rsid w:val="004A7F74"/>
    <w:rsid w:val="004B0E75"/>
    <w:rsid w:val="004B35CE"/>
    <w:rsid w:val="004B5B4B"/>
    <w:rsid w:val="004B796E"/>
    <w:rsid w:val="004C2259"/>
    <w:rsid w:val="004C30D2"/>
    <w:rsid w:val="004C39D0"/>
    <w:rsid w:val="004C3FB2"/>
    <w:rsid w:val="004D0040"/>
    <w:rsid w:val="004D4F70"/>
    <w:rsid w:val="004E6109"/>
    <w:rsid w:val="004F0487"/>
    <w:rsid w:val="00501956"/>
    <w:rsid w:val="00510EA4"/>
    <w:rsid w:val="0051410E"/>
    <w:rsid w:val="00515967"/>
    <w:rsid w:val="005175D9"/>
    <w:rsid w:val="005209FE"/>
    <w:rsid w:val="005219BB"/>
    <w:rsid w:val="00524680"/>
    <w:rsid w:val="00526F88"/>
    <w:rsid w:val="00531FE7"/>
    <w:rsid w:val="00532F91"/>
    <w:rsid w:val="0053712A"/>
    <w:rsid w:val="005426BC"/>
    <w:rsid w:val="00543354"/>
    <w:rsid w:val="00543B77"/>
    <w:rsid w:val="00544D1A"/>
    <w:rsid w:val="00550676"/>
    <w:rsid w:val="00553B17"/>
    <w:rsid w:val="0055720F"/>
    <w:rsid w:val="00557873"/>
    <w:rsid w:val="005739FB"/>
    <w:rsid w:val="00574627"/>
    <w:rsid w:val="005812D7"/>
    <w:rsid w:val="00581694"/>
    <w:rsid w:val="005817C0"/>
    <w:rsid w:val="00582FF8"/>
    <w:rsid w:val="0058431E"/>
    <w:rsid w:val="005926D1"/>
    <w:rsid w:val="00593AA6"/>
    <w:rsid w:val="005958BA"/>
    <w:rsid w:val="005A7B6B"/>
    <w:rsid w:val="005B31BF"/>
    <w:rsid w:val="005C3805"/>
    <w:rsid w:val="005C50BE"/>
    <w:rsid w:val="005C5A97"/>
    <w:rsid w:val="005D1EE6"/>
    <w:rsid w:val="005E2BE3"/>
    <w:rsid w:val="005E3922"/>
    <w:rsid w:val="005F5EF4"/>
    <w:rsid w:val="005F6F1D"/>
    <w:rsid w:val="005F78C8"/>
    <w:rsid w:val="00602B35"/>
    <w:rsid w:val="00607E41"/>
    <w:rsid w:val="006107C6"/>
    <w:rsid w:val="00614E34"/>
    <w:rsid w:val="006154BE"/>
    <w:rsid w:val="00616021"/>
    <w:rsid w:val="006231D8"/>
    <w:rsid w:val="006269C9"/>
    <w:rsid w:val="0063298A"/>
    <w:rsid w:val="00633973"/>
    <w:rsid w:val="00635C2B"/>
    <w:rsid w:val="00640041"/>
    <w:rsid w:val="00643558"/>
    <w:rsid w:val="00651111"/>
    <w:rsid w:val="00654938"/>
    <w:rsid w:val="00654E72"/>
    <w:rsid w:val="00657622"/>
    <w:rsid w:val="006666D6"/>
    <w:rsid w:val="00667EEA"/>
    <w:rsid w:val="006811BB"/>
    <w:rsid w:val="0068168D"/>
    <w:rsid w:val="0068334B"/>
    <w:rsid w:val="00683AB2"/>
    <w:rsid w:val="00683F2C"/>
    <w:rsid w:val="006905DF"/>
    <w:rsid w:val="006926AD"/>
    <w:rsid w:val="00692875"/>
    <w:rsid w:val="0069288C"/>
    <w:rsid w:val="006A188D"/>
    <w:rsid w:val="006A3317"/>
    <w:rsid w:val="006A4B43"/>
    <w:rsid w:val="006A52FA"/>
    <w:rsid w:val="006C1C39"/>
    <w:rsid w:val="006C4675"/>
    <w:rsid w:val="006C6777"/>
    <w:rsid w:val="006C6D8E"/>
    <w:rsid w:val="006D022C"/>
    <w:rsid w:val="006D44F4"/>
    <w:rsid w:val="006D791D"/>
    <w:rsid w:val="006E32A1"/>
    <w:rsid w:val="006E43DC"/>
    <w:rsid w:val="006E4C2C"/>
    <w:rsid w:val="006F27AB"/>
    <w:rsid w:val="006F45D4"/>
    <w:rsid w:val="007011BC"/>
    <w:rsid w:val="0070230F"/>
    <w:rsid w:val="00707330"/>
    <w:rsid w:val="00710535"/>
    <w:rsid w:val="00712617"/>
    <w:rsid w:val="00720D97"/>
    <w:rsid w:val="0072227E"/>
    <w:rsid w:val="007265BE"/>
    <w:rsid w:val="00731643"/>
    <w:rsid w:val="00732F89"/>
    <w:rsid w:val="00734805"/>
    <w:rsid w:val="007353FC"/>
    <w:rsid w:val="00742AAC"/>
    <w:rsid w:val="00746F4F"/>
    <w:rsid w:val="007518CA"/>
    <w:rsid w:val="007520A0"/>
    <w:rsid w:val="00753E44"/>
    <w:rsid w:val="00753F97"/>
    <w:rsid w:val="00755317"/>
    <w:rsid w:val="00756794"/>
    <w:rsid w:val="00776267"/>
    <w:rsid w:val="00777637"/>
    <w:rsid w:val="007840CA"/>
    <w:rsid w:val="0078783C"/>
    <w:rsid w:val="00791DD9"/>
    <w:rsid w:val="0079297D"/>
    <w:rsid w:val="00794294"/>
    <w:rsid w:val="00795495"/>
    <w:rsid w:val="007A130C"/>
    <w:rsid w:val="007A2F8A"/>
    <w:rsid w:val="007A3241"/>
    <w:rsid w:val="007A5CF0"/>
    <w:rsid w:val="007B0643"/>
    <w:rsid w:val="007B136D"/>
    <w:rsid w:val="007B275E"/>
    <w:rsid w:val="007B4FFD"/>
    <w:rsid w:val="007B5EBC"/>
    <w:rsid w:val="007C09E3"/>
    <w:rsid w:val="007C2560"/>
    <w:rsid w:val="007C3C0B"/>
    <w:rsid w:val="007C47F5"/>
    <w:rsid w:val="007C5F35"/>
    <w:rsid w:val="007C6254"/>
    <w:rsid w:val="007C634F"/>
    <w:rsid w:val="007D2466"/>
    <w:rsid w:val="007E4832"/>
    <w:rsid w:val="007F0138"/>
    <w:rsid w:val="007F2482"/>
    <w:rsid w:val="00803DAD"/>
    <w:rsid w:val="00806705"/>
    <w:rsid w:val="008070C4"/>
    <w:rsid w:val="00815EEE"/>
    <w:rsid w:val="008160BD"/>
    <w:rsid w:val="00820B94"/>
    <w:rsid w:val="00823D2B"/>
    <w:rsid w:val="00823FE7"/>
    <w:rsid w:val="00824437"/>
    <w:rsid w:val="008315D1"/>
    <w:rsid w:val="00831979"/>
    <w:rsid w:val="00835A51"/>
    <w:rsid w:val="0084051A"/>
    <w:rsid w:val="00841462"/>
    <w:rsid w:val="008425B9"/>
    <w:rsid w:val="0084750B"/>
    <w:rsid w:val="008545ED"/>
    <w:rsid w:val="00854A9C"/>
    <w:rsid w:val="00855210"/>
    <w:rsid w:val="00855B71"/>
    <w:rsid w:val="00855C44"/>
    <w:rsid w:val="00861C91"/>
    <w:rsid w:val="00862992"/>
    <w:rsid w:val="00872688"/>
    <w:rsid w:val="008743F1"/>
    <w:rsid w:val="008776EC"/>
    <w:rsid w:val="00877FC4"/>
    <w:rsid w:val="00890EA6"/>
    <w:rsid w:val="00893202"/>
    <w:rsid w:val="008977B5"/>
    <w:rsid w:val="008A2510"/>
    <w:rsid w:val="008A2CC3"/>
    <w:rsid w:val="008A6D11"/>
    <w:rsid w:val="008A79B3"/>
    <w:rsid w:val="008A7FA9"/>
    <w:rsid w:val="008B0607"/>
    <w:rsid w:val="008B6090"/>
    <w:rsid w:val="008B7123"/>
    <w:rsid w:val="008B76D8"/>
    <w:rsid w:val="008C089C"/>
    <w:rsid w:val="008C53BA"/>
    <w:rsid w:val="008D37A1"/>
    <w:rsid w:val="008D3D2C"/>
    <w:rsid w:val="008D5B36"/>
    <w:rsid w:val="008D708D"/>
    <w:rsid w:val="008D7FF3"/>
    <w:rsid w:val="008E1216"/>
    <w:rsid w:val="008E3199"/>
    <w:rsid w:val="008E4D64"/>
    <w:rsid w:val="008F092F"/>
    <w:rsid w:val="008F4235"/>
    <w:rsid w:val="00900A47"/>
    <w:rsid w:val="00903728"/>
    <w:rsid w:val="00905D02"/>
    <w:rsid w:val="009064AD"/>
    <w:rsid w:val="00911017"/>
    <w:rsid w:val="00912013"/>
    <w:rsid w:val="009125F6"/>
    <w:rsid w:val="00915C6E"/>
    <w:rsid w:val="0091610D"/>
    <w:rsid w:val="00917C5F"/>
    <w:rsid w:val="0092371E"/>
    <w:rsid w:val="00930CA4"/>
    <w:rsid w:val="00931519"/>
    <w:rsid w:val="00932838"/>
    <w:rsid w:val="00932AF4"/>
    <w:rsid w:val="009356C2"/>
    <w:rsid w:val="00942225"/>
    <w:rsid w:val="009530D6"/>
    <w:rsid w:val="009604D1"/>
    <w:rsid w:val="00965621"/>
    <w:rsid w:val="009674C2"/>
    <w:rsid w:val="009713E0"/>
    <w:rsid w:val="00984FAB"/>
    <w:rsid w:val="00984FFF"/>
    <w:rsid w:val="0098595E"/>
    <w:rsid w:val="00992B43"/>
    <w:rsid w:val="009946CE"/>
    <w:rsid w:val="009972D1"/>
    <w:rsid w:val="00997BD6"/>
    <w:rsid w:val="00997CC4"/>
    <w:rsid w:val="009A0DE2"/>
    <w:rsid w:val="009A2784"/>
    <w:rsid w:val="009A5F55"/>
    <w:rsid w:val="009B167C"/>
    <w:rsid w:val="009B2BB6"/>
    <w:rsid w:val="009B3DE9"/>
    <w:rsid w:val="009C2244"/>
    <w:rsid w:val="009C33B8"/>
    <w:rsid w:val="009C70FC"/>
    <w:rsid w:val="009D180C"/>
    <w:rsid w:val="009D26C3"/>
    <w:rsid w:val="009D29FC"/>
    <w:rsid w:val="009D2DB6"/>
    <w:rsid w:val="009D7DBC"/>
    <w:rsid w:val="009E1A5D"/>
    <w:rsid w:val="009E5451"/>
    <w:rsid w:val="009F5180"/>
    <w:rsid w:val="00A03AA6"/>
    <w:rsid w:val="00A05EFE"/>
    <w:rsid w:val="00A138DE"/>
    <w:rsid w:val="00A1404B"/>
    <w:rsid w:val="00A15FE9"/>
    <w:rsid w:val="00A221FA"/>
    <w:rsid w:val="00A22A18"/>
    <w:rsid w:val="00A231E7"/>
    <w:rsid w:val="00A24CFC"/>
    <w:rsid w:val="00A252A5"/>
    <w:rsid w:val="00A34DD0"/>
    <w:rsid w:val="00A422BC"/>
    <w:rsid w:val="00A444F8"/>
    <w:rsid w:val="00A4770D"/>
    <w:rsid w:val="00A5301A"/>
    <w:rsid w:val="00A543D0"/>
    <w:rsid w:val="00A545B7"/>
    <w:rsid w:val="00A55E39"/>
    <w:rsid w:val="00A562B4"/>
    <w:rsid w:val="00A60557"/>
    <w:rsid w:val="00A60F4A"/>
    <w:rsid w:val="00A656E3"/>
    <w:rsid w:val="00A66CA1"/>
    <w:rsid w:val="00A67BBA"/>
    <w:rsid w:val="00A7191B"/>
    <w:rsid w:val="00A71AF3"/>
    <w:rsid w:val="00A7591F"/>
    <w:rsid w:val="00A806CC"/>
    <w:rsid w:val="00A818FE"/>
    <w:rsid w:val="00A8195F"/>
    <w:rsid w:val="00A82637"/>
    <w:rsid w:val="00A8570E"/>
    <w:rsid w:val="00A85CFE"/>
    <w:rsid w:val="00A86666"/>
    <w:rsid w:val="00A87DDF"/>
    <w:rsid w:val="00A923B2"/>
    <w:rsid w:val="00A96979"/>
    <w:rsid w:val="00A97092"/>
    <w:rsid w:val="00AA21ED"/>
    <w:rsid w:val="00AA54A8"/>
    <w:rsid w:val="00AB5B5E"/>
    <w:rsid w:val="00AC0008"/>
    <w:rsid w:val="00AC10E1"/>
    <w:rsid w:val="00AC479C"/>
    <w:rsid w:val="00AD1DA7"/>
    <w:rsid w:val="00AD1F2F"/>
    <w:rsid w:val="00AE231D"/>
    <w:rsid w:val="00AE45DF"/>
    <w:rsid w:val="00AE53DE"/>
    <w:rsid w:val="00AE66AC"/>
    <w:rsid w:val="00AF325C"/>
    <w:rsid w:val="00B04CAC"/>
    <w:rsid w:val="00B072E7"/>
    <w:rsid w:val="00B1151C"/>
    <w:rsid w:val="00B13CC6"/>
    <w:rsid w:val="00B177D7"/>
    <w:rsid w:val="00B2210D"/>
    <w:rsid w:val="00B2435F"/>
    <w:rsid w:val="00B249FB"/>
    <w:rsid w:val="00B327BF"/>
    <w:rsid w:val="00B33C7E"/>
    <w:rsid w:val="00B36B9E"/>
    <w:rsid w:val="00B36EC3"/>
    <w:rsid w:val="00B37C7B"/>
    <w:rsid w:val="00B4203A"/>
    <w:rsid w:val="00B420D8"/>
    <w:rsid w:val="00B42F49"/>
    <w:rsid w:val="00B47668"/>
    <w:rsid w:val="00B50DCB"/>
    <w:rsid w:val="00B521AD"/>
    <w:rsid w:val="00B67047"/>
    <w:rsid w:val="00B74BB9"/>
    <w:rsid w:val="00B763A2"/>
    <w:rsid w:val="00B8024F"/>
    <w:rsid w:val="00B835B1"/>
    <w:rsid w:val="00B835E8"/>
    <w:rsid w:val="00B8631F"/>
    <w:rsid w:val="00B94964"/>
    <w:rsid w:val="00B97305"/>
    <w:rsid w:val="00BA278E"/>
    <w:rsid w:val="00BA690C"/>
    <w:rsid w:val="00BB1A9C"/>
    <w:rsid w:val="00BB3C0A"/>
    <w:rsid w:val="00BB6F6F"/>
    <w:rsid w:val="00BC027A"/>
    <w:rsid w:val="00BC19D1"/>
    <w:rsid w:val="00BC3188"/>
    <w:rsid w:val="00BC6FD7"/>
    <w:rsid w:val="00BD112A"/>
    <w:rsid w:val="00BD5A80"/>
    <w:rsid w:val="00BD6735"/>
    <w:rsid w:val="00BD70A6"/>
    <w:rsid w:val="00BE1CB8"/>
    <w:rsid w:val="00BE3766"/>
    <w:rsid w:val="00BF23F7"/>
    <w:rsid w:val="00BF327F"/>
    <w:rsid w:val="00BF47EA"/>
    <w:rsid w:val="00C00D4C"/>
    <w:rsid w:val="00C0218C"/>
    <w:rsid w:val="00C04E0F"/>
    <w:rsid w:val="00C11644"/>
    <w:rsid w:val="00C14845"/>
    <w:rsid w:val="00C210A0"/>
    <w:rsid w:val="00C337B9"/>
    <w:rsid w:val="00C34C9F"/>
    <w:rsid w:val="00C35020"/>
    <w:rsid w:val="00C355BF"/>
    <w:rsid w:val="00C37413"/>
    <w:rsid w:val="00C42135"/>
    <w:rsid w:val="00C53CE4"/>
    <w:rsid w:val="00C56B54"/>
    <w:rsid w:val="00C647BF"/>
    <w:rsid w:val="00C71038"/>
    <w:rsid w:val="00C71B02"/>
    <w:rsid w:val="00C71D36"/>
    <w:rsid w:val="00C72589"/>
    <w:rsid w:val="00C757F7"/>
    <w:rsid w:val="00C76FDA"/>
    <w:rsid w:val="00C77EBB"/>
    <w:rsid w:val="00C85C7C"/>
    <w:rsid w:val="00C9477F"/>
    <w:rsid w:val="00C94BFE"/>
    <w:rsid w:val="00C9592F"/>
    <w:rsid w:val="00C95BC9"/>
    <w:rsid w:val="00C96A8D"/>
    <w:rsid w:val="00CA67EC"/>
    <w:rsid w:val="00CB08CB"/>
    <w:rsid w:val="00CB441C"/>
    <w:rsid w:val="00CB5849"/>
    <w:rsid w:val="00CB63C5"/>
    <w:rsid w:val="00CB7CFD"/>
    <w:rsid w:val="00CC1D86"/>
    <w:rsid w:val="00CC4F48"/>
    <w:rsid w:val="00CE2E31"/>
    <w:rsid w:val="00CE5E0E"/>
    <w:rsid w:val="00CE66E7"/>
    <w:rsid w:val="00CE78DD"/>
    <w:rsid w:val="00CF0BB6"/>
    <w:rsid w:val="00CF3D58"/>
    <w:rsid w:val="00CF42DB"/>
    <w:rsid w:val="00CF7214"/>
    <w:rsid w:val="00D000EF"/>
    <w:rsid w:val="00D05C14"/>
    <w:rsid w:val="00D06971"/>
    <w:rsid w:val="00D21DD1"/>
    <w:rsid w:val="00D27AB0"/>
    <w:rsid w:val="00D32976"/>
    <w:rsid w:val="00D333DD"/>
    <w:rsid w:val="00D356C6"/>
    <w:rsid w:val="00D45A35"/>
    <w:rsid w:val="00D47416"/>
    <w:rsid w:val="00D476C3"/>
    <w:rsid w:val="00D47B61"/>
    <w:rsid w:val="00D5087C"/>
    <w:rsid w:val="00D5245F"/>
    <w:rsid w:val="00D545D9"/>
    <w:rsid w:val="00D60A98"/>
    <w:rsid w:val="00D66DFC"/>
    <w:rsid w:val="00D71BCB"/>
    <w:rsid w:val="00D73756"/>
    <w:rsid w:val="00D76F4D"/>
    <w:rsid w:val="00D83080"/>
    <w:rsid w:val="00D91406"/>
    <w:rsid w:val="00D9260C"/>
    <w:rsid w:val="00D9726B"/>
    <w:rsid w:val="00DA417D"/>
    <w:rsid w:val="00DA5AA8"/>
    <w:rsid w:val="00DA7C77"/>
    <w:rsid w:val="00DB277F"/>
    <w:rsid w:val="00DC7C01"/>
    <w:rsid w:val="00DD0236"/>
    <w:rsid w:val="00DD247C"/>
    <w:rsid w:val="00DD3F81"/>
    <w:rsid w:val="00DD4D33"/>
    <w:rsid w:val="00DD58F5"/>
    <w:rsid w:val="00DE4092"/>
    <w:rsid w:val="00DE4433"/>
    <w:rsid w:val="00DE5825"/>
    <w:rsid w:val="00DE6E9F"/>
    <w:rsid w:val="00DE70D9"/>
    <w:rsid w:val="00DF0B7E"/>
    <w:rsid w:val="00E00BAD"/>
    <w:rsid w:val="00E022F2"/>
    <w:rsid w:val="00E11EA3"/>
    <w:rsid w:val="00E2104F"/>
    <w:rsid w:val="00E272CC"/>
    <w:rsid w:val="00E33ED7"/>
    <w:rsid w:val="00E35D1B"/>
    <w:rsid w:val="00E4068F"/>
    <w:rsid w:val="00E44E51"/>
    <w:rsid w:val="00E46483"/>
    <w:rsid w:val="00E51AA1"/>
    <w:rsid w:val="00E5235D"/>
    <w:rsid w:val="00E55FD8"/>
    <w:rsid w:val="00E57A5E"/>
    <w:rsid w:val="00E72775"/>
    <w:rsid w:val="00E77B39"/>
    <w:rsid w:val="00E85DB6"/>
    <w:rsid w:val="00E87370"/>
    <w:rsid w:val="00E879A8"/>
    <w:rsid w:val="00E906F9"/>
    <w:rsid w:val="00E934D4"/>
    <w:rsid w:val="00E96F55"/>
    <w:rsid w:val="00E97843"/>
    <w:rsid w:val="00EA0653"/>
    <w:rsid w:val="00EB09FB"/>
    <w:rsid w:val="00EB297B"/>
    <w:rsid w:val="00EB49F9"/>
    <w:rsid w:val="00EB7B05"/>
    <w:rsid w:val="00EC23E5"/>
    <w:rsid w:val="00EE29C4"/>
    <w:rsid w:val="00EE2DC3"/>
    <w:rsid w:val="00EE49DC"/>
    <w:rsid w:val="00EE5EDA"/>
    <w:rsid w:val="00EF2769"/>
    <w:rsid w:val="00EF5845"/>
    <w:rsid w:val="00F06E30"/>
    <w:rsid w:val="00F15280"/>
    <w:rsid w:val="00F15D86"/>
    <w:rsid w:val="00F167D7"/>
    <w:rsid w:val="00F16B65"/>
    <w:rsid w:val="00F20194"/>
    <w:rsid w:val="00F26599"/>
    <w:rsid w:val="00F26B4B"/>
    <w:rsid w:val="00F27952"/>
    <w:rsid w:val="00F300C8"/>
    <w:rsid w:val="00F331C1"/>
    <w:rsid w:val="00F47B4C"/>
    <w:rsid w:val="00F53342"/>
    <w:rsid w:val="00F56294"/>
    <w:rsid w:val="00F57623"/>
    <w:rsid w:val="00F66C9A"/>
    <w:rsid w:val="00F7425D"/>
    <w:rsid w:val="00F75A94"/>
    <w:rsid w:val="00F81EFA"/>
    <w:rsid w:val="00F910F7"/>
    <w:rsid w:val="00FA1B26"/>
    <w:rsid w:val="00FA54AE"/>
    <w:rsid w:val="00FB5AA1"/>
    <w:rsid w:val="00FC6C46"/>
    <w:rsid w:val="00FD1072"/>
    <w:rsid w:val="00FD13F2"/>
    <w:rsid w:val="00FD16BF"/>
    <w:rsid w:val="00FD1E4B"/>
    <w:rsid w:val="00FD2C7C"/>
    <w:rsid w:val="00FD4D11"/>
    <w:rsid w:val="00FE16FC"/>
    <w:rsid w:val="00FE20D7"/>
    <w:rsid w:val="00FF0AD8"/>
    <w:rsid w:val="00FF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595AC"/>
  <w15:docId w15:val="{34D18497-2DB9-4513-974D-FA1CAF6C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3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 w:type="table" w:customStyle="1" w:styleId="TableGrid41">
    <w:name w:val="Table Grid41"/>
    <w:basedOn w:val="TableNormal"/>
    <w:next w:val="TableGrid"/>
    <w:uiPriority w:val="59"/>
    <w:rsid w:val="005F6F1D"/>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F6F1D"/>
    <w:pPr>
      <w:spacing w:after="120"/>
    </w:pPr>
  </w:style>
  <w:style w:type="character" w:customStyle="1" w:styleId="BodyTextChar">
    <w:name w:val="Body Text Char"/>
    <w:basedOn w:val="DefaultParagraphFont"/>
    <w:link w:val="BodyText"/>
    <w:uiPriority w:val="99"/>
    <w:semiHidden/>
    <w:rsid w:val="005F6F1D"/>
  </w:style>
  <w:style w:type="paragraph" w:styleId="PlainText">
    <w:name w:val="Plain Text"/>
    <w:basedOn w:val="Normal"/>
    <w:link w:val="PlainTextChar"/>
    <w:uiPriority w:val="99"/>
    <w:semiHidden/>
    <w:unhideWhenUsed/>
    <w:rsid w:val="00C34C9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C34C9F"/>
    <w:rPr>
      <w:rFonts w:ascii="Calibri" w:eastAsia="Times New Roman" w:hAnsi="Calibri" w:cs="Times New Roman"/>
      <w:szCs w:val="21"/>
    </w:rPr>
  </w:style>
  <w:style w:type="character" w:styleId="Emphasis">
    <w:name w:val="Emphasis"/>
    <w:basedOn w:val="DefaultParagraphFont"/>
    <w:uiPriority w:val="20"/>
    <w:qFormat/>
    <w:rsid w:val="00CF0B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4871">
      <w:bodyDiv w:val="1"/>
      <w:marLeft w:val="0"/>
      <w:marRight w:val="0"/>
      <w:marTop w:val="0"/>
      <w:marBottom w:val="0"/>
      <w:divBdr>
        <w:top w:val="none" w:sz="0" w:space="0" w:color="auto"/>
        <w:left w:val="none" w:sz="0" w:space="0" w:color="auto"/>
        <w:bottom w:val="none" w:sz="0" w:space="0" w:color="auto"/>
        <w:right w:val="none" w:sz="0" w:space="0" w:color="auto"/>
      </w:divBdr>
    </w:div>
    <w:div w:id="5834373">
      <w:bodyDiv w:val="1"/>
      <w:marLeft w:val="0"/>
      <w:marRight w:val="0"/>
      <w:marTop w:val="0"/>
      <w:marBottom w:val="0"/>
      <w:divBdr>
        <w:top w:val="none" w:sz="0" w:space="0" w:color="auto"/>
        <w:left w:val="none" w:sz="0" w:space="0" w:color="auto"/>
        <w:bottom w:val="none" w:sz="0" w:space="0" w:color="auto"/>
        <w:right w:val="none" w:sz="0" w:space="0" w:color="auto"/>
      </w:divBdr>
    </w:div>
    <w:div w:id="68164493">
      <w:bodyDiv w:val="1"/>
      <w:marLeft w:val="0"/>
      <w:marRight w:val="0"/>
      <w:marTop w:val="0"/>
      <w:marBottom w:val="0"/>
      <w:divBdr>
        <w:top w:val="none" w:sz="0" w:space="0" w:color="auto"/>
        <w:left w:val="none" w:sz="0" w:space="0" w:color="auto"/>
        <w:bottom w:val="none" w:sz="0" w:space="0" w:color="auto"/>
        <w:right w:val="none" w:sz="0" w:space="0" w:color="auto"/>
      </w:divBdr>
    </w:div>
    <w:div w:id="69424229">
      <w:bodyDiv w:val="1"/>
      <w:marLeft w:val="0"/>
      <w:marRight w:val="0"/>
      <w:marTop w:val="0"/>
      <w:marBottom w:val="0"/>
      <w:divBdr>
        <w:top w:val="none" w:sz="0" w:space="0" w:color="auto"/>
        <w:left w:val="none" w:sz="0" w:space="0" w:color="auto"/>
        <w:bottom w:val="none" w:sz="0" w:space="0" w:color="auto"/>
        <w:right w:val="none" w:sz="0" w:space="0" w:color="auto"/>
      </w:divBdr>
    </w:div>
    <w:div w:id="84805986">
      <w:bodyDiv w:val="1"/>
      <w:marLeft w:val="0"/>
      <w:marRight w:val="0"/>
      <w:marTop w:val="0"/>
      <w:marBottom w:val="0"/>
      <w:divBdr>
        <w:top w:val="none" w:sz="0" w:space="0" w:color="auto"/>
        <w:left w:val="none" w:sz="0" w:space="0" w:color="auto"/>
        <w:bottom w:val="none" w:sz="0" w:space="0" w:color="auto"/>
        <w:right w:val="none" w:sz="0" w:space="0" w:color="auto"/>
      </w:divBdr>
    </w:div>
    <w:div w:id="86848063">
      <w:bodyDiv w:val="1"/>
      <w:marLeft w:val="0"/>
      <w:marRight w:val="0"/>
      <w:marTop w:val="0"/>
      <w:marBottom w:val="0"/>
      <w:divBdr>
        <w:top w:val="none" w:sz="0" w:space="0" w:color="auto"/>
        <w:left w:val="none" w:sz="0" w:space="0" w:color="auto"/>
        <w:bottom w:val="none" w:sz="0" w:space="0" w:color="auto"/>
        <w:right w:val="none" w:sz="0" w:space="0" w:color="auto"/>
      </w:divBdr>
    </w:div>
    <w:div w:id="87702146">
      <w:bodyDiv w:val="1"/>
      <w:marLeft w:val="0"/>
      <w:marRight w:val="0"/>
      <w:marTop w:val="0"/>
      <w:marBottom w:val="0"/>
      <w:divBdr>
        <w:top w:val="none" w:sz="0" w:space="0" w:color="auto"/>
        <w:left w:val="none" w:sz="0" w:space="0" w:color="auto"/>
        <w:bottom w:val="none" w:sz="0" w:space="0" w:color="auto"/>
        <w:right w:val="none" w:sz="0" w:space="0" w:color="auto"/>
      </w:divBdr>
    </w:div>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15606335">
      <w:bodyDiv w:val="1"/>
      <w:marLeft w:val="0"/>
      <w:marRight w:val="0"/>
      <w:marTop w:val="0"/>
      <w:marBottom w:val="0"/>
      <w:divBdr>
        <w:top w:val="none" w:sz="0" w:space="0" w:color="auto"/>
        <w:left w:val="none" w:sz="0" w:space="0" w:color="auto"/>
        <w:bottom w:val="none" w:sz="0" w:space="0" w:color="auto"/>
        <w:right w:val="none" w:sz="0" w:space="0" w:color="auto"/>
      </w:divBdr>
    </w:div>
    <w:div w:id="116067852">
      <w:bodyDiv w:val="1"/>
      <w:marLeft w:val="0"/>
      <w:marRight w:val="0"/>
      <w:marTop w:val="0"/>
      <w:marBottom w:val="0"/>
      <w:divBdr>
        <w:top w:val="none" w:sz="0" w:space="0" w:color="auto"/>
        <w:left w:val="none" w:sz="0" w:space="0" w:color="auto"/>
        <w:bottom w:val="none" w:sz="0" w:space="0" w:color="auto"/>
        <w:right w:val="none" w:sz="0" w:space="0" w:color="auto"/>
      </w:divBdr>
    </w:div>
    <w:div w:id="135029701">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3571045">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07843481">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16362250">
      <w:bodyDiv w:val="1"/>
      <w:marLeft w:val="0"/>
      <w:marRight w:val="0"/>
      <w:marTop w:val="0"/>
      <w:marBottom w:val="0"/>
      <w:divBdr>
        <w:top w:val="none" w:sz="0" w:space="0" w:color="auto"/>
        <w:left w:val="none" w:sz="0" w:space="0" w:color="auto"/>
        <w:bottom w:val="none" w:sz="0" w:space="0" w:color="auto"/>
        <w:right w:val="none" w:sz="0" w:space="0" w:color="auto"/>
      </w:divBdr>
    </w:div>
    <w:div w:id="227691883">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42683183">
      <w:bodyDiv w:val="1"/>
      <w:marLeft w:val="0"/>
      <w:marRight w:val="0"/>
      <w:marTop w:val="0"/>
      <w:marBottom w:val="0"/>
      <w:divBdr>
        <w:top w:val="none" w:sz="0" w:space="0" w:color="auto"/>
        <w:left w:val="none" w:sz="0" w:space="0" w:color="auto"/>
        <w:bottom w:val="none" w:sz="0" w:space="0" w:color="auto"/>
        <w:right w:val="none" w:sz="0" w:space="0" w:color="auto"/>
      </w:divBdr>
    </w:div>
    <w:div w:id="247884736">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282274318">
      <w:bodyDiv w:val="1"/>
      <w:marLeft w:val="0"/>
      <w:marRight w:val="0"/>
      <w:marTop w:val="0"/>
      <w:marBottom w:val="0"/>
      <w:divBdr>
        <w:top w:val="none" w:sz="0" w:space="0" w:color="auto"/>
        <w:left w:val="none" w:sz="0" w:space="0" w:color="auto"/>
        <w:bottom w:val="none" w:sz="0" w:space="0" w:color="auto"/>
        <w:right w:val="none" w:sz="0" w:space="0" w:color="auto"/>
      </w:divBdr>
    </w:div>
    <w:div w:id="294726737">
      <w:bodyDiv w:val="1"/>
      <w:marLeft w:val="0"/>
      <w:marRight w:val="0"/>
      <w:marTop w:val="0"/>
      <w:marBottom w:val="0"/>
      <w:divBdr>
        <w:top w:val="none" w:sz="0" w:space="0" w:color="auto"/>
        <w:left w:val="none" w:sz="0" w:space="0" w:color="auto"/>
        <w:bottom w:val="none" w:sz="0" w:space="0" w:color="auto"/>
        <w:right w:val="none" w:sz="0" w:space="0" w:color="auto"/>
      </w:divBdr>
    </w:div>
    <w:div w:id="320158112">
      <w:bodyDiv w:val="1"/>
      <w:marLeft w:val="0"/>
      <w:marRight w:val="0"/>
      <w:marTop w:val="0"/>
      <w:marBottom w:val="0"/>
      <w:divBdr>
        <w:top w:val="none" w:sz="0" w:space="0" w:color="auto"/>
        <w:left w:val="none" w:sz="0" w:space="0" w:color="auto"/>
        <w:bottom w:val="none" w:sz="0" w:space="0" w:color="auto"/>
        <w:right w:val="none" w:sz="0" w:space="0" w:color="auto"/>
      </w:divBdr>
    </w:div>
    <w:div w:id="327442335">
      <w:bodyDiv w:val="1"/>
      <w:marLeft w:val="0"/>
      <w:marRight w:val="0"/>
      <w:marTop w:val="0"/>
      <w:marBottom w:val="0"/>
      <w:divBdr>
        <w:top w:val="none" w:sz="0" w:space="0" w:color="auto"/>
        <w:left w:val="none" w:sz="0" w:space="0" w:color="auto"/>
        <w:bottom w:val="none" w:sz="0" w:space="0" w:color="auto"/>
        <w:right w:val="none" w:sz="0" w:space="0" w:color="auto"/>
      </w:divBdr>
    </w:div>
    <w:div w:id="328795832">
      <w:bodyDiv w:val="1"/>
      <w:marLeft w:val="0"/>
      <w:marRight w:val="0"/>
      <w:marTop w:val="0"/>
      <w:marBottom w:val="0"/>
      <w:divBdr>
        <w:top w:val="none" w:sz="0" w:space="0" w:color="auto"/>
        <w:left w:val="none" w:sz="0" w:space="0" w:color="auto"/>
        <w:bottom w:val="none" w:sz="0" w:space="0" w:color="auto"/>
        <w:right w:val="none" w:sz="0" w:space="0" w:color="auto"/>
      </w:divBdr>
    </w:div>
    <w:div w:id="347799890">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0814192">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436601093">
      <w:bodyDiv w:val="1"/>
      <w:marLeft w:val="0"/>
      <w:marRight w:val="0"/>
      <w:marTop w:val="0"/>
      <w:marBottom w:val="0"/>
      <w:divBdr>
        <w:top w:val="none" w:sz="0" w:space="0" w:color="auto"/>
        <w:left w:val="none" w:sz="0" w:space="0" w:color="auto"/>
        <w:bottom w:val="none" w:sz="0" w:space="0" w:color="auto"/>
        <w:right w:val="none" w:sz="0" w:space="0" w:color="auto"/>
      </w:divBdr>
    </w:div>
    <w:div w:id="470513658">
      <w:bodyDiv w:val="1"/>
      <w:marLeft w:val="0"/>
      <w:marRight w:val="0"/>
      <w:marTop w:val="0"/>
      <w:marBottom w:val="0"/>
      <w:divBdr>
        <w:top w:val="none" w:sz="0" w:space="0" w:color="auto"/>
        <w:left w:val="none" w:sz="0" w:space="0" w:color="auto"/>
        <w:bottom w:val="none" w:sz="0" w:space="0" w:color="auto"/>
        <w:right w:val="none" w:sz="0" w:space="0" w:color="auto"/>
      </w:divBdr>
    </w:div>
    <w:div w:id="500195780">
      <w:bodyDiv w:val="1"/>
      <w:marLeft w:val="0"/>
      <w:marRight w:val="0"/>
      <w:marTop w:val="0"/>
      <w:marBottom w:val="0"/>
      <w:divBdr>
        <w:top w:val="none" w:sz="0" w:space="0" w:color="auto"/>
        <w:left w:val="none" w:sz="0" w:space="0" w:color="auto"/>
        <w:bottom w:val="none" w:sz="0" w:space="0" w:color="auto"/>
        <w:right w:val="none" w:sz="0" w:space="0" w:color="auto"/>
      </w:divBdr>
    </w:div>
    <w:div w:id="514851775">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2690817">
      <w:bodyDiv w:val="1"/>
      <w:marLeft w:val="0"/>
      <w:marRight w:val="0"/>
      <w:marTop w:val="0"/>
      <w:marBottom w:val="0"/>
      <w:divBdr>
        <w:top w:val="none" w:sz="0" w:space="0" w:color="auto"/>
        <w:left w:val="none" w:sz="0" w:space="0" w:color="auto"/>
        <w:bottom w:val="none" w:sz="0" w:space="0" w:color="auto"/>
        <w:right w:val="none" w:sz="0" w:space="0" w:color="auto"/>
      </w:divBdr>
    </w:div>
    <w:div w:id="534317176">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45338669">
      <w:bodyDiv w:val="1"/>
      <w:marLeft w:val="0"/>
      <w:marRight w:val="0"/>
      <w:marTop w:val="0"/>
      <w:marBottom w:val="0"/>
      <w:divBdr>
        <w:top w:val="none" w:sz="0" w:space="0" w:color="auto"/>
        <w:left w:val="none" w:sz="0" w:space="0" w:color="auto"/>
        <w:bottom w:val="none" w:sz="0" w:space="0" w:color="auto"/>
        <w:right w:val="none" w:sz="0" w:space="0" w:color="auto"/>
      </w:divBdr>
    </w:div>
    <w:div w:id="560411069">
      <w:bodyDiv w:val="1"/>
      <w:marLeft w:val="0"/>
      <w:marRight w:val="0"/>
      <w:marTop w:val="0"/>
      <w:marBottom w:val="0"/>
      <w:divBdr>
        <w:top w:val="none" w:sz="0" w:space="0" w:color="auto"/>
        <w:left w:val="none" w:sz="0" w:space="0" w:color="auto"/>
        <w:bottom w:val="none" w:sz="0" w:space="0" w:color="auto"/>
        <w:right w:val="none" w:sz="0" w:space="0" w:color="auto"/>
      </w:divBdr>
    </w:div>
    <w:div w:id="561261121">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598223570">
      <w:bodyDiv w:val="1"/>
      <w:marLeft w:val="0"/>
      <w:marRight w:val="0"/>
      <w:marTop w:val="0"/>
      <w:marBottom w:val="0"/>
      <w:divBdr>
        <w:top w:val="none" w:sz="0" w:space="0" w:color="auto"/>
        <w:left w:val="none" w:sz="0" w:space="0" w:color="auto"/>
        <w:bottom w:val="none" w:sz="0" w:space="0" w:color="auto"/>
        <w:right w:val="none" w:sz="0" w:space="0" w:color="auto"/>
      </w:divBdr>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13041905">
      <w:bodyDiv w:val="1"/>
      <w:marLeft w:val="0"/>
      <w:marRight w:val="0"/>
      <w:marTop w:val="0"/>
      <w:marBottom w:val="0"/>
      <w:divBdr>
        <w:top w:val="none" w:sz="0" w:space="0" w:color="auto"/>
        <w:left w:val="none" w:sz="0" w:space="0" w:color="auto"/>
        <w:bottom w:val="none" w:sz="0" w:space="0" w:color="auto"/>
        <w:right w:val="none" w:sz="0" w:space="0" w:color="auto"/>
      </w:divBdr>
    </w:div>
    <w:div w:id="714698968">
      <w:bodyDiv w:val="1"/>
      <w:marLeft w:val="0"/>
      <w:marRight w:val="0"/>
      <w:marTop w:val="0"/>
      <w:marBottom w:val="0"/>
      <w:divBdr>
        <w:top w:val="none" w:sz="0" w:space="0" w:color="auto"/>
        <w:left w:val="none" w:sz="0" w:space="0" w:color="auto"/>
        <w:bottom w:val="none" w:sz="0" w:space="0" w:color="auto"/>
        <w:right w:val="none" w:sz="0" w:space="0" w:color="auto"/>
      </w:divBdr>
    </w:div>
    <w:div w:id="721485901">
      <w:bodyDiv w:val="1"/>
      <w:marLeft w:val="0"/>
      <w:marRight w:val="0"/>
      <w:marTop w:val="0"/>
      <w:marBottom w:val="0"/>
      <w:divBdr>
        <w:top w:val="none" w:sz="0" w:space="0" w:color="auto"/>
        <w:left w:val="none" w:sz="0" w:space="0" w:color="auto"/>
        <w:bottom w:val="none" w:sz="0" w:space="0" w:color="auto"/>
        <w:right w:val="none" w:sz="0" w:space="0" w:color="auto"/>
      </w:divBdr>
    </w:div>
    <w:div w:id="725950405">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758451739">
      <w:bodyDiv w:val="1"/>
      <w:marLeft w:val="0"/>
      <w:marRight w:val="0"/>
      <w:marTop w:val="0"/>
      <w:marBottom w:val="0"/>
      <w:divBdr>
        <w:top w:val="none" w:sz="0" w:space="0" w:color="auto"/>
        <w:left w:val="none" w:sz="0" w:space="0" w:color="auto"/>
        <w:bottom w:val="none" w:sz="0" w:space="0" w:color="auto"/>
        <w:right w:val="none" w:sz="0" w:space="0" w:color="auto"/>
      </w:divBdr>
    </w:div>
    <w:div w:id="775642167">
      <w:bodyDiv w:val="1"/>
      <w:marLeft w:val="0"/>
      <w:marRight w:val="0"/>
      <w:marTop w:val="0"/>
      <w:marBottom w:val="0"/>
      <w:divBdr>
        <w:top w:val="none" w:sz="0" w:space="0" w:color="auto"/>
        <w:left w:val="none" w:sz="0" w:space="0" w:color="auto"/>
        <w:bottom w:val="none" w:sz="0" w:space="0" w:color="auto"/>
        <w:right w:val="none" w:sz="0" w:space="0" w:color="auto"/>
      </w:divBdr>
    </w:div>
    <w:div w:id="803737659">
      <w:bodyDiv w:val="1"/>
      <w:marLeft w:val="0"/>
      <w:marRight w:val="0"/>
      <w:marTop w:val="0"/>
      <w:marBottom w:val="0"/>
      <w:divBdr>
        <w:top w:val="none" w:sz="0" w:space="0" w:color="auto"/>
        <w:left w:val="none" w:sz="0" w:space="0" w:color="auto"/>
        <w:bottom w:val="none" w:sz="0" w:space="0" w:color="auto"/>
        <w:right w:val="none" w:sz="0" w:space="0" w:color="auto"/>
      </w:divBdr>
    </w:div>
    <w:div w:id="805514360">
      <w:bodyDiv w:val="1"/>
      <w:marLeft w:val="0"/>
      <w:marRight w:val="0"/>
      <w:marTop w:val="0"/>
      <w:marBottom w:val="0"/>
      <w:divBdr>
        <w:top w:val="none" w:sz="0" w:space="0" w:color="auto"/>
        <w:left w:val="none" w:sz="0" w:space="0" w:color="auto"/>
        <w:bottom w:val="none" w:sz="0" w:space="0" w:color="auto"/>
        <w:right w:val="none" w:sz="0" w:space="0" w:color="auto"/>
      </w:divBdr>
    </w:div>
    <w:div w:id="807166179">
      <w:bodyDiv w:val="1"/>
      <w:marLeft w:val="0"/>
      <w:marRight w:val="0"/>
      <w:marTop w:val="0"/>
      <w:marBottom w:val="0"/>
      <w:divBdr>
        <w:top w:val="none" w:sz="0" w:space="0" w:color="auto"/>
        <w:left w:val="none" w:sz="0" w:space="0" w:color="auto"/>
        <w:bottom w:val="none" w:sz="0" w:space="0" w:color="auto"/>
        <w:right w:val="none" w:sz="0" w:space="0" w:color="auto"/>
      </w:divBdr>
    </w:div>
    <w:div w:id="835531082">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69148337">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881750647">
      <w:bodyDiv w:val="1"/>
      <w:marLeft w:val="0"/>
      <w:marRight w:val="0"/>
      <w:marTop w:val="0"/>
      <w:marBottom w:val="0"/>
      <w:divBdr>
        <w:top w:val="none" w:sz="0" w:space="0" w:color="auto"/>
        <w:left w:val="none" w:sz="0" w:space="0" w:color="auto"/>
        <w:bottom w:val="none" w:sz="0" w:space="0" w:color="auto"/>
        <w:right w:val="none" w:sz="0" w:space="0" w:color="auto"/>
      </w:divBdr>
    </w:div>
    <w:div w:id="921060129">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33393082">
      <w:bodyDiv w:val="1"/>
      <w:marLeft w:val="0"/>
      <w:marRight w:val="0"/>
      <w:marTop w:val="0"/>
      <w:marBottom w:val="0"/>
      <w:divBdr>
        <w:top w:val="none" w:sz="0" w:space="0" w:color="auto"/>
        <w:left w:val="none" w:sz="0" w:space="0" w:color="auto"/>
        <w:bottom w:val="none" w:sz="0" w:space="0" w:color="auto"/>
        <w:right w:val="none" w:sz="0" w:space="0" w:color="auto"/>
      </w:divBdr>
    </w:div>
    <w:div w:id="941303070">
      <w:bodyDiv w:val="1"/>
      <w:marLeft w:val="0"/>
      <w:marRight w:val="0"/>
      <w:marTop w:val="0"/>
      <w:marBottom w:val="0"/>
      <w:divBdr>
        <w:top w:val="none" w:sz="0" w:space="0" w:color="auto"/>
        <w:left w:val="none" w:sz="0" w:space="0" w:color="auto"/>
        <w:bottom w:val="none" w:sz="0" w:space="0" w:color="auto"/>
        <w:right w:val="none" w:sz="0" w:space="0" w:color="auto"/>
      </w:divBdr>
    </w:div>
    <w:div w:id="948010581">
      <w:bodyDiv w:val="1"/>
      <w:marLeft w:val="0"/>
      <w:marRight w:val="0"/>
      <w:marTop w:val="0"/>
      <w:marBottom w:val="0"/>
      <w:divBdr>
        <w:top w:val="none" w:sz="0" w:space="0" w:color="auto"/>
        <w:left w:val="none" w:sz="0" w:space="0" w:color="auto"/>
        <w:bottom w:val="none" w:sz="0" w:space="0" w:color="auto"/>
        <w:right w:val="none" w:sz="0" w:space="0" w:color="auto"/>
      </w:divBdr>
    </w:div>
    <w:div w:id="963314390">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990134590">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10369751">
      <w:bodyDiv w:val="1"/>
      <w:marLeft w:val="0"/>
      <w:marRight w:val="0"/>
      <w:marTop w:val="0"/>
      <w:marBottom w:val="0"/>
      <w:divBdr>
        <w:top w:val="none" w:sz="0" w:space="0" w:color="auto"/>
        <w:left w:val="none" w:sz="0" w:space="0" w:color="auto"/>
        <w:bottom w:val="none" w:sz="0" w:space="0" w:color="auto"/>
        <w:right w:val="none" w:sz="0" w:space="0" w:color="auto"/>
      </w:divBdr>
    </w:div>
    <w:div w:id="1011881387">
      <w:bodyDiv w:val="1"/>
      <w:marLeft w:val="0"/>
      <w:marRight w:val="0"/>
      <w:marTop w:val="0"/>
      <w:marBottom w:val="0"/>
      <w:divBdr>
        <w:top w:val="none" w:sz="0" w:space="0" w:color="auto"/>
        <w:left w:val="none" w:sz="0" w:space="0" w:color="auto"/>
        <w:bottom w:val="none" w:sz="0" w:space="0" w:color="auto"/>
        <w:right w:val="none" w:sz="0" w:space="0" w:color="auto"/>
      </w:divBdr>
    </w:div>
    <w:div w:id="1052532919">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090856258">
      <w:bodyDiv w:val="1"/>
      <w:marLeft w:val="0"/>
      <w:marRight w:val="0"/>
      <w:marTop w:val="0"/>
      <w:marBottom w:val="0"/>
      <w:divBdr>
        <w:top w:val="none" w:sz="0" w:space="0" w:color="auto"/>
        <w:left w:val="none" w:sz="0" w:space="0" w:color="auto"/>
        <w:bottom w:val="none" w:sz="0" w:space="0" w:color="auto"/>
        <w:right w:val="none" w:sz="0" w:space="0" w:color="auto"/>
      </w:divBdr>
    </w:div>
    <w:div w:id="1101219176">
      <w:bodyDiv w:val="1"/>
      <w:marLeft w:val="0"/>
      <w:marRight w:val="0"/>
      <w:marTop w:val="0"/>
      <w:marBottom w:val="0"/>
      <w:divBdr>
        <w:top w:val="none" w:sz="0" w:space="0" w:color="auto"/>
        <w:left w:val="none" w:sz="0" w:space="0" w:color="auto"/>
        <w:bottom w:val="none" w:sz="0" w:space="0" w:color="auto"/>
        <w:right w:val="none" w:sz="0" w:space="0" w:color="auto"/>
      </w:divBdr>
    </w:div>
    <w:div w:id="1112096242">
      <w:bodyDiv w:val="1"/>
      <w:marLeft w:val="0"/>
      <w:marRight w:val="0"/>
      <w:marTop w:val="0"/>
      <w:marBottom w:val="0"/>
      <w:divBdr>
        <w:top w:val="none" w:sz="0" w:space="0" w:color="auto"/>
        <w:left w:val="none" w:sz="0" w:space="0" w:color="auto"/>
        <w:bottom w:val="none" w:sz="0" w:space="0" w:color="auto"/>
        <w:right w:val="none" w:sz="0" w:space="0" w:color="auto"/>
      </w:divBdr>
    </w:div>
    <w:div w:id="1118259896">
      <w:bodyDiv w:val="1"/>
      <w:marLeft w:val="0"/>
      <w:marRight w:val="0"/>
      <w:marTop w:val="0"/>
      <w:marBottom w:val="0"/>
      <w:divBdr>
        <w:top w:val="none" w:sz="0" w:space="0" w:color="auto"/>
        <w:left w:val="none" w:sz="0" w:space="0" w:color="auto"/>
        <w:bottom w:val="none" w:sz="0" w:space="0" w:color="auto"/>
        <w:right w:val="none" w:sz="0" w:space="0" w:color="auto"/>
      </w:divBdr>
    </w:div>
    <w:div w:id="1139499834">
      <w:bodyDiv w:val="1"/>
      <w:marLeft w:val="0"/>
      <w:marRight w:val="0"/>
      <w:marTop w:val="0"/>
      <w:marBottom w:val="0"/>
      <w:divBdr>
        <w:top w:val="none" w:sz="0" w:space="0" w:color="auto"/>
        <w:left w:val="none" w:sz="0" w:space="0" w:color="auto"/>
        <w:bottom w:val="none" w:sz="0" w:space="0" w:color="auto"/>
        <w:right w:val="none" w:sz="0" w:space="0" w:color="auto"/>
      </w:divBdr>
    </w:div>
    <w:div w:id="1145197798">
      <w:bodyDiv w:val="1"/>
      <w:marLeft w:val="0"/>
      <w:marRight w:val="0"/>
      <w:marTop w:val="0"/>
      <w:marBottom w:val="0"/>
      <w:divBdr>
        <w:top w:val="none" w:sz="0" w:space="0" w:color="auto"/>
        <w:left w:val="none" w:sz="0" w:space="0" w:color="auto"/>
        <w:bottom w:val="none" w:sz="0" w:space="0" w:color="auto"/>
        <w:right w:val="none" w:sz="0" w:space="0" w:color="auto"/>
      </w:divBdr>
    </w:div>
    <w:div w:id="1185366874">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13020797">
      <w:bodyDiv w:val="1"/>
      <w:marLeft w:val="0"/>
      <w:marRight w:val="0"/>
      <w:marTop w:val="0"/>
      <w:marBottom w:val="0"/>
      <w:divBdr>
        <w:top w:val="none" w:sz="0" w:space="0" w:color="auto"/>
        <w:left w:val="none" w:sz="0" w:space="0" w:color="auto"/>
        <w:bottom w:val="none" w:sz="0" w:space="0" w:color="auto"/>
        <w:right w:val="none" w:sz="0" w:space="0" w:color="auto"/>
      </w:divBdr>
    </w:div>
    <w:div w:id="1339504079">
      <w:bodyDiv w:val="1"/>
      <w:marLeft w:val="0"/>
      <w:marRight w:val="0"/>
      <w:marTop w:val="0"/>
      <w:marBottom w:val="0"/>
      <w:divBdr>
        <w:top w:val="none" w:sz="0" w:space="0" w:color="auto"/>
        <w:left w:val="none" w:sz="0" w:space="0" w:color="auto"/>
        <w:bottom w:val="none" w:sz="0" w:space="0" w:color="auto"/>
        <w:right w:val="none" w:sz="0" w:space="0" w:color="auto"/>
      </w:divBdr>
    </w:div>
    <w:div w:id="1348602157">
      <w:bodyDiv w:val="1"/>
      <w:marLeft w:val="0"/>
      <w:marRight w:val="0"/>
      <w:marTop w:val="0"/>
      <w:marBottom w:val="0"/>
      <w:divBdr>
        <w:top w:val="none" w:sz="0" w:space="0" w:color="auto"/>
        <w:left w:val="none" w:sz="0" w:space="0" w:color="auto"/>
        <w:bottom w:val="none" w:sz="0" w:space="0" w:color="auto"/>
        <w:right w:val="none" w:sz="0" w:space="0" w:color="auto"/>
      </w:divBdr>
    </w:div>
    <w:div w:id="1350647193">
      <w:bodyDiv w:val="1"/>
      <w:marLeft w:val="0"/>
      <w:marRight w:val="0"/>
      <w:marTop w:val="0"/>
      <w:marBottom w:val="0"/>
      <w:divBdr>
        <w:top w:val="none" w:sz="0" w:space="0" w:color="auto"/>
        <w:left w:val="none" w:sz="0" w:space="0" w:color="auto"/>
        <w:bottom w:val="none" w:sz="0" w:space="0" w:color="auto"/>
        <w:right w:val="none" w:sz="0" w:space="0" w:color="auto"/>
      </w:divBdr>
    </w:div>
    <w:div w:id="1365716876">
      <w:bodyDiv w:val="1"/>
      <w:marLeft w:val="0"/>
      <w:marRight w:val="0"/>
      <w:marTop w:val="0"/>
      <w:marBottom w:val="0"/>
      <w:divBdr>
        <w:top w:val="none" w:sz="0" w:space="0" w:color="auto"/>
        <w:left w:val="none" w:sz="0" w:space="0" w:color="auto"/>
        <w:bottom w:val="none" w:sz="0" w:space="0" w:color="auto"/>
        <w:right w:val="none" w:sz="0" w:space="0" w:color="auto"/>
      </w:divBdr>
    </w:div>
    <w:div w:id="1375930810">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386681980">
      <w:bodyDiv w:val="1"/>
      <w:marLeft w:val="0"/>
      <w:marRight w:val="0"/>
      <w:marTop w:val="0"/>
      <w:marBottom w:val="0"/>
      <w:divBdr>
        <w:top w:val="none" w:sz="0" w:space="0" w:color="auto"/>
        <w:left w:val="none" w:sz="0" w:space="0" w:color="auto"/>
        <w:bottom w:val="none" w:sz="0" w:space="0" w:color="auto"/>
        <w:right w:val="none" w:sz="0" w:space="0" w:color="auto"/>
      </w:divBdr>
    </w:div>
    <w:div w:id="1399939582">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417242810">
      <w:bodyDiv w:val="1"/>
      <w:marLeft w:val="0"/>
      <w:marRight w:val="0"/>
      <w:marTop w:val="0"/>
      <w:marBottom w:val="0"/>
      <w:divBdr>
        <w:top w:val="none" w:sz="0" w:space="0" w:color="auto"/>
        <w:left w:val="none" w:sz="0" w:space="0" w:color="auto"/>
        <w:bottom w:val="none" w:sz="0" w:space="0" w:color="auto"/>
        <w:right w:val="none" w:sz="0" w:space="0" w:color="auto"/>
      </w:divBdr>
    </w:div>
    <w:div w:id="1422599526">
      <w:bodyDiv w:val="1"/>
      <w:marLeft w:val="0"/>
      <w:marRight w:val="0"/>
      <w:marTop w:val="0"/>
      <w:marBottom w:val="0"/>
      <w:divBdr>
        <w:top w:val="none" w:sz="0" w:space="0" w:color="auto"/>
        <w:left w:val="none" w:sz="0" w:space="0" w:color="auto"/>
        <w:bottom w:val="none" w:sz="0" w:space="0" w:color="auto"/>
        <w:right w:val="none" w:sz="0" w:space="0" w:color="auto"/>
      </w:divBdr>
    </w:div>
    <w:div w:id="1446073036">
      <w:bodyDiv w:val="1"/>
      <w:marLeft w:val="0"/>
      <w:marRight w:val="0"/>
      <w:marTop w:val="0"/>
      <w:marBottom w:val="0"/>
      <w:divBdr>
        <w:top w:val="none" w:sz="0" w:space="0" w:color="auto"/>
        <w:left w:val="none" w:sz="0" w:space="0" w:color="auto"/>
        <w:bottom w:val="none" w:sz="0" w:space="0" w:color="auto"/>
        <w:right w:val="none" w:sz="0" w:space="0" w:color="auto"/>
      </w:divBdr>
    </w:div>
    <w:div w:id="1455442127">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487436437">
      <w:bodyDiv w:val="1"/>
      <w:marLeft w:val="0"/>
      <w:marRight w:val="0"/>
      <w:marTop w:val="0"/>
      <w:marBottom w:val="0"/>
      <w:divBdr>
        <w:top w:val="none" w:sz="0" w:space="0" w:color="auto"/>
        <w:left w:val="none" w:sz="0" w:space="0" w:color="auto"/>
        <w:bottom w:val="none" w:sz="0" w:space="0" w:color="auto"/>
        <w:right w:val="none" w:sz="0" w:space="0" w:color="auto"/>
      </w:divBdr>
    </w:div>
    <w:div w:id="1499343601">
      <w:bodyDiv w:val="1"/>
      <w:marLeft w:val="0"/>
      <w:marRight w:val="0"/>
      <w:marTop w:val="0"/>
      <w:marBottom w:val="0"/>
      <w:divBdr>
        <w:top w:val="none" w:sz="0" w:space="0" w:color="auto"/>
        <w:left w:val="none" w:sz="0" w:space="0" w:color="auto"/>
        <w:bottom w:val="none" w:sz="0" w:space="0" w:color="auto"/>
        <w:right w:val="none" w:sz="0" w:space="0" w:color="auto"/>
      </w:divBdr>
    </w:div>
    <w:div w:id="1502819318">
      <w:bodyDiv w:val="1"/>
      <w:marLeft w:val="0"/>
      <w:marRight w:val="0"/>
      <w:marTop w:val="0"/>
      <w:marBottom w:val="0"/>
      <w:divBdr>
        <w:top w:val="none" w:sz="0" w:space="0" w:color="auto"/>
        <w:left w:val="none" w:sz="0" w:space="0" w:color="auto"/>
        <w:bottom w:val="none" w:sz="0" w:space="0" w:color="auto"/>
        <w:right w:val="none" w:sz="0" w:space="0" w:color="auto"/>
      </w:divBdr>
    </w:div>
    <w:div w:id="1502963216">
      <w:bodyDiv w:val="1"/>
      <w:marLeft w:val="0"/>
      <w:marRight w:val="0"/>
      <w:marTop w:val="0"/>
      <w:marBottom w:val="0"/>
      <w:divBdr>
        <w:top w:val="none" w:sz="0" w:space="0" w:color="auto"/>
        <w:left w:val="none" w:sz="0" w:space="0" w:color="auto"/>
        <w:bottom w:val="none" w:sz="0" w:space="0" w:color="auto"/>
        <w:right w:val="none" w:sz="0" w:space="0" w:color="auto"/>
      </w:divBdr>
    </w:div>
    <w:div w:id="1505319328">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28714230">
      <w:bodyDiv w:val="1"/>
      <w:marLeft w:val="0"/>
      <w:marRight w:val="0"/>
      <w:marTop w:val="0"/>
      <w:marBottom w:val="0"/>
      <w:divBdr>
        <w:top w:val="none" w:sz="0" w:space="0" w:color="auto"/>
        <w:left w:val="none" w:sz="0" w:space="0" w:color="auto"/>
        <w:bottom w:val="none" w:sz="0" w:space="0" w:color="auto"/>
        <w:right w:val="none" w:sz="0" w:space="0" w:color="auto"/>
      </w:divBdr>
    </w:div>
    <w:div w:id="1532840158">
      <w:bodyDiv w:val="1"/>
      <w:marLeft w:val="0"/>
      <w:marRight w:val="0"/>
      <w:marTop w:val="0"/>
      <w:marBottom w:val="0"/>
      <w:divBdr>
        <w:top w:val="none" w:sz="0" w:space="0" w:color="auto"/>
        <w:left w:val="none" w:sz="0" w:space="0" w:color="auto"/>
        <w:bottom w:val="none" w:sz="0" w:space="0" w:color="auto"/>
        <w:right w:val="none" w:sz="0" w:space="0" w:color="auto"/>
      </w:divBdr>
    </w:div>
    <w:div w:id="1534683001">
      <w:bodyDiv w:val="1"/>
      <w:marLeft w:val="0"/>
      <w:marRight w:val="0"/>
      <w:marTop w:val="0"/>
      <w:marBottom w:val="0"/>
      <w:divBdr>
        <w:top w:val="none" w:sz="0" w:space="0" w:color="auto"/>
        <w:left w:val="none" w:sz="0" w:space="0" w:color="auto"/>
        <w:bottom w:val="none" w:sz="0" w:space="0" w:color="auto"/>
        <w:right w:val="none" w:sz="0" w:space="0" w:color="auto"/>
      </w:divBdr>
    </w:div>
    <w:div w:id="1543395649">
      <w:bodyDiv w:val="1"/>
      <w:marLeft w:val="0"/>
      <w:marRight w:val="0"/>
      <w:marTop w:val="0"/>
      <w:marBottom w:val="0"/>
      <w:divBdr>
        <w:top w:val="none" w:sz="0" w:space="0" w:color="auto"/>
        <w:left w:val="none" w:sz="0" w:space="0" w:color="auto"/>
        <w:bottom w:val="none" w:sz="0" w:space="0" w:color="auto"/>
        <w:right w:val="none" w:sz="0" w:space="0" w:color="auto"/>
      </w:divBdr>
    </w:div>
    <w:div w:id="1553885709">
      <w:bodyDiv w:val="1"/>
      <w:marLeft w:val="0"/>
      <w:marRight w:val="0"/>
      <w:marTop w:val="0"/>
      <w:marBottom w:val="0"/>
      <w:divBdr>
        <w:top w:val="none" w:sz="0" w:space="0" w:color="auto"/>
        <w:left w:val="none" w:sz="0" w:space="0" w:color="auto"/>
        <w:bottom w:val="none" w:sz="0" w:space="0" w:color="auto"/>
        <w:right w:val="none" w:sz="0" w:space="0" w:color="auto"/>
      </w:divBdr>
    </w:div>
    <w:div w:id="1577400857">
      <w:bodyDiv w:val="1"/>
      <w:marLeft w:val="0"/>
      <w:marRight w:val="0"/>
      <w:marTop w:val="0"/>
      <w:marBottom w:val="0"/>
      <w:divBdr>
        <w:top w:val="none" w:sz="0" w:space="0" w:color="auto"/>
        <w:left w:val="none" w:sz="0" w:space="0" w:color="auto"/>
        <w:bottom w:val="none" w:sz="0" w:space="0" w:color="auto"/>
        <w:right w:val="none" w:sz="0" w:space="0" w:color="auto"/>
      </w:divBdr>
    </w:div>
    <w:div w:id="1584223110">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12398176">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651442374">
      <w:bodyDiv w:val="1"/>
      <w:marLeft w:val="0"/>
      <w:marRight w:val="0"/>
      <w:marTop w:val="0"/>
      <w:marBottom w:val="0"/>
      <w:divBdr>
        <w:top w:val="none" w:sz="0" w:space="0" w:color="auto"/>
        <w:left w:val="none" w:sz="0" w:space="0" w:color="auto"/>
        <w:bottom w:val="none" w:sz="0" w:space="0" w:color="auto"/>
        <w:right w:val="none" w:sz="0" w:space="0" w:color="auto"/>
      </w:divBdr>
    </w:div>
    <w:div w:id="1684669454">
      <w:bodyDiv w:val="1"/>
      <w:marLeft w:val="0"/>
      <w:marRight w:val="0"/>
      <w:marTop w:val="0"/>
      <w:marBottom w:val="0"/>
      <w:divBdr>
        <w:top w:val="none" w:sz="0" w:space="0" w:color="auto"/>
        <w:left w:val="none" w:sz="0" w:space="0" w:color="auto"/>
        <w:bottom w:val="none" w:sz="0" w:space="0" w:color="auto"/>
        <w:right w:val="none" w:sz="0" w:space="0" w:color="auto"/>
      </w:divBdr>
    </w:div>
    <w:div w:id="1687098757">
      <w:bodyDiv w:val="1"/>
      <w:marLeft w:val="0"/>
      <w:marRight w:val="0"/>
      <w:marTop w:val="0"/>
      <w:marBottom w:val="0"/>
      <w:divBdr>
        <w:top w:val="none" w:sz="0" w:space="0" w:color="auto"/>
        <w:left w:val="none" w:sz="0" w:space="0" w:color="auto"/>
        <w:bottom w:val="none" w:sz="0" w:space="0" w:color="auto"/>
        <w:right w:val="none" w:sz="0" w:space="0" w:color="auto"/>
      </w:divBdr>
    </w:div>
    <w:div w:id="1689524549">
      <w:bodyDiv w:val="1"/>
      <w:marLeft w:val="0"/>
      <w:marRight w:val="0"/>
      <w:marTop w:val="0"/>
      <w:marBottom w:val="0"/>
      <w:divBdr>
        <w:top w:val="none" w:sz="0" w:space="0" w:color="auto"/>
        <w:left w:val="none" w:sz="0" w:space="0" w:color="auto"/>
        <w:bottom w:val="none" w:sz="0" w:space="0" w:color="auto"/>
        <w:right w:val="none" w:sz="0" w:space="0" w:color="auto"/>
      </w:divBdr>
    </w:div>
    <w:div w:id="1691253848">
      <w:bodyDiv w:val="1"/>
      <w:marLeft w:val="0"/>
      <w:marRight w:val="0"/>
      <w:marTop w:val="0"/>
      <w:marBottom w:val="0"/>
      <w:divBdr>
        <w:top w:val="none" w:sz="0" w:space="0" w:color="auto"/>
        <w:left w:val="none" w:sz="0" w:space="0" w:color="auto"/>
        <w:bottom w:val="none" w:sz="0" w:space="0" w:color="auto"/>
        <w:right w:val="none" w:sz="0" w:space="0" w:color="auto"/>
      </w:divBdr>
    </w:div>
    <w:div w:id="1709644296">
      <w:bodyDiv w:val="1"/>
      <w:marLeft w:val="0"/>
      <w:marRight w:val="0"/>
      <w:marTop w:val="0"/>
      <w:marBottom w:val="0"/>
      <w:divBdr>
        <w:top w:val="none" w:sz="0" w:space="0" w:color="auto"/>
        <w:left w:val="none" w:sz="0" w:space="0" w:color="auto"/>
        <w:bottom w:val="none" w:sz="0" w:space="0" w:color="auto"/>
        <w:right w:val="none" w:sz="0" w:space="0" w:color="auto"/>
      </w:divBdr>
    </w:div>
    <w:div w:id="1727874079">
      <w:bodyDiv w:val="1"/>
      <w:marLeft w:val="0"/>
      <w:marRight w:val="0"/>
      <w:marTop w:val="0"/>
      <w:marBottom w:val="0"/>
      <w:divBdr>
        <w:top w:val="none" w:sz="0" w:space="0" w:color="auto"/>
        <w:left w:val="none" w:sz="0" w:space="0" w:color="auto"/>
        <w:bottom w:val="none" w:sz="0" w:space="0" w:color="auto"/>
        <w:right w:val="none" w:sz="0" w:space="0" w:color="auto"/>
      </w:divBdr>
    </w:div>
    <w:div w:id="1728720503">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764297713">
      <w:bodyDiv w:val="1"/>
      <w:marLeft w:val="0"/>
      <w:marRight w:val="0"/>
      <w:marTop w:val="0"/>
      <w:marBottom w:val="0"/>
      <w:divBdr>
        <w:top w:val="none" w:sz="0" w:space="0" w:color="auto"/>
        <w:left w:val="none" w:sz="0" w:space="0" w:color="auto"/>
        <w:bottom w:val="none" w:sz="0" w:space="0" w:color="auto"/>
        <w:right w:val="none" w:sz="0" w:space="0" w:color="auto"/>
      </w:divBdr>
    </w:div>
    <w:div w:id="1771899106">
      <w:bodyDiv w:val="1"/>
      <w:marLeft w:val="0"/>
      <w:marRight w:val="0"/>
      <w:marTop w:val="0"/>
      <w:marBottom w:val="0"/>
      <w:divBdr>
        <w:top w:val="none" w:sz="0" w:space="0" w:color="auto"/>
        <w:left w:val="none" w:sz="0" w:space="0" w:color="auto"/>
        <w:bottom w:val="none" w:sz="0" w:space="0" w:color="auto"/>
        <w:right w:val="none" w:sz="0" w:space="0" w:color="auto"/>
      </w:divBdr>
    </w:div>
    <w:div w:id="1789426441">
      <w:bodyDiv w:val="1"/>
      <w:marLeft w:val="0"/>
      <w:marRight w:val="0"/>
      <w:marTop w:val="0"/>
      <w:marBottom w:val="0"/>
      <w:divBdr>
        <w:top w:val="none" w:sz="0" w:space="0" w:color="auto"/>
        <w:left w:val="none" w:sz="0" w:space="0" w:color="auto"/>
        <w:bottom w:val="none" w:sz="0" w:space="0" w:color="auto"/>
        <w:right w:val="none" w:sz="0" w:space="0" w:color="auto"/>
      </w:divBdr>
    </w:div>
    <w:div w:id="1819568700">
      <w:bodyDiv w:val="1"/>
      <w:marLeft w:val="0"/>
      <w:marRight w:val="0"/>
      <w:marTop w:val="0"/>
      <w:marBottom w:val="0"/>
      <w:divBdr>
        <w:top w:val="none" w:sz="0" w:space="0" w:color="auto"/>
        <w:left w:val="none" w:sz="0" w:space="0" w:color="auto"/>
        <w:bottom w:val="none" w:sz="0" w:space="0" w:color="auto"/>
        <w:right w:val="none" w:sz="0" w:space="0" w:color="auto"/>
      </w:divBdr>
    </w:div>
    <w:div w:id="1839417133">
      <w:bodyDiv w:val="1"/>
      <w:marLeft w:val="0"/>
      <w:marRight w:val="0"/>
      <w:marTop w:val="0"/>
      <w:marBottom w:val="0"/>
      <w:divBdr>
        <w:top w:val="none" w:sz="0" w:space="0" w:color="auto"/>
        <w:left w:val="none" w:sz="0" w:space="0" w:color="auto"/>
        <w:bottom w:val="none" w:sz="0" w:space="0" w:color="auto"/>
        <w:right w:val="none" w:sz="0" w:space="0" w:color="auto"/>
      </w:divBdr>
    </w:div>
    <w:div w:id="1851990284">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70801405">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 w:id="1896424945">
      <w:bodyDiv w:val="1"/>
      <w:marLeft w:val="0"/>
      <w:marRight w:val="0"/>
      <w:marTop w:val="0"/>
      <w:marBottom w:val="0"/>
      <w:divBdr>
        <w:top w:val="none" w:sz="0" w:space="0" w:color="auto"/>
        <w:left w:val="none" w:sz="0" w:space="0" w:color="auto"/>
        <w:bottom w:val="none" w:sz="0" w:space="0" w:color="auto"/>
        <w:right w:val="none" w:sz="0" w:space="0" w:color="auto"/>
      </w:divBdr>
    </w:div>
    <w:div w:id="1906600440">
      <w:bodyDiv w:val="1"/>
      <w:marLeft w:val="0"/>
      <w:marRight w:val="0"/>
      <w:marTop w:val="0"/>
      <w:marBottom w:val="0"/>
      <w:divBdr>
        <w:top w:val="none" w:sz="0" w:space="0" w:color="auto"/>
        <w:left w:val="none" w:sz="0" w:space="0" w:color="auto"/>
        <w:bottom w:val="none" w:sz="0" w:space="0" w:color="auto"/>
        <w:right w:val="none" w:sz="0" w:space="0" w:color="auto"/>
      </w:divBdr>
    </w:div>
    <w:div w:id="1912613260">
      <w:bodyDiv w:val="1"/>
      <w:marLeft w:val="0"/>
      <w:marRight w:val="0"/>
      <w:marTop w:val="0"/>
      <w:marBottom w:val="0"/>
      <w:divBdr>
        <w:top w:val="none" w:sz="0" w:space="0" w:color="auto"/>
        <w:left w:val="none" w:sz="0" w:space="0" w:color="auto"/>
        <w:bottom w:val="none" w:sz="0" w:space="0" w:color="auto"/>
        <w:right w:val="none" w:sz="0" w:space="0" w:color="auto"/>
      </w:divBdr>
    </w:div>
    <w:div w:id="1913924022">
      <w:bodyDiv w:val="1"/>
      <w:marLeft w:val="0"/>
      <w:marRight w:val="0"/>
      <w:marTop w:val="0"/>
      <w:marBottom w:val="0"/>
      <w:divBdr>
        <w:top w:val="none" w:sz="0" w:space="0" w:color="auto"/>
        <w:left w:val="none" w:sz="0" w:space="0" w:color="auto"/>
        <w:bottom w:val="none" w:sz="0" w:space="0" w:color="auto"/>
        <w:right w:val="none" w:sz="0" w:space="0" w:color="auto"/>
      </w:divBdr>
    </w:div>
    <w:div w:id="1926956134">
      <w:bodyDiv w:val="1"/>
      <w:marLeft w:val="0"/>
      <w:marRight w:val="0"/>
      <w:marTop w:val="0"/>
      <w:marBottom w:val="0"/>
      <w:divBdr>
        <w:top w:val="none" w:sz="0" w:space="0" w:color="auto"/>
        <w:left w:val="none" w:sz="0" w:space="0" w:color="auto"/>
        <w:bottom w:val="none" w:sz="0" w:space="0" w:color="auto"/>
        <w:right w:val="none" w:sz="0" w:space="0" w:color="auto"/>
      </w:divBdr>
    </w:div>
    <w:div w:id="1940869298">
      <w:bodyDiv w:val="1"/>
      <w:marLeft w:val="0"/>
      <w:marRight w:val="0"/>
      <w:marTop w:val="0"/>
      <w:marBottom w:val="0"/>
      <w:divBdr>
        <w:top w:val="none" w:sz="0" w:space="0" w:color="auto"/>
        <w:left w:val="none" w:sz="0" w:space="0" w:color="auto"/>
        <w:bottom w:val="none" w:sz="0" w:space="0" w:color="auto"/>
        <w:right w:val="none" w:sz="0" w:space="0" w:color="auto"/>
      </w:divBdr>
    </w:div>
    <w:div w:id="1951549785">
      <w:bodyDiv w:val="1"/>
      <w:marLeft w:val="0"/>
      <w:marRight w:val="0"/>
      <w:marTop w:val="0"/>
      <w:marBottom w:val="0"/>
      <w:divBdr>
        <w:top w:val="none" w:sz="0" w:space="0" w:color="auto"/>
        <w:left w:val="none" w:sz="0" w:space="0" w:color="auto"/>
        <w:bottom w:val="none" w:sz="0" w:space="0" w:color="auto"/>
        <w:right w:val="none" w:sz="0" w:space="0" w:color="auto"/>
      </w:divBdr>
    </w:div>
    <w:div w:id="1953316285">
      <w:bodyDiv w:val="1"/>
      <w:marLeft w:val="0"/>
      <w:marRight w:val="0"/>
      <w:marTop w:val="0"/>
      <w:marBottom w:val="0"/>
      <w:divBdr>
        <w:top w:val="none" w:sz="0" w:space="0" w:color="auto"/>
        <w:left w:val="none" w:sz="0" w:space="0" w:color="auto"/>
        <w:bottom w:val="none" w:sz="0" w:space="0" w:color="auto"/>
        <w:right w:val="none" w:sz="0" w:space="0" w:color="auto"/>
      </w:divBdr>
    </w:div>
    <w:div w:id="2001809697">
      <w:bodyDiv w:val="1"/>
      <w:marLeft w:val="0"/>
      <w:marRight w:val="0"/>
      <w:marTop w:val="0"/>
      <w:marBottom w:val="0"/>
      <w:divBdr>
        <w:top w:val="none" w:sz="0" w:space="0" w:color="auto"/>
        <w:left w:val="none" w:sz="0" w:space="0" w:color="auto"/>
        <w:bottom w:val="none" w:sz="0" w:space="0" w:color="auto"/>
        <w:right w:val="none" w:sz="0" w:space="0" w:color="auto"/>
      </w:divBdr>
    </w:div>
    <w:div w:id="2002006620">
      <w:bodyDiv w:val="1"/>
      <w:marLeft w:val="0"/>
      <w:marRight w:val="0"/>
      <w:marTop w:val="0"/>
      <w:marBottom w:val="0"/>
      <w:divBdr>
        <w:top w:val="none" w:sz="0" w:space="0" w:color="auto"/>
        <w:left w:val="none" w:sz="0" w:space="0" w:color="auto"/>
        <w:bottom w:val="none" w:sz="0" w:space="0" w:color="auto"/>
        <w:right w:val="none" w:sz="0" w:space="0" w:color="auto"/>
      </w:divBdr>
    </w:div>
    <w:div w:id="2066830414">
      <w:bodyDiv w:val="1"/>
      <w:marLeft w:val="0"/>
      <w:marRight w:val="0"/>
      <w:marTop w:val="0"/>
      <w:marBottom w:val="0"/>
      <w:divBdr>
        <w:top w:val="none" w:sz="0" w:space="0" w:color="auto"/>
        <w:left w:val="none" w:sz="0" w:space="0" w:color="auto"/>
        <w:bottom w:val="none" w:sz="0" w:space="0" w:color="auto"/>
        <w:right w:val="none" w:sz="0" w:space="0" w:color="auto"/>
      </w:divBdr>
    </w:div>
    <w:div w:id="2067407318">
      <w:bodyDiv w:val="1"/>
      <w:marLeft w:val="0"/>
      <w:marRight w:val="0"/>
      <w:marTop w:val="0"/>
      <w:marBottom w:val="0"/>
      <w:divBdr>
        <w:top w:val="none" w:sz="0" w:space="0" w:color="auto"/>
        <w:left w:val="none" w:sz="0" w:space="0" w:color="auto"/>
        <w:bottom w:val="none" w:sz="0" w:space="0" w:color="auto"/>
        <w:right w:val="none" w:sz="0" w:space="0" w:color="auto"/>
      </w:divBdr>
    </w:div>
    <w:div w:id="2074888604">
      <w:bodyDiv w:val="1"/>
      <w:marLeft w:val="0"/>
      <w:marRight w:val="0"/>
      <w:marTop w:val="0"/>
      <w:marBottom w:val="0"/>
      <w:divBdr>
        <w:top w:val="none" w:sz="0" w:space="0" w:color="auto"/>
        <w:left w:val="none" w:sz="0" w:space="0" w:color="auto"/>
        <w:bottom w:val="none" w:sz="0" w:space="0" w:color="auto"/>
        <w:right w:val="none" w:sz="0" w:space="0" w:color="auto"/>
      </w:divBdr>
    </w:div>
    <w:div w:id="2079594518">
      <w:bodyDiv w:val="1"/>
      <w:marLeft w:val="0"/>
      <w:marRight w:val="0"/>
      <w:marTop w:val="0"/>
      <w:marBottom w:val="0"/>
      <w:divBdr>
        <w:top w:val="none" w:sz="0" w:space="0" w:color="auto"/>
        <w:left w:val="none" w:sz="0" w:space="0" w:color="auto"/>
        <w:bottom w:val="none" w:sz="0" w:space="0" w:color="auto"/>
        <w:right w:val="none" w:sz="0" w:space="0" w:color="auto"/>
      </w:divBdr>
    </w:div>
    <w:div w:id="2088765215">
      <w:bodyDiv w:val="1"/>
      <w:marLeft w:val="0"/>
      <w:marRight w:val="0"/>
      <w:marTop w:val="0"/>
      <w:marBottom w:val="0"/>
      <w:divBdr>
        <w:top w:val="none" w:sz="0" w:space="0" w:color="auto"/>
        <w:left w:val="none" w:sz="0" w:space="0" w:color="auto"/>
        <w:bottom w:val="none" w:sz="0" w:space="0" w:color="auto"/>
        <w:right w:val="none" w:sz="0" w:space="0" w:color="auto"/>
      </w:divBdr>
    </w:div>
    <w:div w:id="21424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1.xml"/><Relationship Id="rId42" Type="http://schemas.openxmlformats.org/officeDocument/2006/relationships/hyperlink" Target="https://www.fpsregs.org/index.php/member-area/age-discrimination-remedy-useful-information" TargetMode="External"/><Relationship Id="rId47" Type="http://schemas.openxmlformats.org/officeDocument/2006/relationships/hyperlink" Target="https://url.uk.m.mimecastprotect.com/s/HR0BCP1JWI3XMrxS0hRFxwQmr" TargetMode="External"/><Relationship Id="rId63" Type="http://schemas.openxmlformats.org/officeDocument/2006/relationships/hyperlink" Target="http://webarchive.nationalarchives.gov.uk/20120919152859tf_/http:/www.communities.gov.uk/fire/firerescueservice/firefighterpensions/firefighterspensionscheme/" TargetMode="External"/><Relationship Id="rId68" Type="http://schemas.openxmlformats.org/officeDocument/2006/relationships/hyperlink" Target="https://www.lgpsregs.org/" TargetMode="External"/><Relationship Id="rId2" Type="http://schemas.openxmlformats.org/officeDocument/2006/relationships/numbering" Target="numbering.xml"/><Relationship Id="rId16" Type="http://schemas.openxmlformats.org/officeDocument/2006/relationships/image" Target="cid:image005.png@01D8E9F1.C296EA10" TargetMode="External"/><Relationship Id="rId29" Type="http://schemas.openxmlformats.org/officeDocument/2006/relationships/chart" Target="charts/chart8.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hyperlink" Target="mailto:Matthews@wypf.org.uk" TargetMode="External"/><Relationship Id="rId37" Type="http://schemas.openxmlformats.org/officeDocument/2006/relationships/hyperlink" Target="https://fpsregs.org/images/Bulletins/Bulletin-86-October-2024/FPS-Bulletin-86-October-2024.pdf" TargetMode="External"/><Relationship Id="rId40" Type="http://schemas.openxmlformats.org/officeDocument/2006/relationships/hyperlink" Target="https://www.gov.uk/government/publications/public-service-pensions-remedy-newsletter-september-2024/5f1e138d-e1d3-467e-a7bf-e63fe29827e3" TargetMode="External"/><Relationship Id="rId45" Type="http://schemas.openxmlformats.org/officeDocument/2006/relationships/hyperlink" Target="https://www.fpsregs.org/images/Bulletins/Bulletin-81-May-2024/FPS-Bulletin-81-May-2024.pdf" TargetMode="External"/><Relationship Id="rId53" Type="http://schemas.openxmlformats.org/officeDocument/2006/relationships/hyperlink" Target="mailto:bluelightpensions@local.gov.uk" TargetMode="External"/><Relationship Id="rId58" Type="http://schemas.openxmlformats.org/officeDocument/2006/relationships/hyperlink" Target="https://assets.publishing.service.gov.uk/government/uploads/system/uploads/attachment_data/file/1181505/The_Public_Service_Pensions__Valuations_and_Employer_Cost_Cap__Directions_2023_-_Final.pdf" TargetMode="External"/><Relationship Id="rId66" Type="http://schemas.openxmlformats.org/officeDocument/2006/relationships/hyperlink" Target="https://www.pensions-ombudsman.org.uk/"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fpsmember.org/" TargetMode="External"/><Relationship Id="rId19" Type="http://schemas.openxmlformats.org/officeDocument/2006/relationships/image" Target="media/image6.jpeg"/><Relationship Id="rId14" Type="http://schemas.openxmlformats.org/officeDocument/2006/relationships/image" Target="cid:image004.jpg@01D8E9F1.C296EA10"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hyperlink" Target="mailto:Omaira.Dean@wypf.org.uk" TargetMode="External"/><Relationship Id="rId35" Type="http://schemas.openxmlformats.org/officeDocument/2006/relationships/hyperlink" Target="https://www.gov.uk/government/consultations/inheritance-tax-on-pensions-liability-reporting-and-payment/technical-consultation-inheritance-tax-on-pensions-liability-reporting-and-payment" TargetMode="External"/><Relationship Id="rId43" Type="http://schemas.openxmlformats.org/officeDocument/2006/relationships/hyperlink" Target="https://www.fpsregs.org/images/Bulletins/Bulletin-77-January-2024/FPS-Bulletin-77-January-2024-updated.pdf" TargetMode="External"/><Relationship Id="rId48" Type="http://schemas.openxmlformats.org/officeDocument/2006/relationships/hyperlink" Target="https://url.uk.m.mimecastprotect.com/s/p-pfCQ1LgIoPrEWSMivFGPU2x" TargetMode="External"/><Relationship Id="rId56" Type="http://schemas.openxmlformats.org/officeDocument/2006/relationships/hyperlink" Target="mailto:bluelightpensions@local.gov.uk" TargetMode="External"/><Relationship Id="rId64" Type="http://schemas.openxmlformats.org/officeDocument/2006/relationships/hyperlink" Target="http://www.thepensionsregulator.gov.uk/public-service-schemes.aspx" TargetMode="External"/><Relationship Id="rId69" Type="http://schemas.openxmlformats.org/officeDocument/2006/relationships/hyperlink" Target="https://lgpsregs.org/bulletinsetc/bulletins.php" TargetMode="External"/><Relationship Id="rId8" Type="http://schemas.openxmlformats.org/officeDocument/2006/relationships/image" Target="media/image1.png"/><Relationship Id="rId51" Type="http://schemas.openxmlformats.org/officeDocument/2006/relationships/hyperlink" Target="http://www.fpsregs.org/images/Age-discrimination/RSS/RSS-monthly-data-spreadsheet-october.xlsx" TargetMode="External"/><Relationship Id="rId72" Type="http://schemas.openxmlformats.org/officeDocument/2006/relationships/hyperlink" Target="https://www.pasa-uk.com/guidance-2/" TargetMode="External"/><Relationship Id="rId3" Type="http://schemas.openxmlformats.org/officeDocument/2006/relationships/styles" Target="styles.xml"/><Relationship Id="rId12" Type="http://schemas.openxmlformats.org/officeDocument/2006/relationships/image" Target="cid:image003.jpg@01D8E9F1.C296EA10" TargetMode="Externa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hyperlink" Target="mailto:laura.taylorson@wypf.org.uk" TargetMode="External"/><Relationship Id="rId38" Type="http://schemas.openxmlformats.org/officeDocument/2006/relationships/hyperlink" Target="https://www.fpsregs.org/images/Bulletins/Bulletin-85-September-2024/FPS-Bulletin-85-September-2024.pdf" TargetMode="External"/><Relationship Id="rId46" Type="http://schemas.openxmlformats.org/officeDocument/2006/relationships/hyperlink" Target="https://www.fpsregs.org/images/Age-discrimination/Age-discrimination-remedy-Statutory-deadlines-factsheet-v1.1.pdf" TargetMode="External"/><Relationship Id="rId59" Type="http://schemas.openxmlformats.org/officeDocument/2006/relationships/hyperlink" Target="http://www.fpsboard.org/" TargetMode="External"/><Relationship Id="rId67" Type="http://schemas.openxmlformats.org/officeDocument/2006/relationships/hyperlink" Target="https://www.local.gov.uk/our-support/workforce-and-hr-support/local-government-pensions" TargetMode="External"/><Relationship Id="rId20" Type="http://schemas.openxmlformats.org/officeDocument/2006/relationships/image" Target="cid:image006.jpg@01D8E9F1.C296EA10" TargetMode="External"/><Relationship Id="rId41" Type="http://schemas.openxmlformats.org/officeDocument/2006/relationships/hyperlink" Target="http://www.fpsregs.org/" TargetMode="External"/><Relationship Id="rId54" Type="http://schemas.openxmlformats.org/officeDocument/2006/relationships/hyperlink" Target="https://www.fpsregs.org/images/Events/Coffee-mornings/Unauthorised-payments-process-for-offsetting.pdf" TargetMode="External"/><Relationship Id="rId62" Type="http://schemas.openxmlformats.org/officeDocument/2006/relationships/hyperlink" Target="https://khub.net/group/thefirefighterspensionsdiscussionforum" TargetMode="External"/><Relationship Id="rId70" Type="http://schemas.openxmlformats.org/officeDocument/2006/relationships/hyperlink" Target="https://www.thepensionsregulator.gov.uk/en/trustees/contributions-data-and-transfers/dashboards-guidanc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yperlink" Target="https://www.wypf.org.uk/pre-retirement-courses/" TargetMode="External"/><Relationship Id="rId49" Type="http://schemas.openxmlformats.org/officeDocument/2006/relationships/hyperlink" Target="mailto:Fire.2020Valuation@gad.gov.uk" TargetMode="External"/><Relationship Id="rId57" Type="http://schemas.openxmlformats.org/officeDocument/2006/relationships/hyperlink" Target="http://www.legislation.gov.uk/id/uksi/2023/986" TargetMode="External"/><Relationship Id="rId10" Type="http://schemas.openxmlformats.org/officeDocument/2006/relationships/hyperlink" Target="http://www.facebook.com/westyorkshirepensionfund" TargetMode="External"/><Relationship Id="rId31" Type="http://schemas.openxmlformats.org/officeDocument/2006/relationships/hyperlink" Target="mailto:pensions@wypf.org.uk" TargetMode="External"/><Relationship Id="rId44" Type="http://schemas.openxmlformats.org/officeDocument/2006/relationships/hyperlink" Target="https://www.fpsregs.org/images/Age-discrimination/RSS/Remediable-Service-Statement-Factsheet.pdf" TargetMode="External"/><Relationship Id="rId52" Type="http://schemas.openxmlformats.org/officeDocument/2006/relationships/hyperlink" Target="mailto:bluelightpensions@local.gov.uk" TargetMode="External"/><Relationship Id="rId60" Type="http://schemas.openxmlformats.org/officeDocument/2006/relationships/hyperlink" Target="http://www.fpsregs.org/" TargetMode="External"/><Relationship Id="rId65" Type="http://schemas.openxmlformats.org/officeDocument/2006/relationships/hyperlink" Target="https://www.pensions-ombudsman.org.uk/"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witter.com/wypf_lgps" TargetMode="External"/><Relationship Id="rId13" Type="http://schemas.openxmlformats.org/officeDocument/2006/relationships/image" Target="media/image3.jpeg"/><Relationship Id="rId18" Type="http://schemas.openxmlformats.org/officeDocument/2006/relationships/image" Target="cid:image007.png@01D8E9F1.C296EA10" TargetMode="External"/><Relationship Id="rId39" Type="http://schemas.openxmlformats.org/officeDocument/2006/relationships/hyperlink" Target="https://www.gov.uk/government/publications/public-service-pensions-remedy-newsletter-september-2024/5f1e138d-e1d3-467e-a7bf-e63fe29827e3" TargetMode="External"/><Relationship Id="rId34" Type="http://schemas.openxmlformats.org/officeDocument/2006/relationships/hyperlink" Target="https://www.wypf.org.uk/fra-zone/fra-forms-guides-and-factsheets/" TargetMode="External"/><Relationship Id="rId50" Type="http://schemas.openxmlformats.org/officeDocument/2006/relationships/hyperlink" Target="mailto:Fire.2020Valuation@gad.gov.uk" TargetMode="External"/><Relationship Id="rId55" Type="http://schemas.openxmlformats.org/officeDocument/2006/relationships/hyperlink" Target="https://www.fpsregs.org/images/Events/Coffee-mornings/Coffee-morning-22-October-2024-Matthews-update-v2.pdf" TargetMode="External"/><Relationship Id="rId7" Type="http://schemas.openxmlformats.org/officeDocument/2006/relationships/endnotes" Target="endnotes.xml"/><Relationship Id="rId71" Type="http://schemas.openxmlformats.org/officeDocument/2006/relationships/hyperlink" Target="https://www.gov.uk/government/publications/pensions-dashboards-guidance-on-connection-the-staged-timetable"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file:///\\svappenbhschv\pensions\Matt.Suki\Fire\Monthly%20Fire%20reports%20charts%20&amp;%20data\Deferreds%20Membership%20chart.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svappenbhschv\pensions\Matt.Suki\Fire\Monthly%20Fire%20reports%20charts%20&amp;%20data\Pensioners%20Membership%20char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 Completed processes chart (KPIs).xlsx]Chart!PivotTable7</c:name>
    <c:fmtId val="974"/>
  </c:pivotSource>
  <c:chart>
    <c:title>
      <c:tx>
        <c:strRef>
          <c:f>Chart!$A$19</c:f>
          <c:strCache>
            <c:ptCount val="1"/>
            <c:pt idx="0">
              <c:v>Completed Processes - Nottinghamshire Fire</c:v>
            </c:pt>
          </c:strCache>
        </c:strRef>
      </c:tx>
      <c:layout>
        <c:manualLayout>
          <c:xMode val="edge"/>
          <c:yMode val="edge"/>
          <c:x val="0.19082106814933314"/>
          <c:y val="0.1074912667749052"/>
        </c:manualLayout>
      </c:layout>
      <c:overlay val="0"/>
      <c:txPr>
        <a:bodyPr/>
        <a:lstStyle/>
        <a:p>
          <a:pPr>
            <a:defRPr sz="1400" b="0"/>
          </a:pPr>
          <a:endParaRPr lang="en-US"/>
        </a:p>
      </c:txPr>
    </c:title>
    <c:autoTitleDeleted val="0"/>
    <c:pivotFmts>
      <c:pivotFmt>
        <c:idx val="0"/>
        <c:spPr>
          <a:solidFill>
            <a:schemeClr val="accent6"/>
          </a:solidFill>
          <a:ln>
            <a:noFill/>
          </a:ln>
          <a:effectLst/>
        </c:spPr>
        <c:marker>
          <c:symbol val="none"/>
        </c:marker>
      </c:pivotFmt>
      <c:pivotFmt>
        <c:idx val="1"/>
        <c:spPr>
          <a:solidFill>
            <a:schemeClr val="accent6"/>
          </a:solidFill>
        </c:spPr>
        <c:marker>
          <c:symbol val="none"/>
        </c:marker>
      </c:pivotFmt>
      <c:pivotFmt>
        <c:idx val="2"/>
        <c:spPr>
          <a:solidFill>
            <a:schemeClr val="accent6"/>
          </a:solidFill>
        </c:spPr>
        <c:marker>
          <c:symbol val="none"/>
        </c:marker>
        <c:dLbl>
          <c:idx val="0"/>
          <c:delete val="1"/>
          <c:extLst>
            <c:ext xmlns:c15="http://schemas.microsoft.com/office/drawing/2012/chart" uri="{CE6537A1-D6FC-4f65-9D91-7224C49458BB}"/>
          </c:extLst>
        </c:dLbl>
      </c:pivotFmt>
      <c:pivotFmt>
        <c:idx val="3"/>
        <c:spPr>
          <a:solidFill>
            <a:schemeClr val="accent6"/>
          </a:solidFill>
        </c:spPr>
        <c:marker>
          <c:symbol val="none"/>
        </c:marker>
        <c:dLbl>
          <c:idx val="0"/>
          <c:delete val="1"/>
          <c:extLst>
            <c:ext xmlns:c15="http://schemas.microsoft.com/office/drawing/2012/chart" uri="{CE6537A1-D6FC-4f65-9D91-7224C49458BB}"/>
          </c:extLst>
        </c:dLbl>
      </c:pivotFmt>
      <c:pivotFmt>
        <c:idx val="4"/>
        <c:spPr>
          <a:solidFill>
            <a:schemeClr val="accent6"/>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9.6639542483660135E-2"/>
          <c:y val="0.3061584040192401"/>
          <c:w val="0.84077287581699345"/>
          <c:h val="0.40059252250121102"/>
        </c:manualLayout>
      </c:layout>
      <c:barChart>
        <c:barDir val="col"/>
        <c:grouping val="clustered"/>
        <c:varyColors val="0"/>
        <c:ser>
          <c:idx val="0"/>
          <c:order val="0"/>
          <c:tx>
            <c:strRef>
              <c:f>Chart!$B$3</c:f>
              <c:strCache>
                <c:ptCount val="1"/>
                <c:pt idx="0">
                  <c:v>Total</c:v>
                </c:pt>
              </c:strCache>
            </c:strRef>
          </c:tx>
          <c:spPr>
            <a:solidFill>
              <a:schemeClr val="accent6"/>
            </a:solidFill>
          </c:spPr>
          <c:invertIfNegative val="0"/>
          <c:cat>
            <c:strRef>
              <c:f>Chart!$A$19</c:f>
              <c:strCache>
                <c:ptCount val="12"/>
                <c:pt idx="0">
                  <c:v>Nov-23</c:v>
                </c:pt>
                <c:pt idx="1">
                  <c:v>Dec-23</c:v>
                </c:pt>
                <c:pt idx="2">
                  <c:v>Jan-24</c:v>
                </c:pt>
                <c:pt idx="3">
                  <c:v>Feb-24</c:v>
                </c:pt>
                <c:pt idx="4">
                  <c:v>Mar-24</c:v>
                </c:pt>
                <c:pt idx="5">
                  <c:v>Apr-24</c:v>
                </c:pt>
                <c:pt idx="6">
                  <c:v>May-24</c:v>
                </c:pt>
                <c:pt idx="7">
                  <c:v>Jun-24</c:v>
                </c:pt>
                <c:pt idx="8">
                  <c:v>Jul-24</c:v>
                </c:pt>
                <c:pt idx="9">
                  <c:v>Aug-24</c:v>
                </c:pt>
                <c:pt idx="10">
                  <c:v>Sep-24</c:v>
                </c:pt>
                <c:pt idx="11">
                  <c:v>Oct-24</c:v>
                </c:pt>
              </c:strCache>
            </c:strRef>
          </c:cat>
          <c:val>
            <c:numRef>
              <c:f>Chart!$A$19</c:f>
              <c:numCache>
                <c:formatCode>General</c:formatCode>
                <c:ptCount val="12"/>
                <c:pt idx="0">
                  <c:v>12</c:v>
                </c:pt>
                <c:pt idx="1">
                  <c:v>13</c:v>
                </c:pt>
                <c:pt idx="2">
                  <c:v>30</c:v>
                </c:pt>
                <c:pt idx="3">
                  <c:v>42</c:v>
                </c:pt>
                <c:pt idx="4">
                  <c:v>36</c:v>
                </c:pt>
                <c:pt idx="5">
                  <c:v>33</c:v>
                </c:pt>
                <c:pt idx="6">
                  <c:v>27</c:v>
                </c:pt>
                <c:pt idx="7">
                  <c:v>9</c:v>
                </c:pt>
                <c:pt idx="8">
                  <c:v>16</c:v>
                </c:pt>
                <c:pt idx="9">
                  <c:v>34</c:v>
                </c:pt>
                <c:pt idx="10">
                  <c:v>21</c:v>
                </c:pt>
                <c:pt idx="11">
                  <c:v>12</c:v>
                </c:pt>
              </c:numCache>
            </c:numRef>
          </c:val>
          <c:extLst>
            <c:ext xmlns:c16="http://schemas.microsoft.com/office/drawing/2014/chart" uri="{C3380CC4-5D6E-409C-BE32-E72D297353CC}">
              <c16:uniqueId val="{00000000-F1FD-455C-BB51-D7500C71D5EC}"/>
            </c:ext>
          </c:extLst>
        </c:ser>
        <c:dLbls>
          <c:showLegendKey val="0"/>
          <c:showVal val="0"/>
          <c:showCatName val="0"/>
          <c:showSerName val="0"/>
          <c:showPercent val="0"/>
          <c:showBubbleSize val="0"/>
        </c:dLbls>
        <c:gapWidth val="219"/>
        <c:overlap val="-27"/>
        <c:axId val="56034048"/>
        <c:axId val="105809024"/>
      </c:barChart>
      <c:catAx>
        <c:axId val="56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9024"/>
        <c:crosses val="autoZero"/>
        <c:auto val="1"/>
        <c:lblAlgn val="ctr"/>
        <c:lblOffset val="100"/>
        <c:noMultiLvlLbl val="0"/>
      </c:catAx>
      <c:valAx>
        <c:axId val="1058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34048"/>
        <c:crosses val="autoZero"/>
        <c:crossBetween val="between"/>
        <c:majorUnit val="50"/>
      </c:valAx>
      <c:dTable>
        <c:showHorzBorder val="1"/>
        <c:showVertBorder val="1"/>
        <c:showOutline val="1"/>
        <c:showKeys val="1"/>
      </c:dTable>
      <c:spPr>
        <a:noFill/>
        <a:ln>
          <a:noFill/>
        </a:ln>
        <a:effectLst/>
      </c:spPr>
    </c:plotArea>
    <c:legend>
      <c:legendPos val="r"/>
      <c:layout>
        <c:manualLayout>
          <c:xMode val="edge"/>
          <c:yMode val="edge"/>
          <c:x val="0.91040151515151513"/>
          <c:y val="0.3608146981627296"/>
          <c:w val="7.6770202020202016E-2"/>
          <c:h val="0.11750078740157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420000"/>
    <a:lstStyle/>
    <a:p>
      <a:pPr>
        <a:defRPr/>
      </a:pPr>
      <a:endParaRPr lang="en-US"/>
    </a:p>
  </c:txPr>
  <c:externalData r:id="rId2">
    <c:autoUpdate val="0"/>
  </c:externalData>
  <c:userShapes r:id="rId3"/>
  <c:extLst>
    <c:ext xmlns:c14="http://schemas.microsoft.com/office/drawing/2007/8/2/chart" uri="{781A3756-C4B2-4CAC-9D66-4F8BD8637D16}">
      <c14:pivotOptions>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[3 Work outstanding work charts.xlsx]Chart active!PivotTable5</c:name>
    <c:fmtId val="958"/>
  </c:pivotSource>
  <c:chart>
    <c:title>
      <c:tx>
        <c:strRef>
          <c:f>'Chart active'!$A$20</c:f>
          <c:strCache>
            <c:ptCount val="1"/>
            <c:pt idx="0">
              <c:v>Outstanding Work Active -  Nottinghamshire Fire</c:v>
            </c:pt>
          </c:strCache>
        </c:strRef>
      </c:tx>
      <c:layout>
        <c:manualLayout>
          <c:xMode val="edge"/>
          <c:yMode val="edge"/>
          <c:x val="0.1786307291666667"/>
          <c:y val="3.19018518518518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4897222222222226E-2"/>
          <c:y val="0.16020582010582007"/>
          <c:w val="0.84157482885681478"/>
          <c:h val="0.62992168445886421"/>
        </c:manualLayout>
      </c:layout>
      <c:barChart>
        <c:barDir val="col"/>
        <c:grouping val="clustered"/>
        <c:varyColors val="0"/>
        <c:ser>
          <c:idx val="0"/>
          <c:order val="0"/>
          <c:tx>
            <c:strRef>
              <c:f>'Chart active'!$B$4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active'!$A$20</c:f>
              <c:strCache>
                <c:ptCount val="10"/>
                <c:pt idx="0">
                  <c:v>Childrens</c:v>
                </c:pt>
                <c:pt idx="1">
                  <c:v>Current Member</c:v>
                </c:pt>
                <c:pt idx="2">
                  <c:v>Deaths</c:v>
                </c:pt>
                <c:pt idx="3">
                  <c:v>Early Leavers</c:v>
                </c:pt>
                <c:pt idx="4">
                  <c:v>Estimates</c:v>
                </c:pt>
                <c:pt idx="5">
                  <c:v>Incapacity</c:v>
                </c:pt>
                <c:pt idx="6">
                  <c:v>Misc</c:v>
                </c:pt>
                <c:pt idx="7">
                  <c:v>Payroll</c:v>
                </c:pt>
                <c:pt idx="8">
                  <c:v>Retirements</c:v>
                </c:pt>
                <c:pt idx="9">
                  <c:v>Transfers</c:v>
                </c:pt>
              </c:strCache>
            </c:strRef>
          </c:cat>
          <c:val>
            <c:numRef>
              <c:f>'Chart active'!$A$20</c:f>
              <c:numCache>
                <c:formatCode>General</c:formatCode>
                <c:ptCount val="10"/>
                <c:pt idx="0">
                  <c:v>1</c:v>
                </c:pt>
                <c:pt idx="1">
                  <c:v>3</c:v>
                </c:pt>
                <c:pt idx="2">
                  <c:v>3</c:v>
                </c:pt>
                <c:pt idx="3">
                  <c:v>29</c:v>
                </c:pt>
                <c:pt idx="4">
                  <c:v>11</c:v>
                </c:pt>
                <c:pt idx="5">
                  <c:v>0</c:v>
                </c:pt>
                <c:pt idx="6">
                  <c:v>18</c:v>
                </c:pt>
                <c:pt idx="7">
                  <c:v>2</c:v>
                </c:pt>
                <c:pt idx="8">
                  <c:v>6</c:v>
                </c:pt>
                <c:pt idx="9">
                  <c:v>15</c:v>
                </c:pt>
              </c:numCache>
            </c:numRef>
          </c:val>
          <c:extLst>
            <c:ext xmlns:c16="http://schemas.microsoft.com/office/drawing/2014/chart" uri="{C3380CC4-5D6E-409C-BE32-E72D297353CC}">
              <c16:uniqueId val="{00000000-85B9-4D15-8D1F-DB7E08546DE5}"/>
            </c:ext>
          </c:extLst>
        </c:ser>
        <c:dLbls>
          <c:dLblPos val="outEnd"/>
          <c:showLegendKey val="0"/>
          <c:showVal val="1"/>
          <c:showCatName val="0"/>
          <c:showSerName val="0"/>
          <c:showPercent val="0"/>
          <c:showBubbleSize val="0"/>
        </c:dLbls>
        <c:gapWidth val="219"/>
        <c:overlap val="-27"/>
        <c:axId val="95288320"/>
        <c:axId val="98169984"/>
      </c:barChart>
      <c:catAx>
        <c:axId val="9528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a:t>
                </a:r>
                <a:r>
                  <a:rPr lang="en-US" baseline="0"/>
                  <a:t> at end October 2024</a:t>
                </a:r>
                <a:endParaRPr lang="en-US"/>
              </a:p>
            </c:rich>
          </c:tx>
          <c:layout>
            <c:manualLayout>
              <c:xMode val="edge"/>
              <c:yMode val="edge"/>
              <c:x val="0.37590502274172249"/>
              <c:y val="0.933151217092597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9984"/>
        <c:crosses val="autoZero"/>
        <c:auto val="1"/>
        <c:lblAlgn val="ctr"/>
        <c:lblOffset val="100"/>
        <c:noMultiLvlLbl val="0"/>
      </c:catAx>
      <c:valAx>
        <c:axId val="981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[3 Work outstanding work charts.xlsx]Chart pended!PivotTable7</c:name>
    <c:fmtId val="922"/>
  </c:pivotSource>
  <c:chart>
    <c:title>
      <c:tx>
        <c:strRef>
          <c:f>'Chart pended'!$A$20</c:f>
          <c:strCache>
            <c:ptCount val="1"/>
            <c:pt idx="0">
              <c:v>Outstanding Work Pending -  Nottinghamshire Fire</c:v>
            </c:pt>
          </c:strCache>
        </c:strRef>
      </c:tx>
      <c:layout>
        <c:manualLayout>
          <c:xMode val="edge"/>
          <c:yMode val="edge"/>
          <c:x val="0.15928819444444448"/>
          <c:y val="5.21169312169312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8005423729690937E-2"/>
          <c:y val="0.19877972150032969"/>
          <c:w val="0.83038301101383605"/>
          <c:h val="0.55154613026312882"/>
        </c:manualLayout>
      </c:layout>
      <c:barChart>
        <c:barDir val="col"/>
        <c:grouping val="clustered"/>
        <c:varyColors val="0"/>
        <c:ser>
          <c:idx val="0"/>
          <c:order val="0"/>
          <c:tx>
            <c:strRef>
              <c:f>'Chart pended'!$B$4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pended'!$A$20</c:f>
              <c:strCache>
                <c:ptCount val="10"/>
                <c:pt idx="0">
                  <c:v>Childrens</c:v>
                </c:pt>
                <c:pt idx="1">
                  <c:v>Current Member</c:v>
                </c:pt>
                <c:pt idx="2">
                  <c:v>Deaths</c:v>
                </c:pt>
                <c:pt idx="3">
                  <c:v>Early Leavers</c:v>
                </c:pt>
                <c:pt idx="4">
                  <c:v>Estimates</c:v>
                </c:pt>
                <c:pt idx="5">
                  <c:v>Incapacity</c:v>
                </c:pt>
                <c:pt idx="6">
                  <c:v>Misc</c:v>
                </c:pt>
                <c:pt idx="7">
                  <c:v>Payroll</c:v>
                </c:pt>
                <c:pt idx="8">
                  <c:v>Retirements</c:v>
                </c:pt>
                <c:pt idx="9">
                  <c:v>Transfers</c:v>
                </c:pt>
              </c:strCache>
            </c:strRef>
          </c:cat>
          <c:val>
            <c:numRef>
              <c:f>'Chart pended'!$A$20</c:f>
              <c:numCache>
                <c:formatCode>General</c:formatCode>
                <c:ptCount val="10"/>
                <c:pt idx="0">
                  <c:v>1</c:v>
                </c:pt>
                <c:pt idx="1">
                  <c:v>0</c:v>
                </c:pt>
                <c:pt idx="2">
                  <c:v>2</c:v>
                </c:pt>
                <c:pt idx="3">
                  <c:v>2</c:v>
                </c:pt>
                <c:pt idx="4">
                  <c:v>0</c:v>
                </c:pt>
                <c:pt idx="5">
                  <c:v>1</c:v>
                </c:pt>
                <c:pt idx="6">
                  <c:v>5</c:v>
                </c:pt>
                <c:pt idx="7">
                  <c:v>0</c:v>
                </c:pt>
                <c:pt idx="8">
                  <c:v>4</c:v>
                </c:pt>
                <c:pt idx="9">
                  <c:v>5</c:v>
                </c:pt>
              </c:numCache>
            </c:numRef>
          </c:val>
          <c:extLst>
            <c:ext xmlns:c16="http://schemas.microsoft.com/office/drawing/2014/chart" uri="{C3380CC4-5D6E-409C-BE32-E72D297353CC}">
              <c16:uniqueId val="{00000000-B357-4DDA-8615-5764223A4A5A}"/>
            </c:ext>
          </c:extLst>
        </c:ser>
        <c:dLbls>
          <c:dLblPos val="outEnd"/>
          <c:showLegendKey val="0"/>
          <c:showVal val="1"/>
          <c:showCatName val="0"/>
          <c:showSerName val="0"/>
          <c:showPercent val="0"/>
          <c:showBubbleSize val="0"/>
        </c:dLbls>
        <c:gapWidth val="219"/>
        <c:overlap val="-27"/>
        <c:axId val="74398720"/>
        <c:axId val="74405760"/>
      </c:barChart>
      <c:catAx>
        <c:axId val="7439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end</a:t>
                </a:r>
                <a:r>
                  <a:rPr lang="en-US" baseline="0"/>
                  <a:t> October</a:t>
                </a:r>
                <a:r>
                  <a:rPr lang="en-US"/>
                  <a:t> 2024</a:t>
                </a:r>
              </a:p>
            </c:rich>
          </c:tx>
          <c:layout>
            <c:manualLayout>
              <c:xMode val="edge"/>
              <c:yMode val="edge"/>
              <c:x val="0.40125798713382815"/>
              <c:y val="0.908083376910500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5760"/>
        <c:crosses val="autoZero"/>
        <c:auto val="1"/>
        <c:lblAlgn val="ctr"/>
        <c:lblOffset val="100"/>
        <c:noMultiLvlLbl val="0"/>
      </c:catAx>
      <c:valAx>
        <c:axId val="744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9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[4 Member Web Registrations chart.xlsx]Chart!PivotTable2</c:name>
    <c:fmtId val="866"/>
  </c:pivotSource>
  <c:chart>
    <c:title>
      <c:tx>
        <c:strRef>
          <c:f>Chart!$A$22</c:f>
          <c:strCache>
            <c:ptCount val="1"/>
            <c:pt idx="0">
              <c:v>Member Web Number Totals  -  Nottinghamshire Fire</c:v>
            </c:pt>
          </c:strCache>
        </c:strRef>
      </c:tx>
      <c:layout>
        <c:manualLayout>
          <c:xMode val="edge"/>
          <c:yMode val="edge"/>
          <c:x val="0.14882276753991969"/>
          <c:y val="8.75108159556978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lumMod val="60000"/>
              <a:lumOff val="40000"/>
            </a:schemeClr>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2">
              <a:lumMod val="60000"/>
              <a:lumOff val="40000"/>
            </a:schemeClr>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164878472222225"/>
          <c:y val="0.24441383780280321"/>
          <c:w val="0.7660280926422659"/>
          <c:h val="0.4964531369062738"/>
        </c:manualLayout>
      </c:layout>
      <c:barChart>
        <c:barDir val="col"/>
        <c:grouping val="clustered"/>
        <c:varyColors val="0"/>
        <c:ser>
          <c:idx val="0"/>
          <c:order val="0"/>
          <c:tx>
            <c:strRef>
              <c:f>Chart!$B$3</c:f>
              <c:strCache>
                <c:ptCount val="1"/>
                <c:pt idx="0">
                  <c:v>Total</c:v>
                </c:pt>
              </c:strCache>
            </c:strRef>
          </c:tx>
          <c:spPr>
            <a:solidFill>
              <a:schemeClr val="accent2"/>
            </a:solidFill>
            <a:ln>
              <a:noFill/>
            </a:ln>
            <a:effectLst/>
          </c:spPr>
          <c:invertIfNegative val="0"/>
          <c:cat>
            <c:strRef>
              <c:f>Chart!$A$22</c:f>
              <c:strCache>
                <c:ptCount val="6"/>
                <c:pt idx="0">
                  <c:v>Jun-24</c:v>
                </c:pt>
                <c:pt idx="1">
                  <c:v>Jul-24</c:v>
                </c:pt>
                <c:pt idx="2">
                  <c:v>Aug-24</c:v>
                </c:pt>
                <c:pt idx="3">
                  <c:v>Sep-24</c:v>
                </c:pt>
                <c:pt idx="4">
                  <c:v>Oct-24</c:v>
                </c:pt>
                <c:pt idx="5">
                  <c:v>Nov-24</c:v>
                </c:pt>
              </c:strCache>
            </c:strRef>
          </c:cat>
          <c:val>
            <c:numRef>
              <c:f>Chart!$A$22</c:f>
              <c:numCache>
                <c:formatCode>General</c:formatCode>
                <c:ptCount val="6"/>
                <c:pt idx="0">
                  <c:v>813</c:v>
                </c:pt>
                <c:pt idx="1">
                  <c:v>816</c:v>
                </c:pt>
                <c:pt idx="2">
                  <c:v>819</c:v>
                </c:pt>
                <c:pt idx="3">
                  <c:v>819</c:v>
                </c:pt>
                <c:pt idx="4">
                  <c:v>828</c:v>
                </c:pt>
                <c:pt idx="5">
                  <c:v>836</c:v>
                </c:pt>
              </c:numCache>
            </c:numRef>
          </c:val>
          <c:extLst>
            <c:ext xmlns:c16="http://schemas.microsoft.com/office/drawing/2014/chart" uri="{C3380CC4-5D6E-409C-BE32-E72D297353CC}">
              <c16:uniqueId val="{00000000-1356-4765-80B1-1DEF3F44BDAD}"/>
            </c:ext>
          </c:extLst>
        </c:ser>
        <c:dLbls>
          <c:showLegendKey val="0"/>
          <c:showVal val="0"/>
          <c:showCatName val="0"/>
          <c:showSerName val="0"/>
          <c:showPercent val="0"/>
          <c:showBubbleSize val="0"/>
        </c:dLbls>
        <c:gapWidth val="219"/>
        <c:overlap val="-27"/>
        <c:axId val="735134136"/>
        <c:axId val="735129216"/>
      </c:barChart>
      <c:catAx>
        <c:axId val="735134136"/>
        <c:scaling>
          <c:orientation val="minMax"/>
        </c:scaling>
        <c:delete val="0"/>
        <c:axPos val="b"/>
        <c:numFmt formatCode="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29216"/>
        <c:crosses val="autoZero"/>
        <c:auto val="1"/>
        <c:lblAlgn val="ctr"/>
        <c:lblOffset val="100"/>
        <c:noMultiLvlLbl val="0"/>
      </c:catAx>
      <c:valAx>
        <c:axId val="735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34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[5 Membership Numbers chart.xlsx]Chart!PivotTable3</c:name>
    <c:fmtId val="867"/>
  </c:pivotSource>
  <c:chart>
    <c:title>
      <c:tx>
        <c:strRef>
          <c:f>Chart!$A$20</c:f>
          <c:strCache>
            <c:ptCount val="1"/>
            <c:pt idx="0">
              <c:v>Membership Number Totals -  Nottinghamshire Fire</c:v>
            </c:pt>
          </c:strCache>
        </c:strRef>
      </c:tx>
      <c:layout>
        <c:manualLayout>
          <c:xMode val="edge"/>
          <c:yMode val="edge"/>
          <c:x val="0.23686711096380439"/>
          <c:y val="6.6148106391836367E-2"/>
        </c:manualLayout>
      </c:layout>
      <c:overlay val="0"/>
      <c:txPr>
        <a:bodyPr/>
        <a:lstStyle/>
        <a:p>
          <a:pPr>
            <a:defRPr sz="1500" b="0" i="0" baseline="0"/>
          </a:pPr>
          <a:endParaRPr lang="en-US"/>
        </a:p>
      </c:txPr>
    </c:title>
    <c:autoTitleDeleted val="0"/>
    <c:pivotFmts>
      <c:pivotFmt>
        <c:idx val="0"/>
        <c:spPr>
          <a:solidFill>
            <a:srgbClr val="FF0000"/>
          </a:solidFill>
        </c:spPr>
        <c:marker>
          <c:symbol val="none"/>
        </c:marker>
      </c:pivotFmt>
      <c:pivotFmt>
        <c:idx val="1"/>
        <c:spPr>
          <a:solidFill>
            <a:srgbClr val="FF0000"/>
          </a:solidFill>
        </c:spPr>
        <c:marker>
          <c:symbol val="none"/>
        </c:marker>
      </c:pivotFmt>
      <c:pivotFmt>
        <c:idx val="2"/>
        <c:spPr>
          <a:solidFill>
            <a:srgbClr val="FF0000"/>
          </a:solidFill>
        </c:spPr>
        <c:marker>
          <c:symbol val="none"/>
        </c:marker>
        <c:dLbl>
          <c:idx val="0"/>
          <c:delete val="1"/>
          <c:extLst>
            <c:ext xmlns:c15="http://schemas.microsoft.com/office/drawing/2012/chart" uri="{CE6537A1-D6FC-4f65-9D91-7224C49458BB}"/>
          </c:extLst>
        </c:dLbl>
      </c:pivotFmt>
      <c:pivotFmt>
        <c:idx val="3"/>
        <c:spPr>
          <a:solidFill>
            <a:srgbClr val="FF0000"/>
          </a:solidFill>
        </c:spPr>
        <c:marker>
          <c:symbol val="none"/>
        </c:marker>
        <c:dLbl>
          <c:idx val="0"/>
          <c:delete val="1"/>
          <c:extLst>
            <c:ext xmlns:c15="http://schemas.microsoft.com/office/drawing/2012/chart" uri="{CE6537A1-D6FC-4f65-9D91-7224C49458BB}"/>
          </c:extLst>
        </c:dLbl>
      </c:pivotFmt>
      <c:pivotFmt>
        <c:idx val="4"/>
        <c:spPr>
          <a:solidFill>
            <a:srgbClr val="FF0000"/>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088665458937198"/>
          <c:y val="0.19960185185185186"/>
          <c:w val="0.81556469855682456"/>
          <c:h val="0.6956153611719863"/>
        </c:manualLayout>
      </c:layout>
      <c:barChart>
        <c:barDir val="col"/>
        <c:grouping val="clustered"/>
        <c:varyColors val="0"/>
        <c:ser>
          <c:idx val="0"/>
          <c:order val="0"/>
          <c:tx>
            <c:strRef>
              <c:f>Chart!$B$4</c:f>
              <c:strCache>
                <c:ptCount val="1"/>
                <c:pt idx="0">
                  <c:v>Total</c:v>
                </c:pt>
              </c:strCache>
            </c:strRef>
          </c:tx>
          <c:spPr>
            <a:solidFill>
              <a:srgbClr val="FF0000"/>
            </a:solidFill>
          </c:spPr>
          <c:invertIfNegative val="0"/>
          <c:cat>
            <c:strRef>
              <c:f>Chart!$A$20</c:f>
              <c:strCache>
                <c:ptCount val="12"/>
                <c:pt idx="0">
                  <c:v>Nov-23</c:v>
                </c:pt>
                <c:pt idx="1">
                  <c:v>Dec-23</c:v>
                </c:pt>
                <c:pt idx="2">
                  <c:v>Jan-24</c:v>
                </c:pt>
                <c:pt idx="3">
                  <c:v>Feb-24</c:v>
                </c:pt>
                <c:pt idx="4">
                  <c:v>Mar-24</c:v>
                </c:pt>
                <c:pt idx="5">
                  <c:v>Apr-24</c:v>
                </c:pt>
                <c:pt idx="6">
                  <c:v>May-24</c:v>
                </c:pt>
                <c:pt idx="7">
                  <c:v>Jun-24</c:v>
                </c:pt>
                <c:pt idx="8">
                  <c:v>Jul-24</c:v>
                </c:pt>
                <c:pt idx="9">
                  <c:v>Aug-24</c:v>
                </c:pt>
                <c:pt idx="10">
                  <c:v>Sep-24</c:v>
                </c:pt>
                <c:pt idx="11">
                  <c:v>Oct-24</c:v>
                </c:pt>
              </c:strCache>
            </c:strRef>
          </c:cat>
          <c:val>
            <c:numRef>
              <c:f>Chart!$A$20</c:f>
              <c:numCache>
                <c:formatCode>General</c:formatCode>
                <c:ptCount val="12"/>
                <c:pt idx="0">
                  <c:v>2024</c:v>
                </c:pt>
                <c:pt idx="1">
                  <c:v>2025</c:v>
                </c:pt>
                <c:pt idx="2">
                  <c:v>2053</c:v>
                </c:pt>
                <c:pt idx="3">
                  <c:v>2053</c:v>
                </c:pt>
                <c:pt idx="4">
                  <c:v>2065</c:v>
                </c:pt>
                <c:pt idx="5">
                  <c:v>2062</c:v>
                </c:pt>
                <c:pt idx="6">
                  <c:v>2061</c:v>
                </c:pt>
                <c:pt idx="7">
                  <c:v>2073</c:v>
                </c:pt>
                <c:pt idx="8">
                  <c:v>2072</c:v>
                </c:pt>
                <c:pt idx="9">
                  <c:v>2074</c:v>
                </c:pt>
                <c:pt idx="10">
                  <c:v>2091</c:v>
                </c:pt>
                <c:pt idx="11">
                  <c:v>2102</c:v>
                </c:pt>
              </c:numCache>
            </c:numRef>
          </c:val>
          <c:extLst>
            <c:ext xmlns:c16="http://schemas.microsoft.com/office/drawing/2014/chart" uri="{C3380CC4-5D6E-409C-BE32-E72D297353CC}">
              <c16:uniqueId val="{00000000-107D-41FE-89E7-AB71B59AFDE1}"/>
            </c:ext>
          </c:extLst>
        </c:ser>
        <c:dLbls>
          <c:showLegendKey val="0"/>
          <c:showVal val="0"/>
          <c:showCatName val="0"/>
          <c:showSerName val="0"/>
          <c:showPercent val="0"/>
          <c:showBubbleSize val="0"/>
        </c:dLbls>
        <c:gapWidth val="150"/>
        <c:axId val="93708672"/>
        <c:axId val="93710208"/>
      </c:barChart>
      <c:catAx>
        <c:axId val="93708672"/>
        <c:scaling>
          <c:orientation val="minMax"/>
        </c:scaling>
        <c:delete val="0"/>
        <c:axPos val="b"/>
        <c:numFmt formatCode="General" sourceLinked="0"/>
        <c:majorTickMark val="out"/>
        <c:minorTickMark val="none"/>
        <c:tickLblPos val="nextTo"/>
        <c:crossAx val="93710208"/>
        <c:crosses val="autoZero"/>
        <c:auto val="1"/>
        <c:lblAlgn val="ctr"/>
        <c:lblOffset val="100"/>
        <c:noMultiLvlLbl val="0"/>
      </c:catAx>
      <c:valAx>
        <c:axId val="93710208"/>
        <c:scaling>
          <c:orientation val="minMax"/>
          <c:min val="0"/>
        </c:scaling>
        <c:delete val="0"/>
        <c:axPos val="l"/>
        <c:majorGridlines/>
        <c:minorGridlines>
          <c:spPr>
            <a:ln>
              <a:noFill/>
            </a:ln>
          </c:spPr>
        </c:minorGridlines>
        <c:numFmt formatCode="General" sourceLinked="1"/>
        <c:majorTickMark val="out"/>
        <c:minorTickMark val="none"/>
        <c:tickLblPos val="nextTo"/>
        <c:crossAx val="937086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[Actives Membership chart.xlsx]Actives Chart!PivotTable2</c:name>
    <c:fmtId val="75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Active Members by Scheme</a:t>
            </a:r>
          </a:p>
        </c:rich>
      </c:tx>
      <c:layout>
        <c:manualLayout>
          <c:xMode val="edge"/>
          <c:yMode val="edge"/>
          <c:x val="0.32415481298118293"/>
          <c:y val="1.8889005540974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pivotFmt>
      <c:pivotFmt>
        <c:idx val="279"/>
        <c:spPr>
          <a:solidFill>
            <a:schemeClr val="accent1"/>
          </a:solidFill>
          <a:ln>
            <a:noFill/>
          </a:ln>
          <a:effectLst/>
        </c:spPr>
        <c:marker>
          <c:symbol val="none"/>
        </c:marker>
      </c:pivotFmt>
      <c:pivotFmt>
        <c:idx val="280"/>
        <c:spPr>
          <a:solidFill>
            <a:schemeClr val="accent1"/>
          </a:solidFill>
          <a:ln>
            <a:noFill/>
          </a:ln>
          <a:effectLst/>
        </c:spPr>
        <c:marker>
          <c:symbol val="none"/>
        </c:marker>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7"/>
        <c:spPr>
          <a:solidFill>
            <a:schemeClr val="accent1"/>
          </a:solidFill>
          <a:ln>
            <a:noFill/>
          </a:ln>
          <a:effectLst/>
        </c:spPr>
        <c:marker>
          <c:symbol val="none"/>
        </c:marker>
      </c:pivotFmt>
      <c:pivotFmt>
        <c:idx val="3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607675350411204E-2"/>
          <c:y val="0.14917142023913676"/>
          <c:w val="0.86655268458639734"/>
          <c:h val="0.60281154855643049"/>
        </c:manualLayout>
      </c:layout>
      <c:barChart>
        <c:barDir val="col"/>
        <c:grouping val="clustered"/>
        <c:varyColors val="0"/>
        <c:ser>
          <c:idx val="0"/>
          <c:order val="0"/>
          <c:tx>
            <c:strRef>
              <c:f>'Actives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Jun-24</c:v>
                </c:pt>
                <c:pt idx="1">
                  <c:v>Jul-24</c:v>
                </c:pt>
                <c:pt idx="2">
                  <c:v>Aug-24</c:v>
                </c:pt>
                <c:pt idx="3">
                  <c:v>Sep-24</c:v>
                </c:pt>
                <c:pt idx="4">
                  <c:v>Oct-24</c:v>
                </c:pt>
                <c:pt idx="5">
                  <c:v>Nov-24</c:v>
                </c:pt>
              </c:strCache>
            </c:strRef>
          </c:cat>
          <c:val>
            <c:numRef>
              <c:f>'Actives Chart'!$B$5:$B$11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225F-4ABC-B0A5-4F1DB0558343}"/>
            </c:ext>
          </c:extLst>
        </c:ser>
        <c:ser>
          <c:idx val="1"/>
          <c:order val="1"/>
          <c:tx>
            <c:strRef>
              <c:f>'Actives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Jun-24</c:v>
                </c:pt>
                <c:pt idx="1">
                  <c:v>Jul-24</c:v>
                </c:pt>
                <c:pt idx="2">
                  <c:v>Aug-24</c:v>
                </c:pt>
                <c:pt idx="3">
                  <c:v>Sep-24</c:v>
                </c:pt>
                <c:pt idx="4">
                  <c:v>Oct-24</c:v>
                </c:pt>
                <c:pt idx="5">
                  <c:v>Nov-24</c:v>
                </c:pt>
              </c:strCache>
            </c:strRef>
          </c:cat>
          <c:val>
            <c:numRef>
              <c:f>'Actives Chart'!$C$5:$C$11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225F-4ABC-B0A5-4F1DB0558343}"/>
            </c:ext>
          </c:extLst>
        </c:ser>
        <c:ser>
          <c:idx val="2"/>
          <c:order val="2"/>
          <c:tx>
            <c:strRef>
              <c:f>'Actives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Jun-24</c:v>
                </c:pt>
                <c:pt idx="1">
                  <c:v>Jul-24</c:v>
                </c:pt>
                <c:pt idx="2">
                  <c:v>Aug-24</c:v>
                </c:pt>
                <c:pt idx="3">
                  <c:v>Sep-24</c:v>
                </c:pt>
                <c:pt idx="4">
                  <c:v>Oct-24</c:v>
                </c:pt>
                <c:pt idx="5">
                  <c:v>Nov-24</c:v>
                </c:pt>
              </c:strCache>
            </c:strRef>
          </c:cat>
          <c:val>
            <c:numRef>
              <c:f>'Actives Chart'!$D$5:$D$11</c:f>
              <c:numCache>
                <c:formatCode>General</c:formatCode>
                <c:ptCount val="6"/>
                <c:pt idx="0">
                  <c:v>620</c:v>
                </c:pt>
                <c:pt idx="1">
                  <c:v>620</c:v>
                </c:pt>
                <c:pt idx="2">
                  <c:v>623</c:v>
                </c:pt>
                <c:pt idx="3">
                  <c:v>636</c:v>
                </c:pt>
                <c:pt idx="4">
                  <c:v>635</c:v>
                </c:pt>
                <c:pt idx="5">
                  <c:v>644</c:v>
                </c:pt>
              </c:numCache>
            </c:numRef>
          </c:val>
          <c:extLst>
            <c:ext xmlns:c16="http://schemas.microsoft.com/office/drawing/2014/chart" uri="{C3380CC4-5D6E-409C-BE32-E72D297353CC}">
              <c16:uniqueId val="{00000002-225F-4ABC-B0A5-4F1DB0558343}"/>
            </c:ext>
          </c:extLst>
        </c:ser>
        <c:ser>
          <c:idx val="3"/>
          <c:order val="3"/>
          <c:tx>
            <c:strRef>
              <c:f>'Actives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Jun-24</c:v>
                </c:pt>
                <c:pt idx="1">
                  <c:v>Jul-24</c:v>
                </c:pt>
                <c:pt idx="2">
                  <c:v>Aug-24</c:v>
                </c:pt>
                <c:pt idx="3">
                  <c:v>Sep-24</c:v>
                </c:pt>
                <c:pt idx="4">
                  <c:v>Oct-24</c:v>
                </c:pt>
                <c:pt idx="5">
                  <c:v>Nov-24</c:v>
                </c:pt>
              </c:strCache>
            </c:strRef>
          </c:cat>
          <c:val>
            <c:numRef>
              <c:f>'Actives Chart'!$E$5:$E$11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225F-4ABC-B0A5-4F1DB0558343}"/>
            </c:ext>
          </c:extLst>
        </c:ser>
        <c:ser>
          <c:idx val="4"/>
          <c:order val="4"/>
          <c:tx>
            <c:strRef>
              <c:f>'Actives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Jun-24</c:v>
                </c:pt>
                <c:pt idx="1">
                  <c:v>Jul-24</c:v>
                </c:pt>
                <c:pt idx="2">
                  <c:v>Aug-24</c:v>
                </c:pt>
                <c:pt idx="3">
                  <c:v>Sep-24</c:v>
                </c:pt>
                <c:pt idx="4">
                  <c:v>Oct-24</c:v>
                </c:pt>
                <c:pt idx="5">
                  <c:v>Nov-24</c:v>
                </c:pt>
              </c:strCache>
            </c:strRef>
          </c:cat>
          <c:val>
            <c:numRef>
              <c:f>'Actives Chart'!$F$5:$F$11</c:f>
              <c:numCache>
                <c:formatCode>General</c:formatCode>
                <c:ptCount val="6"/>
                <c:pt idx="0">
                  <c:v>15</c:v>
                </c:pt>
                <c:pt idx="1">
                  <c:v>15</c:v>
                </c:pt>
                <c:pt idx="2">
                  <c:v>15</c:v>
                </c:pt>
                <c:pt idx="3">
                  <c:v>14</c:v>
                </c:pt>
                <c:pt idx="4">
                  <c:v>14</c:v>
                </c:pt>
                <c:pt idx="5">
                  <c:v>15</c:v>
                </c:pt>
              </c:numCache>
            </c:numRef>
          </c:val>
          <c:extLst>
            <c:ext xmlns:c16="http://schemas.microsoft.com/office/drawing/2014/chart" uri="{C3380CC4-5D6E-409C-BE32-E72D297353CC}">
              <c16:uniqueId val="{00000004-225F-4ABC-B0A5-4F1DB0558343}"/>
            </c:ext>
          </c:extLst>
        </c:ser>
        <c:dLbls>
          <c:dLblPos val="outEnd"/>
          <c:showLegendKey val="0"/>
          <c:showVal val="1"/>
          <c:showCatName val="0"/>
          <c:showSerName val="0"/>
          <c:showPercent val="0"/>
          <c:showBubbleSize val="0"/>
        </c:dLbls>
        <c:gapWidth val="219"/>
        <c:overlap val="-27"/>
        <c:axId val="741859336"/>
        <c:axId val="741860320"/>
      </c:barChart>
      <c:catAx>
        <c:axId val="74185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60320"/>
        <c:crosses val="autoZero"/>
        <c:auto val="1"/>
        <c:lblAlgn val="ctr"/>
        <c:lblOffset val="100"/>
        <c:noMultiLvlLbl val="0"/>
      </c:catAx>
      <c:valAx>
        <c:axId val="74186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59336"/>
        <c:crosses val="autoZero"/>
        <c:crossBetween val="between"/>
      </c:valAx>
      <c:spPr>
        <a:noFill/>
        <a:ln>
          <a:noFill/>
        </a:ln>
        <a:effectLst/>
      </c:spPr>
    </c:plotArea>
    <c:legend>
      <c:legendPos val="b"/>
      <c:layout>
        <c:manualLayout>
          <c:xMode val="edge"/>
          <c:yMode val="edge"/>
          <c:x val="3.5424809336827699E-2"/>
          <c:y val="0.80969097624991315"/>
          <c:w val="0.95469901719901729"/>
          <c:h val="0.162959914044250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[Deferreds Membership chart.xlsx]Deferreds Chart!PivotTable3</c:name>
    <c:fmtId val="612"/>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Deferred Members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5979001613408147E-2"/>
          <c:y val="8.4700148501954689E-2"/>
          <c:w val="0.90036608250571992"/>
          <c:h val="0.74053264139275721"/>
        </c:manualLayout>
      </c:layout>
      <c:barChart>
        <c:barDir val="col"/>
        <c:grouping val="clustered"/>
        <c:varyColors val="0"/>
        <c:ser>
          <c:idx val="0"/>
          <c:order val="0"/>
          <c:tx>
            <c:strRef>
              <c:f>'Deferreds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Jun-24</c:v>
                </c:pt>
                <c:pt idx="1">
                  <c:v>Jul-24</c:v>
                </c:pt>
                <c:pt idx="2">
                  <c:v>Aug-24</c:v>
                </c:pt>
                <c:pt idx="3">
                  <c:v>Sep-24</c:v>
                </c:pt>
                <c:pt idx="4">
                  <c:v>Oct-24</c:v>
                </c:pt>
                <c:pt idx="5">
                  <c:v>Nov-24</c:v>
                </c:pt>
              </c:strCache>
            </c:strRef>
          </c:cat>
          <c:val>
            <c:numRef>
              <c:f>'Deferreds Chart'!$B$5:$B$11</c:f>
              <c:numCache>
                <c:formatCode>General</c:formatCode>
                <c:ptCount val="6"/>
                <c:pt idx="0">
                  <c:v>38</c:v>
                </c:pt>
                <c:pt idx="1">
                  <c:v>37</c:v>
                </c:pt>
                <c:pt idx="2">
                  <c:v>36</c:v>
                </c:pt>
                <c:pt idx="3">
                  <c:v>36</c:v>
                </c:pt>
                <c:pt idx="4">
                  <c:v>36</c:v>
                </c:pt>
                <c:pt idx="5">
                  <c:v>36</c:v>
                </c:pt>
              </c:numCache>
            </c:numRef>
          </c:val>
          <c:extLst>
            <c:ext xmlns:c16="http://schemas.microsoft.com/office/drawing/2014/chart" uri="{C3380CC4-5D6E-409C-BE32-E72D297353CC}">
              <c16:uniqueId val="{00000000-C72C-45AB-AE66-671B98DCB253}"/>
            </c:ext>
          </c:extLst>
        </c:ser>
        <c:ser>
          <c:idx val="1"/>
          <c:order val="1"/>
          <c:tx>
            <c:strRef>
              <c:f>'Deferreds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Jun-24</c:v>
                </c:pt>
                <c:pt idx="1">
                  <c:v>Jul-24</c:v>
                </c:pt>
                <c:pt idx="2">
                  <c:v>Aug-24</c:v>
                </c:pt>
                <c:pt idx="3">
                  <c:v>Sep-24</c:v>
                </c:pt>
                <c:pt idx="4">
                  <c:v>Oct-24</c:v>
                </c:pt>
                <c:pt idx="5">
                  <c:v>Nov-24</c:v>
                </c:pt>
              </c:strCache>
            </c:strRef>
          </c:cat>
          <c:val>
            <c:numRef>
              <c:f>'Deferreds Chart'!$C$5:$C$11</c:f>
              <c:numCache>
                <c:formatCode>General</c:formatCode>
                <c:ptCount val="6"/>
                <c:pt idx="0">
                  <c:v>159</c:v>
                </c:pt>
                <c:pt idx="1">
                  <c:v>159</c:v>
                </c:pt>
                <c:pt idx="2">
                  <c:v>159</c:v>
                </c:pt>
                <c:pt idx="3">
                  <c:v>159</c:v>
                </c:pt>
                <c:pt idx="4">
                  <c:v>159</c:v>
                </c:pt>
                <c:pt idx="5">
                  <c:v>159</c:v>
                </c:pt>
              </c:numCache>
            </c:numRef>
          </c:val>
          <c:extLst>
            <c:ext xmlns:c16="http://schemas.microsoft.com/office/drawing/2014/chart" uri="{C3380CC4-5D6E-409C-BE32-E72D297353CC}">
              <c16:uniqueId val="{00000001-C72C-45AB-AE66-671B98DCB253}"/>
            </c:ext>
          </c:extLst>
        </c:ser>
        <c:ser>
          <c:idx val="2"/>
          <c:order val="2"/>
          <c:tx>
            <c:strRef>
              <c:f>'Deferreds Chart'!$D$3:$D$4</c:f>
              <c:strCache>
                <c:ptCount val="1"/>
                <c:pt idx="0">
                  <c:v>Nottinghamshire (2015 Scheme)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Jun-24</c:v>
                </c:pt>
                <c:pt idx="1">
                  <c:v>Jul-24</c:v>
                </c:pt>
                <c:pt idx="2">
                  <c:v>Aug-24</c:v>
                </c:pt>
                <c:pt idx="3">
                  <c:v>Sep-24</c:v>
                </c:pt>
                <c:pt idx="4">
                  <c:v>Oct-24</c:v>
                </c:pt>
                <c:pt idx="5">
                  <c:v>Nov-24</c:v>
                </c:pt>
              </c:strCache>
            </c:strRef>
          </c:cat>
          <c:val>
            <c:numRef>
              <c:f>'Deferreds Chart'!$D$5:$D$11</c:f>
              <c:numCache>
                <c:formatCode>General</c:formatCode>
                <c:ptCount val="6"/>
                <c:pt idx="0">
                  <c:v>199</c:v>
                </c:pt>
                <c:pt idx="1">
                  <c:v>199</c:v>
                </c:pt>
                <c:pt idx="2">
                  <c:v>200</c:v>
                </c:pt>
                <c:pt idx="3">
                  <c:v>200</c:v>
                </c:pt>
                <c:pt idx="4">
                  <c:v>202</c:v>
                </c:pt>
                <c:pt idx="5">
                  <c:v>203</c:v>
                </c:pt>
              </c:numCache>
            </c:numRef>
          </c:val>
          <c:extLst>
            <c:ext xmlns:c16="http://schemas.microsoft.com/office/drawing/2014/chart" uri="{C3380CC4-5D6E-409C-BE32-E72D297353CC}">
              <c16:uniqueId val="{00000002-C72C-45AB-AE66-671B98DCB253}"/>
            </c:ext>
          </c:extLst>
        </c:ser>
        <c:ser>
          <c:idx val="3"/>
          <c:order val="3"/>
          <c:tx>
            <c:strRef>
              <c:f>'Deferreds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Jun-24</c:v>
                </c:pt>
                <c:pt idx="1">
                  <c:v>Jul-24</c:v>
                </c:pt>
                <c:pt idx="2">
                  <c:v>Aug-24</c:v>
                </c:pt>
                <c:pt idx="3">
                  <c:v>Sep-24</c:v>
                </c:pt>
                <c:pt idx="4">
                  <c:v>Oct-24</c:v>
                </c:pt>
                <c:pt idx="5">
                  <c:v>Nov-24</c:v>
                </c:pt>
              </c:strCache>
            </c:strRef>
          </c:cat>
          <c:val>
            <c:numRef>
              <c:f>'Deferreds Chart'!$E$5:$E$11</c:f>
              <c:numCache>
                <c:formatCode>General</c:formatCode>
                <c:ptCount val="6"/>
                <c:pt idx="0">
                  <c:v>29</c:v>
                </c:pt>
                <c:pt idx="1">
                  <c:v>29</c:v>
                </c:pt>
                <c:pt idx="2">
                  <c:v>29</c:v>
                </c:pt>
                <c:pt idx="3">
                  <c:v>30</c:v>
                </c:pt>
                <c:pt idx="4">
                  <c:v>30</c:v>
                </c:pt>
                <c:pt idx="5">
                  <c:v>28</c:v>
                </c:pt>
              </c:numCache>
            </c:numRef>
          </c:val>
          <c:extLst>
            <c:ext xmlns:c16="http://schemas.microsoft.com/office/drawing/2014/chart" uri="{C3380CC4-5D6E-409C-BE32-E72D297353CC}">
              <c16:uniqueId val="{00000003-C72C-45AB-AE66-671B98DCB253}"/>
            </c:ext>
          </c:extLst>
        </c:ser>
        <c:ser>
          <c:idx val="4"/>
          <c:order val="4"/>
          <c:tx>
            <c:strRef>
              <c:f>'Deferreds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Jun-24</c:v>
                </c:pt>
                <c:pt idx="1">
                  <c:v>Jul-24</c:v>
                </c:pt>
                <c:pt idx="2">
                  <c:v>Aug-24</c:v>
                </c:pt>
                <c:pt idx="3">
                  <c:v>Sep-24</c:v>
                </c:pt>
                <c:pt idx="4">
                  <c:v>Oct-24</c:v>
                </c:pt>
                <c:pt idx="5">
                  <c:v>Nov-24</c:v>
                </c:pt>
              </c:strCache>
            </c:strRef>
          </c:cat>
          <c:val>
            <c:numRef>
              <c:f>'Deferreds Chart'!$F$5:$F$11</c:f>
              <c:numCache>
                <c:formatCode>General</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4-C72C-45AB-AE66-671B98DCB253}"/>
            </c:ext>
          </c:extLst>
        </c:ser>
        <c:dLbls>
          <c:dLblPos val="outEnd"/>
          <c:showLegendKey val="0"/>
          <c:showVal val="1"/>
          <c:showCatName val="0"/>
          <c:showSerName val="0"/>
          <c:showPercent val="0"/>
          <c:showBubbleSize val="0"/>
        </c:dLbls>
        <c:gapWidth val="219"/>
        <c:overlap val="-27"/>
        <c:axId val="499866544"/>
        <c:axId val="499866872"/>
      </c:barChart>
      <c:catAx>
        <c:axId val="499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872"/>
        <c:crosses val="autoZero"/>
        <c:auto val="1"/>
        <c:lblAlgn val="ctr"/>
        <c:lblOffset val="100"/>
        <c:noMultiLvlLbl val="0"/>
      </c:catAx>
      <c:valAx>
        <c:axId val="49986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544"/>
        <c:crosses val="autoZero"/>
        <c:crossBetween val="between"/>
      </c:valAx>
      <c:spPr>
        <a:noFill/>
        <a:ln>
          <a:noFill/>
        </a:ln>
        <a:effectLst/>
      </c:spPr>
    </c:plotArea>
    <c:legend>
      <c:legendPos val="b"/>
      <c:layout>
        <c:manualLayout>
          <c:xMode val="edge"/>
          <c:yMode val="edge"/>
          <c:x val="4.3107014713319042E-2"/>
          <c:y val="0.87356131026882389"/>
          <c:w val="0.93861950762727564"/>
          <c:h val="0.1033540313304395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[Pensioners Membership chart.xlsx]Pensioners Chart!PivotTable4</c:name>
    <c:fmtId val="563"/>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Pensioners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pivotFmt>
      <c:pivotFmt>
        <c:idx val="195"/>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4062080909257798E-2"/>
          <c:y val="0.11541075794468235"/>
          <c:w val="0.92564210507690092"/>
          <c:h val="0.67566685921200287"/>
        </c:manualLayout>
      </c:layout>
      <c:barChart>
        <c:barDir val="col"/>
        <c:grouping val="clustered"/>
        <c:varyColors val="0"/>
        <c:ser>
          <c:idx val="0"/>
          <c:order val="0"/>
          <c:tx>
            <c:strRef>
              <c:f>'Pensioners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Jun-24</c:v>
                </c:pt>
                <c:pt idx="1">
                  <c:v>Jul-24</c:v>
                </c:pt>
                <c:pt idx="2">
                  <c:v>Aug-24</c:v>
                </c:pt>
                <c:pt idx="3">
                  <c:v>Sep-24</c:v>
                </c:pt>
                <c:pt idx="4">
                  <c:v>Oct-24</c:v>
                </c:pt>
                <c:pt idx="5">
                  <c:v>Nov-24</c:v>
                </c:pt>
              </c:strCache>
            </c:strRef>
          </c:cat>
          <c:val>
            <c:numRef>
              <c:f>'Pensioners Chart'!$B$5:$B$11</c:f>
              <c:numCache>
                <c:formatCode>General</c:formatCode>
                <c:ptCount val="6"/>
                <c:pt idx="0">
                  <c:v>694</c:v>
                </c:pt>
                <c:pt idx="1">
                  <c:v>694</c:v>
                </c:pt>
                <c:pt idx="2">
                  <c:v>694</c:v>
                </c:pt>
                <c:pt idx="3">
                  <c:v>692</c:v>
                </c:pt>
                <c:pt idx="4">
                  <c:v>691</c:v>
                </c:pt>
                <c:pt idx="5">
                  <c:v>691</c:v>
                </c:pt>
              </c:numCache>
            </c:numRef>
          </c:val>
          <c:extLst>
            <c:ext xmlns:c16="http://schemas.microsoft.com/office/drawing/2014/chart" uri="{C3380CC4-5D6E-409C-BE32-E72D297353CC}">
              <c16:uniqueId val="{00000000-FC30-4D76-BDCC-4B2DF9EFA619}"/>
            </c:ext>
          </c:extLst>
        </c:ser>
        <c:ser>
          <c:idx val="1"/>
          <c:order val="1"/>
          <c:tx>
            <c:strRef>
              <c:f>'Pensioners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Jun-24</c:v>
                </c:pt>
                <c:pt idx="1">
                  <c:v>Jul-24</c:v>
                </c:pt>
                <c:pt idx="2">
                  <c:v>Aug-24</c:v>
                </c:pt>
                <c:pt idx="3">
                  <c:v>Sep-24</c:v>
                </c:pt>
                <c:pt idx="4">
                  <c:v>Oct-24</c:v>
                </c:pt>
                <c:pt idx="5">
                  <c:v>Nov-24</c:v>
                </c:pt>
              </c:strCache>
            </c:strRef>
          </c:cat>
          <c:val>
            <c:numRef>
              <c:f>'Pensioners Chart'!$C$5:$C$11</c:f>
              <c:numCache>
                <c:formatCode>General</c:formatCode>
                <c:ptCount val="6"/>
                <c:pt idx="0">
                  <c:v>31</c:v>
                </c:pt>
                <c:pt idx="1">
                  <c:v>31</c:v>
                </c:pt>
                <c:pt idx="2">
                  <c:v>31</c:v>
                </c:pt>
                <c:pt idx="3">
                  <c:v>31</c:v>
                </c:pt>
                <c:pt idx="4">
                  <c:v>31</c:v>
                </c:pt>
                <c:pt idx="5">
                  <c:v>31</c:v>
                </c:pt>
              </c:numCache>
            </c:numRef>
          </c:val>
          <c:extLst>
            <c:ext xmlns:c16="http://schemas.microsoft.com/office/drawing/2014/chart" uri="{C3380CC4-5D6E-409C-BE32-E72D297353CC}">
              <c16:uniqueId val="{00000001-FC30-4D76-BDCC-4B2DF9EFA619}"/>
            </c:ext>
          </c:extLst>
        </c:ser>
        <c:ser>
          <c:idx val="2"/>
          <c:order val="2"/>
          <c:tx>
            <c:strRef>
              <c:f>'Pensioners Chart'!$D$3:$D$4</c:f>
              <c:strCache>
                <c:ptCount val="1"/>
                <c:pt idx="0">
                  <c:v>Nottinghamshire (2015 Scheme)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Jun-24</c:v>
                </c:pt>
                <c:pt idx="1">
                  <c:v>Jul-24</c:v>
                </c:pt>
                <c:pt idx="2">
                  <c:v>Aug-24</c:v>
                </c:pt>
                <c:pt idx="3">
                  <c:v>Sep-24</c:v>
                </c:pt>
                <c:pt idx="4">
                  <c:v>Oct-24</c:v>
                </c:pt>
                <c:pt idx="5">
                  <c:v>Nov-24</c:v>
                </c:pt>
              </c:strCache>
            </c:strRef>
          </c:cat>
          <c:val>
            <c:numRef>
              <c:f>'Pensioners Chart'!$D$5:$D$11</c:f>
              <c:numCache>
                <c:formatCode>General</c:formatCode>
                <c:ptCount val="6"/>
                <c:pt idx="0">
                  <c:v>57</c:v>
                </c:pt>
                <c:pt idx="1">
                  <c:v>57</c:v>
                </c:pt>
                <c:pt idx="2">
                  <c:v>57</c:v>
                </c:pt>
                <c:pt idx="3">
                  <c:v>59</c:v>
                </c:pt>
                <c:pt idx="4">
                  <c:v>62</c:v>
                </c:pt>
                <c:pt idx="5">
                  <c:v>63</c:v>
                </c:pt>
              </c:numCache>
            </c:numRef>
          </c:val>
          <c:extLst>
            <c:ext xmlns:c16="http://schemas.microsoft.com/office/drawing/2014/chart" uri="{C3380CC4-5D6E-409C-BE32-E72D297353CC}">
              <c16:uniqueId val="{00000002-FC30-4D76-BDCC-4B2DF9EFA619}"/>
            </c:ext>
          </c:extLst>
        </c:ser>
        <c:ser>
          <c:idx val="3"/>
          <c:order val="3"/>
          <c:tx>
            <c:strRef>
              <c:f>'Pensioners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Jun-24</c:v>
                </c:pt>
                <c:pt idx="1">
                  <c:v>Jul-24</c:v>
                </c:pt>
                <c:pt idx="2">
                  <c:v>Aug-24</c:v>
                </c:pt>
                <c:pt idx="3">
                  <c:v>Sep-24</c:v>
                </c:pt>
                <c:pt idx="4">
                  <c:v>Oct-24</c:v>
                </c:pt>
                <c:pt idx="5">
                  <c:v>Nov-24</c:v>
                </c:pt>
              </c:strCache>
            </c:strRef>
          </c:cat>
          <c:val>
            <c:numRef>
              <c:f>'Pensioners Chart'!$E$5:$E$11</c:f>
              <c:numCache>
                <c:formatCode>General</c:formatCode>
                <c:ptCount val="6"/>
                <c:pt idx="0">
                  <c:v>70</c:v>
                </c:pt>
                <c:pt idx="1">
                  <c:v>70</c:v>
                </c:pt>
                <c:pt idx="2">
                  <c:v>70</c:v>
                </c:pt>
                <c:pt idx="3">
                  <c:v>70</c:v>
                </c:pt>
                <c:pt idx="4">
                  <c:v>70</c:v>
                </c:pt>
                <c:pt idx="5">
                  <c:v>72</c:v>
                </c:pt>
              </c:numCache>
            </c:numRef>
          </c:val>
          <c:extLst>
            <c:ext xmlns:c16="http://schemas.microsoft.com/office/drawing/2014/chart" uri="{C3380CC4-5D6E-409C-BE32-E72D297353CC}">
              <c16:uniqueId val="{00000003-FC30-4D76-BDCC-4B2DF9EFA619}"/>
            </c:ext>
          </c:extLst>
        </c:ser>
        <c:ser>
          <c:idx val="4"/>
          <c:order val="4"/>
          <c:tx>
            <c:strRef>
              <c:f>'Pensioners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Jun-24</c:v>
                </c:pt>
                <c:pt idx="1">
                  <c:v>Jul-24</c:v>
                </c:pt>
                <c:pt idx="2">
                  <c:v>Aug-24</c:v>
                </c:pt>
                <c:pt idx="3">
                  <c:v>Sep-24</c:v>
                </c:pt>
                <c:pt idx="4">
                  <c:v>Oct-24</c:v>
                </c:pt>
                <c:pt idx="5">
                  <c:v>Nov-24</c:v>
                </c:pt>
              </c:strCache>
            </c:strRef>
          </c:cat>
          <c:val>
            <c:numRef>
              <c:f>'Pensioners Chart'!$F$5:$F$11</c:f>
              <c:numCache>
                <c:formatCode>General</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4-FC30-4D76-BDCC-4B2DF9EFA619}"/>
            </c:ext>
          </c:extLst>
        </c:ser>
        <c:dLbls>
          <c:dLblPos val="outEnd"/>
          <c:showLegendKey val="0"/>
          <c:showVal val="1"/>
          <c:showCatName val="0"/>
          <c:showSerName val="0"/>
          <c:showPercent val="0"/>
          <c:showBubbleSize val="0"/>
        </c:dLbls>
        <c:gapWidth val="219"/>
        <c:overlap val="-27"/>
        <c:axId val="771252784"/>
        <c:axId val="771248520"/>
      </c:barChart>
      <c:catAx>
        <c:axId val="7712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48520"/>
        <c:crosses val="autoZero"/>
        <c:auto val="1"/>
        <c:lblAlgn val="ctr"/>
        <c:lblOffset val="100"/>
        <c:noMultiLvlLbl val="0"/>
      </c:catAx>
      <c:valAx>
        <c:axId val="77124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52784"/>
        <c:crosses val="autoZero"/>
        <c:crossBetween val="between"/>
      </c:valAx>
      <c:spPr>
        <a:noFill/>
        <a:ln>
          <a:noFill/>
        </a:ln>
        <a:effectLst/>
      </c:spPr>
    </c:plotArea>
    <c:legend>
      <c:legendPos val="b"/>
      <c:layout>
        <c:manualLayout>
          <c:xMode val="edge"/>
          <c:yMode val="edge"/>
          <c:x val="3.0127827301054035E-3"/>
          <c:y val="0.85868040272457558"/>
          <c:w val="0.99645459679268877"/>
          <c:h val="0.14131957706957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0.17372</cdr:x>
      <cdr:y>0.075</cdr:y>
    </cdr:from>
    <cdr:to>
      <cdr:x>0.81994</cdr:x>
      <cdr:y>0.15</cdr:y>
    </cdr:to>
    <cdr:sp macro="" textlink="">
      <cdr:nvSpPr>
        <cdr:cNvPr id="2" name="TextBox 1"/>
        <cdr:cNvSpPr txBox="1"/>
      </cdr:nvSpPr>
      <cdr:spPr>
        <a:xfrm xmlns:a="http://schemas.openxmlformats.org/drawingml/2006/main">
          <a:off x="1031875" y="142875"/>
          <a:ext cx="38385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0.28917</cdr:x>
      <cdr:y>0.025</cdr:y>
    </cdr:from>
    <cdr:to>
      <cdr:x>0.77023</cdr:x>
      <cdr:y>0.175</cdr:y>
    </cdr:to>
    <cdr:sp macro="" textlink="">
      <cdr:nvSpPr>
        <cdr:cNvPr id="3" name="TextBox 2"/>
        <cdr:cNvSpPr txBox="1"/>
      </cdr:nvSpPr>
      <cdr:spPr>
        <a:xfrm xmlns:a="http://schemas.openxmlformats.org/drawingml/2006/main">
          <a:off x="1717675" y="47625"/>
          <a:ext cx="2857499"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A73DA-67F2-477E-9642-C1835F8E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25</Pages>
  <Words>5290</Words>
  <Characters>30158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35378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Butterfield</dc:creator>
  <cp:keywords/>
  <dc:description/>
  <cp:lastModifiedBy>Bev Bull</cp:lastModifiedBy>
  <cp:revision>1</cp:revision>
  <cp:lastPrinted>2019-04-05T15:46:00Z</cp:lastPrinted>
  <dcterms:created xsi:type="dcterms:W3CDTF">2020-12-07T10:14:00Z</dcterms:created>
  <dcterms:modified xsi:type="dcterms:W3CDTF">2024-11-18T11:05:00Z</dcterms:modified>
</cp:coreProperties>
</file>